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financiación de los servicios sociales prestados por el Ayuntamiento de Pamplona que son competencia del Gobierno de Navarra,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 las Cortes de Navarra, adscrito al Grupo Parlamentario Navarra Suma, realiza la siguiente pregunta oral dirigida a la Presidenta del Gobierno de Navarra para su contestación en Pleno:</w:t>
      </w:r>
    </w:p>
    <w:p>
      <w:pPr>
        <w:pStyle w:val="0"/>
        <w:suppressAutoHyphens w:val="false"/>
        <w:rPr>
          <w:rStyle w:val="1"/>
        </w:rPr>
      </w:pPr>
      <w:r>
        <w:rPr>
          <w:rStyle w:val="1"/>
        </w:rPr>
        <w:t xml:space="preserve">Cuando la Presidenta quite la carta de capitalidad a Pamplona ¿piensa financiar servicios sociales que en la Cartera de Servicios Sociales se establece que son competencia del Gobierno de Navarra y que actualmente está prestando el Ayuntamiento de Pamplona?</w:t>
      </w:r>
    </w:p>
    <w:p>
      <w:pPr>
        <w:pStyle w:val="0"/>
        <w:suppressAutoHyphens w:val="false"/>
        <w:rPr>
          <w:rStyle w:val="1"/>
        </w:rPr>
      </w:pPr>
      <w:r>
        <w:rPr>
          <w:rStyle w:val="1"/>
        </w:rPr>
        <w:t xml:space="preserve">Pamplona, a 18 de noviembre de 2021</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