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AD" w:rsidRPr="00572535" w:rsidRDefault="00A63601" w:rsidP="00A63601">
      <w:pPr>
        <w:tabs>
          <w:tab w:val="left" w:pos="3780"/>
        </w:tabs>
        <w:spacing w:line="288" w:lineRule="auto"/>
        <w:jc w:val="both"/>
        <w:rPr>
          <w:rFonts w:ascii="Arial" w:hAnsi="Arial" w:cs="Arial"/>
          <w:lang w:eastAsia="en-US"/>
        </w:rPr>
      </w:pPr>
      <w:r w:rsidRPr="00572535">
        <w:rPr>
          <w:rFonts w:ascii="Arial" w:hAnsi="Arial" w:cs="Arial"/>
        </w:rPr>
        <w:t>La Consejera de Salud del Gobierno de Navarra, e</w:t>
      </w:r>
      <w:r w:rsidR="00386D9E" w:rsidRPr="00572535">
        <w:rPr>
          <w:rFonts w:ascii="Arial" w:hAnsi="Arial" w:cs="Arial"/>
        </w:rPr>
        <w:t xml:space="preserve">n relación con la </w:t>
      </w:r>
      <w:r w:rsidRPr="00572535">
        <w:rPr>
          <w:rFonts w:ascii="Arial" w:hAnsi="Arial" w:cs="Arial"/>
        </w:rPr>
        <w:t>pregunta escrita</w:t>
      </w:r>
      <w:r w:rsidR="00386D9E" w:rsidRPr="00572535">
        <w:rPr>
          <w:rFonts w:ascii="Arial" w:hAnsi="Arial" w:cs="Arial"/>
        </w:rPr>
        <w:t xml:space="preserve"> (10-21-PE</w:t>
      </w:r>
      <w:r w:rsidR="00EA114C" w:rsidRPr="00572535">
        <w:rPr>
          <w:rFonts w:ascii="Arial" w:hAnsi="Arial" w:cs="Arial"/>
        </w:rPr>
        <w:t>S</w:t>
      </w:r>
      <w:r w:rsidR="00386D9E" w:rsidRPr="00572535">
        <w:rPr>
          <w:rFonts w:ascii="Arial" w:hAnsi="Arial" w:cs="Arial"/>
        </w:rPr>
        <w:t>-00</w:t>
      </w:r>
      <w:r w:rsidR="00EA114C" w:rsidRPr="00572535">
        <w:rPr>
          <w:rFonts w:ascii="Arial" w:hAnsi="Arial" w:cs="Arial"/>
        </w:rPr>
        <w:t>25</w:t>
      </w:r>
      <w:r w:rsidR="00407FAD" w:rsidRPr="00572535">
        <w:rPr>
          <w:rFonts w:ascii="Arial" w:hAnsi="Arial" w:cs="Arial"/>
        </w:rPr>
        <w:t>4</w:t>
      </w:r>
      <w:r w:rsidR="00386D9E" w:rsidRPr="00572535">
        <w:rPr>
          <w:rFonts w:ascii="Arial" w:hAnsi="Arial" w:cs="Arial"/>
        </w:rPr>
        <w:t xml:space="preserve">) presentada por la Parlamentaria Foral Ilma. Sra.  Cristina Ibarrola Guillén, adscrita al Grupo Parlamentario de Navarra Suma, </w:t>
      </w:r>
      <w:r w:rsidR="00866C28" w:rsidRPr="00572535">
        <w:rPr>
          <w:rFonts w:ascii="Arial" w:hAnsi="Arial" w:cs="Arial"/>
        </w:rPr>
        <w:t xml:space="preserve">en la </w:t>
      </w:r>
      <w:r w:rsidR="00386D9E" w:rsidRPr="00572535">
        <w:rPr>
          <w:rFonts w:ascii="Arial" w:hAnsi="Arial" w:cs="Arial"/>
        </w:rPr>
        <w:t xml:space="preserve">que solicita </w:t>
      </w:r>
      <w:r w:rsidR="00EA114C" w:rsidRPr="00572535">
        <w:rPr>
          <w:rFonts w:ascii="Arial" w:hAnsi="Arial" w:cs="Arial"/>
        </w:rPr>
        <w:t xml:space="preserve">información </w:t>
      </w:r>
      <w:r w:rsidRPr="00572535">
        <w:rPr>
          <w:rFonts w:ascii="Arial" w:hAnsi="Arial" w:cs="Arial"/>
        </w:rPr>
        <w:t>sobre “</w:t>
      </w:r>
      <w:r w:rsidR="00407FAD" w:rsidRPr="00572535">
        <w:rPr>
          <w:rFonts w:ascii="Arial" w:hAnsi="Arial" w:cs="Arial"/>
          <w:lang w:eastAsia="en-US"/>
        </w:rPr>
        <w:t>¿Cuál es la razón para adelantar la vacunación en personas que ya han pasado Covid-19 a 2 meses en lugar de hacerlo a los 6 meses?</w:t>
      </w:r>
    </w:p>
    <w:p w:rsidR="00572535" w:rsidRDefault="00407FAD" w:rsidP="00A63601">
      <w:pPr>
        <w:spacing w:line="288" w:lineRule="auto"/>
        <w:jc w:val="both"/>
        <w:rPr>
          <w:rFonts w:ascii="Arial" w:hAnsi="Arial" w:cs="Arial"/>
        </w:rPr>
      </w:pPr>
      <w:r w:rsidRPr="00572535">
        <w:rPr>
          <w:rFonts w:ascii="Arial" w:hAnsi="Arial" w:cs="Arial"/>
          <w:lang w:eastAsia="en-US"/>
        </w:rPr>
        <w:t>¿Cuál es la evidencia científica que respalda que la inmunidad es mejor y persiste más en el tiempo si se vacuna a los 2 meses que si se hace Transcurridos 6 meses?</w:t>
      </w:r>
      <w:r w:rsidR="00A63601" w:rsidRPr="00572535">
        <w:rPr>
          <w:rFonts w:ascii="Arial" w:hAnsi="Arial" w:cs="Arial"/>
          <w:lang w:eastAsia="en-US"/>
        </w:rPr>
        <w:t xml:space="preserve">”, </w:t>
      </w:r>
      <w:r w:rsidR="00A63601" w:rsidRPr="00572535">
        <w:rPr>
          <w:rFonts w:ascii="Arial" w:hAnsi="Arial" w:cs="Arial"/>
        </w:rPr>
        <w:t>tiene el honor de remitirle la siguiente información:</w:t>
      </w:r>
    </w:p>
    <w:p w:rsidR="00407FAD" w:rsidRPr="00572535" w:rsidRDefault="00A63601" w:rsidP="00A63601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572535">
        <w:rPr>
          <w:rFonts w:ascii="Arial" w:hAnsi="Arial" w:cs="Arial"/>
          <w:color w:val="000000" w:themeColor="text1"/>
        </w:rPr>
        <w:t xml:space="preserve">- </w:t>
      </w:r>
      <w:r w:rsidR="00407FAD" w:rsidRPr="00572535">
        <w:rPr>
          <w:rFonts w:ascii="Arial" w:hAnsi="Arial" w:cs="Arial"/>
          <w:color w:val="000000" w:themeColor="text1"/>
        </w:rPr>
        <w:t>¿Cuál es la razón para adelantar la vacunación en personas que ya han pasado Covid-19 a 2 meses en lugar de hacerlo a los 6 meses?</w:t>
      </w:r>
    </w:p>
    <w:p w:rsidR="00407FAD" w:rsidRPr="00572535" w:rsidRDefault="00A63601" w:rsidP="00A63601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572535">
        <w:rPr>
          <w:rFonts w:ascii="Arial" w:hAnsi="Arial" w:cs="Arial"/>
          <w:color w:val="000000" w:themeColor="text1"/>
        </w:rPr>
        <w:tab/>
      </w:r>
      <w:r w:rsidR="00407FAD" w:rsidRPr="00572535">
        <w:rPr>
          <w:rFonts w:ascii="Arial" w:hAnsi="Arial" w:cs="Arial"/>
          <w:color w:val="000000" w:themeColor="text1"/>
        </w:rPr>
        <w:t xml:space="preserve">La razón fue proteger frente a la variante Delta a las personas con infección previa de otras variantes. </w:t>
      </w:r>
    </w:p>
    <w:p w:rsidR="00407FAD" w:rsidRPr="00572535" w:rsidRDefault="00A63601" w:rsidP="00A63601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572535">
        <w:rPr>
          <w:rFonts w:ascii="Arial" w:hAnsi="Arial" w:cs="Arial"/>
          <w:color w:val="000000" w:themeColor="text1"/>
        </w:rPr>
        <w:t xml:space="preserve">- </w:t>
      </w:r>
      <w:r w:rsidR="00407FAD" w:rsidRPr="00572535">
        <w:rPr>
          <w:rFonts w:ascii="Arial" w:hAnsi="Arial" w:cs="Arial"/>
          <w:color w:val="000000" w:themeColor="text1"/>
        </w:rPr>
        <w:t>¿Cuál es la evidencia científica que respalda que la inmunidad es mejor y persiste más en el tiempo si se vacuna a los 2 meses que si se hace transcurridos 6 meses?</w:t>
      </w:r>
    </w:p>
    <w:p w:rsidR="00407FAD" w:rsidRPr="00572535" w:rsidRDefault="00A63601" w:rsidP="00A63601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572535">
        <w:rPr>
          <w:rFonts w:ascii="Arial" w:hAnsi="Arial" w:cs="Arial"/>
          <w:color w:val="000000" w:themeColor="text1"/>
        </w:rPr>
        <w:tab/>
      </w:r>
      <w:r w:rsidR="00407FAD" w:rsidRPr="00572535">
        <w:rPr>
          <w:rFonts w:ascii="Arial" w:hAnsi="Arial" w:cs="Arial"/>
          <w:color w:val="000000" w:themeColor="text1"/>
        </w:rPr>
        <w:t>La evidencia se presenta en la Actualización 9 de la Estrategia de vacunación frente a COVID19 en España</w:t>
      </w:r>
    </w:p>
    <w:p w:rsidR="00572535" w:rsidRDefault="00572535" w:rsidP="00A63601">
      <w:pPr>
        <w:spacing w:before="120" w:after="120" w:line="288" w:lineRule="auto"/>
        <w:jc w:val="both"/>
        <w:rPr>
          <w:rFonts w:ascii="Arial" w:hAnsi="Arial" w:cs="Arial"/>
          <w:color w:val="1F497D" w:themeColor="text2"/>
        </w:rPr>
      </w:pPr>
      <w:hyperlink r:id="rId5" w:history="1">
        <w:r w:rsidR="00407FAD" w:rsidRPr="00572535">
          <w:rPr>
            <w:rStyle w:val="Hipervnculo"/>
            <w:rFonts w:ascii="Arial" w:hAnsi="Arial" w:cs="Arial"/>
          </w:rPr>
          <w:t>https://www.mscbs.gob.es/profesionales/saludPublica/prevPromocion/vacunaciones/covid19/docs/COVID-19_Actualizacion9_EstrategiaVacunacion.pdf</w:t>
        </w:r>
      </w:hyperlink>
    </w:p>
    <w:p w:rsidR="00572535" w:rsidRDefault="00407FAD" w:rsidP="00A63601">
      <w:pPr>
        <w:spacing w:line="288" w:lineRule="auto"/>
        <w:jc w:val="both"/>
        <w:rPr>
          <w:rFonts w:ascii="Arial" w:hAnsi="Arial" w:cs="Arial"/>
        </w:rPr>
      </w:pPr>
      <w:r w:rsidRPr="00572535">
        <w:rPr>
          <w:rFonts w:ascii="Arial" w:hAnsi="Arial" w:cs="Arial"/>
          <w:color w:val="1F497D" w:themeColor="text2"/>
        </w:rPr>
        <w:t>4</w:t>
      </w:r>
      <w:r w:rsidRPr="00572535">
        <w:rPr>
          <w:rFonts w:ascii="Arial" w:hAnsi="Arial" w:cs="Arial"/>
        </w:rPr>
        <w:t xml:space="preserve">.2.1 Vacunación de personas menores de 65 años con infección previa por SARS-CoV-2 </w:t>
      </w:r>
    </w:p>
    <w:p w:rsidR="00572535" w:rsidRDefault="00407FAD" w:rsidP="00A63601">
      <w:pPr>
        <w:spacing w:line="288" w:lineRule="auto"/>
        <w:jc w:val="both"/>
        <w:rPr>
          <w:rFonts w:ascii="Arial" w:hAnsi="Arial" w:cs="Arial"/>
        </w:rPr>
      </w:pPr>
      <w:r w:rsidRPr="00572535">
        <w:rPr>
          <w:rFonts w:ascii="Arial" w:hAnsi="Arial" w:cs="Arial"/>
        </w:rPr>
        <w:t>La Actualización 8 de la Estrategia plantea la vacunación de personas menores de 65 años con infección previa por SARS-CoV-2 “preferentemente a partir de los seis meses desde la fecha de comienzo de síntomas o la fecha de diagnóstico de la infección”. La evidencia muestra que la gran mayoría de las personas infectadas por SARS-CoV-2 producen anticuerpos neutralizantes además de estimular la inducción de respuesta de células T, que se mantienen al menos doce meses tras la infección</w:t>
      </w:r>
      <w:r w:rsidRPr="00572535">
        <w:rPr>
          <w:rFonts w:ascii="Arial" w:hAnsi="Arial" w:cs="Arial"/>
          <w:vertAlign w:val="superscript"/>
        </w:rPr>
        <w:t>114</w:t>
      </w:r>
      <w:r w:rsidRPr="00572535">
        <w:rPr>
          <w:rFonts w:ascii="Arial" w:hAnsi="Arial" w:cs="Arial"/>
        </w:rPr>
        <w:t>. Además, algunos estudios señalan que una dosis de vacuna incrementa los niveles de anticuerpos neutralizantes en estas personas, confiriendo un nivel alto de protección frente a nuevas variantes</w:t>
      </w:r>
      <w:r w:rsidRPr="00572535">
        <w:rPr>
          <w:rFonts w:ascii="Arial" w:hAnsi="Arial" w:cs="Arial"/>
          <w:vertAlign w:val="superscript"/>
        </w:rPr>
        <w:t>115</w:t>
      </w:r>
      <w:r w:rsidRPr="00572535">
        <w:rPr>
          <w:rFonts w:ascii="Arial" w:hAnsi="Arial" w:cs="Arial"/>
        </w:rPr>
        <w:t xml:space="preserve">. La variante Delta (B.1.617.2) de SARS-CoV-2 es la cepa que de manera predominante está circulando en España. Esta variante, es más transmisible y potencialmente puede reducir la eficacia de los anticuerpos generados frente a otras cepas, así como el poder de neutralización de los mismos (escape inmunológico). Teniendo también en cuenta la disponibilidad de vacunas, la Comisión de Salud Pública, a propuesta de la Ponencia de vacunas, acordó (26 de agosto de 2021) adelantar la vacunación de las personas con infección previa por SARS-CoV-2 de 65 o menos años de edad con una sola dosis a partir de las 4-8 semanas después del diagnóstico de la </w:t>
      </w:r>
      <w:r w:rsidRPr="00572535">
        <w:rPr>
          <w:rFonts w:ascii="Arial" w:hAnsi="Arial" w:cs="Arial"/>
        </w:rPr>
        <w:lastRenderedPageBreak/>
        <w:t>infección, con la finalidad de disponer de protección adicional frente a esta variante lo más precozmente posible. En el caso de tener infección tras haber administrado la primera dosis, se completará la pauta con una segunda dosis cuando estén completamente recuperadas y hayan transcurrido 4-8 semanas de la infección. No se recomienda la realización de pruebas serológicas o virológicas antes o después de la vacunación.</w:t>
      </w:r>
    </w:p>
    <w:p w:rsidR="00572535" w:rsidRDefault="00A63601" w:rsidP="00A63601">
      <w:pPr>
        <w:tabs>
          <w:tab w:val="left" w:pos="3780"/>
        </w:tabs>
        <w:spacing w:after="60" w:line="288" w:lineRule="auto"/>
        <w:jc w:val="both"/>
        <w:rPr>
          <w:rFonts w:ascii="Arial" w:eastAsia="Times New Roman" w:hAnsi="Arial" w:cs="Arial"/>
        </w:rPr>
      </w:pPr>
      <w:r w:rsidRPr="00572535">
        <w:rPr>
          <w:rFonts w:ascii="Arial" w:eastAsia="Times New Roman" w:hAnsi="Arial" w:cs="Arial"/>
        </w:rPr>
        <w:t xml:space="preserve">Es cuanto tengo el honor de informar </w:t>
      </w:r>
      <w:bookmarkStart w:id="0" w:name="_GoBack"/>
      <w:bookmarkEnd w:id="0"/>
      <w:r w:rsidRPr="00572535">
        <w:rPr>
          <w:rFonts w:ascii="Arial" w:eastAsia="Times New Roman" w:hAnsi="Arial" w:cs="Arial"/>
        </w:rPr>
        <w:t>en cumplimiento de lo dispuesto en el artículo 194 del Reglamento del Parlamento de Navarra.</w:t>
      </w:r>
    </w:p>
    <w:p w:rsidR="00572535" w:rsidRDefault="00A63601" w:rsidP="00A63601">
      <w:pPr>
        <w:spacing w:line="288" w:lineRule="auto"/>
        <w:ind w:left="567" w:right="567"/>
        <w:jc w:val="both"/>
        <w:outlineLvl w:val="0"/>
        <w:rPr>
          <w:rFonts w:ascii="Arial" w:eastAsia="Times New Roman" w:hAnsi="Arial" w:cs="Arial"/>
        </w:rPr>
      </w:pPr>
      <w:r w:rsidRPr="00572535">
        <w:rPr>
          <w:rFonts w:ascii="Arial" w:eastAsia="Times New Roman" w:hAnsi="Arial" w:cs="Arial"/>
        </w:rPr>
        <w:t>Pamplona, 26 de octubre de 2021</w:t>
      </w:r>
    </w:p>
    <w:p w:rsidR="00572535" w:rsidRDefault="00572535" w:rsidP="00A63601">
      <w:pPr>
        <w:spacing w:line="288" w:lineRule="auto"/>
        <w:ind w:left="2124" w:right="-1" w:firstLine="708"/>
        <w:contextualSpacing/>
        <w:rPr>
          <w:rFonts w:ascii="Arial" w:eastAsia="Times New Roman" w:hAnsi="Arial" w:cs="Arial"/>
          <w:lang w:val="pt-BR"/>
        </w:rPr>
      </w:pPr>
      <w:r w:rsidRPr="00572535">
        <w:rPr>
          <w:rFonts w:ascii="Arial" w:hAnsi="Arial" w:cs="Arial"/>
        </w:rPr>
        <w:t>La Consejera de Salud</w:t>
      </w:r>
      <w:r w:rsidRPr="00572535">
        <w:rPr>
          <w:rFonts w:ascii="Arial" w:hAnsi="Arial" w:cs="Arial"/>
        </w:rPr>
        <w:t>:</w:t>
      </w:r>
      <w:r w:rsidRPr="00572535">
        <w:rPr>
          <w:rFonts w:ascii="Arial" w:eastAsia="Times New Roman" w:hAnsi="Arial" w:cs="Arial"/>
          <w:lang w:val="pt-BR"/>
        </w:rPr>
        <w:t xml:space="preserve"> Santos </w:t>
      </w:r>
      <w:proofErr w:type="spellStart"/>
      <w:r w:rsidRPr="00572535">
        <w:rPr>
          <w:rFonts w:ascii="Arial" w:eastAsia="Times New Roman" w:hAnsi="Arial" w:cs="Arial"/>
          <w:lang w:val="pt-BR"/>
        </w:rPr>
        <w:t>Indurá</w:t>
      </w:r>
      <w:r w:rsidR="00A63601" w:rsidRPr="00572535">
        <w:rPr>
          <w:rFonts w:ascii="Arial" w:eastAsia="Times New Roman" w:hAnsi="Arial" w:cs="Arial"/>
          <w:lang w:val="pt-BR"/>
        </w:rPr>
        <w:t>in</w:t>
      </w:r>
      <w:proofErr w:type="spellEnd"/>
      <w:r w:rsidR="00A63601" w:rsidRPr="00572535">
        <w:rPr>
          <w:rFonts w:ascii="Arial" w:eastAsia="Times New Roman" w:hAnsi="Arial" w:cs="Arial"/>
          <w:lang w:val="pt-BR"/>
        </w:rPr>
        <w:t xml:space="preserve"> </w:t>
      </w:r>
      <w:proofErr w:type="spellStart"/>
      <w:r w:rsidR="00A63601" w:rsidRPr="00572535">
        <w:rPr>
          <w:rFonts w:ascii="Arial" w:eastAsia="Times New Roman" w:hAnsi="Arial" w:cs="Arial"/>
          <w:lang w:val="pt-BR"/>
        </w:rPr>
        <w:t>Orduna</w:t>
      </w:r>
      <w:proofErr w:type="spellEnd"/>
    </w:p>
    <w:p w:rsidR="00A63601" w:rsidRPr="00572535" w:rsidRDefault="00A63601" w:rsidP="00A63601">
      <w:pPr>
        <w:spacing w:line="288" w:lineRule="auto"/>
        <w:jc w:val="both"/>
        <w:rPr>
          <w:rFonts w:ascii="Arial" w:hAnsi="Arial" w:cs="Arial"/>
          <w:lang w:eastAsia="en-US"/>
        </w:rPr>
      </w:pPr>
    </w:p>
    <w:sectPr w:rsidR="00A63601" w:rsidRPr="005725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9E"/>
    <w:rsid w:val="000B7D79"/>
    <w:rsid w:val="0026094E"/>
    <w:rsid w:val="002D41E5"/>
    <w:rsid w:val="002E6031"/>
    <w:rsid w:val="00386D9E"/>
    <w:rsid w:val="00407FAD"/>
    <w:rsid w:val="00572535"/>
    <w:rsid w:val="007D5383"/>
    <w:rsid w:val="00866C28"/>
    <w:rsid w:val="00A63601"/>
    <w:rsid w:val="00C53DD2"/>
    <w:rsid w:val="00D60C44"/>
    <w:rsid w:val="00E60FFC"/>
    <w:rsid w:val="00EA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9E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A11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2E603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07FAD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36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601"/>
    <w:rPr>
      <w:rFonts w:ascii="Segoe UI" w:hAnsi="Segoe UI" w:cs="Segoe UI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9E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A11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2E603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07FAD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36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601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scbs.gob.es/profesionales/saludPublica/prevPromocion/vacunaciones/covid19/docs/COVID-19_Actualizacion9_EstrategiaVacunacio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N200147</dc:creator>
  <cp:keywords/>
  <dc:description/>
  <cp:lastModifiedBy>Aranaz, Carlota</cp:lastModifiedBy>
  <cp:revision>3</cp:revision>
  <cp:lastPrinted>2021-10-26T11:28:00Z</cp:lastPrinted>
  <dcterms:created xsi:type="dcterms:W3CDTF">2021-10-26T11:31:00Z</dcterms:created>
  <dcterms:modified xsi:type="dcterms:W3CDTF">2021-10-28T14:48:00Z</dcterms:modified>
</cp:coreProperties>
</file>