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0862" w14:textId="5F975C46" w:rsidR="00763122" w:rsidRDefault="008E51F2" w:rsidP="00901293">
      <w:pPr>
        <w:pStyle w:val="Textoindependiente"/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24 de noviembre</w:t>
      </w:r>
    </w:p>
    <w:p w14:paraId="151D2D82" w14:textId="2EDF7047" w:rsidR="005D2BC0" w:rsidRDefault="009573E3" w:rsidP="005D2BC0">
      <w:pPr>
        <w:pStyle w:val="Textoindependient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Consejera</w:t>
      </w:r>
      <w:r w:rsidR="005D2BC0">
        <w:rPr>
          <w:rFonts w:cs="Arial"/>
          <w:sz w:val="22"/>
          <w:szCs w:val="22"/>
        </w:rPr>
        <w:t xml:space="preserve"> de Desarrollo Rural y</w:t>
      </w:r>
      <w:r w:rsidR="00E44044">
        <w:rPr>
          <w:rFonts w:cs="Arial"/>
          <w:sz w:val="22"/>
          <w:szCs w:val="22"/>
        </w:rPr>
        <w:t xml:space="preserve"> 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C0086A">
        <w:rPr>
          <w:rFonts w:cs="Arial"/>
          <w:sz w:val="22"/>
          <w:szCs w:val="22"/>
        </w:rPr>
        <w:fldChar w:fldCharType="begin">
          <w:ffData>
            <w:name w:val="Listadesplegable4"/>
            <w:enabled/>
            <w:calcOnExit w:val="0"/>
            <w:ddList>
              <w:listEntry w:val="el Parlamentario Foral Ilmo. Sr. D."/>
              <w:listEntry w:val="la Parlamentaria Foral Ilma. Sra. Dña."/>
            </w:ddList>
          </w:ffData>
        </w:fldChar>
      </w:r>
      <w:bookmarkStart w:id="0" w:name="Listadesplegable4"/>
      <w:r w:rsidR="00C0086A">
        <w:rPr>
          <w:rFonts w:cs="Arial"/>
          <w:sz w:val="22"/>
          <w:szCs w:val="22"/>
        </w:rPr>
        <w:instrText xml:space="preserve"> FORMDROPDOWN </w:instrText>
      </w:r>
      <w:r w:rsidR="00965BD5">
        <w:rPr>
          <w:rFonts w:cs="Arial"/>
          <w:sz w:val="22"/>
          <w:szCs w:val="22"/>
        </w:rPr>
      </w:r>
      <w:r w:rsidR="00965BD5">
        <w:rPr>
          <w:rFonts w:cs="Arial"/>
          <w:sz w:val="22"/>
          <w:szCs w:val="22"/>
        </w:rPr>
        <w:fldChar w:fldCharType="separate"/>
      </w:r>
      <w:r w:rsidR="00C0086A">
        <w:rPr>
          <w:rFonts w:cs="Arial"/>
          <w:sz w:val="22"/>
          <w:szCs w:val="22"/>
        </w:rPr>
        <w:fldChar w:fldCharType="end"/>
      </w:r>
      <w:bookmarkEnd w:id="0"/>
      <w:r w:rsidR="00841A4B">
        <w:rPr>
          <w:rFonts w:cs="Arial"/>
          <w:sz w:val="22"/>
          <w:szCs w:val="22"/>
        </w:rPr>
        <w:t>Miguel Bujanda Cirauqui</w:t>
      </w:r>
      <w:r w:rsidRPr="00901293">
        <w:rPr>
          <w:rFonts w:cs="Arial"/>
          <w:sz w:val="22"/>
          <w:szCs w:val="22"/>
        </w:rPr>
        <w:t>,</w:t>
      </w:r>
      <w:bookmarkStart w:id="1" w:name="Listadesplegable5"/>
      <w:r w:rsidRPr="00901293">
        <w:rPr>
          <w:rFonts w:cs="Arial"/>
          <w:sz w:val="22"/>
          <w:szCs w:val="22"/>
        </w:rPr>
        <w:t xml:space="preserve"> </w:t>
      </w:r>
      <w:bookmarkEnd w:id="1"/>
      <w:r w:rsidR="00C0086A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adscrito"/>
              <w:listEntry w:val="adscrita"/>
            </w:ddList>
          </w:ffData>
        </w:fldChar>
      </w:r>
      <w:r w:rsidR="00C0086A">
        <w:rPr>
          <w:rFonts w:cs="Arial"/>
          <w:sz w:val="22"/>
          <w:szCs w:val="22"/>
        </w:rPr>
        <w:instrText xml:space="preserve"> FORMDROPDOWN </w:instrText>
      </w:r>
      <w:r w:rsidR="00965BD5">
        <w:rPr>
          <w:rFonts w:cs="Arial"/>
          <w:sz w:val="22"/>
          <w:szCs w:val="22"/>
        </w:rPr>
      </w:r>
      <w:r w:rsidR="00965BD5">
        <w:rPr>
          <w:rFonts w:cs="Arial"/>
          <w:sz w:val="22"/>
          <w:szCs w:val="22"/>
        </w:rPr>
        <w:fldChar w:fldCharType="separate"/>
      </w:r>
      <w:r w:rsidR="00C0086A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al Grupo Parlamentario de</w:t>
      </w:r>
      <w:r w:rsidR="00E638E1">
        <w:rPr>
          <w:rFonts w:cs="Arial"/>
          <w:sz w:val="22"/>
          <w:szCs w:val="22"/>
        </w:rPr>
        <w:t xml:space="preserve"> </w:t>
      </w:r>
      <w:r w:rsidR="00841A4B">
        <w:rPr>
          <w:rFonts w:cs="Arial"/>
          <w:sz w:val="22"/>
          <w:szCs w:val="22"/>
        </w:rPr>
        <w:t>Navarra Suma</w:t>
      </w:r>
      <w:r w:rsidRPr="00901293">
        <w:rPr>
          <w:rFonts w:cs="Arial"/>
          <w:sz w:val="22"/>
          <w:szCs w:val="22"/>
        </w:rPr>
        <w:t xml:space="preserve">, </w:t>
      </w:r>
      <w:r w:rsidR="00841A4B">
        <w:rPr>
          <w:rFonts w:cs="Arial"/>
          <w:sz w:val="22"/>
          <w:szCs w:val="22"/>
        </w:rPr>
        <w:t>sobre</w:t>
      </w:r>
      <w:r w:rsidR="00E638E1">
        <w:rPr>
          <w:rFonts w:cs="Arial"/>
          <w:sz w:val="22"/>
          <w:szCs w:val="22"/>
        </w:rPr>
        <w:t xml:space="preserve"> </w:t>
      </w:r>
      <w:r w:rsidR="00901293" w:rsidRPr="00841A4B">
        <w:rPr>
          <w:rFonts w:cs="Arial"/>
          <w:b/>
          <w:sz w:val="22"/>
          <w:szCs w:val="22"/>
        </w:rPr>
        <w:t>(</w:t>
      </w:r>
      <w:r w:rsidR="00E638E1">
        <w:rPr>
          <w:b/>
        </w:rPr>
        <w:t>PES</w:t>
      </w:r>
      <w:r w:rsidR="00841A4B">
        <w:rPr>
          <w:b/>
        </w:rPr>
        <w:t>-00301</w:t>
      </w:r>
      <w:r w:rsidR="00901293" w:rsidRPr="00901293">
        <w:rPr>
          <w:rFonts w:cs="Arial"/>
          <w:b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 xml:space="preserve">, </w:t>
      </w:r>
      <w:r w:rsidR="005D2BC0">
        <w:rPr>
          <w:rFonts w:cs="Arial"/>
          <w:sz w:val="22"/>
          <w:szCs w:val="22"/>
        </w:rPr>
        <w:t xml:space="preserve">consistente en: </w:t>
      </w:r>
      <w:r w:rsidR="005D2BC0" w:rsidRPr="005D2BC0">
        <w:rPr>
          <w:rFonts w:cs="Arial"/>
          <w:sz w:val="22"/>
          <w:szCs w:val="22"/>
          <w:lang w:val="es-ES"/>
        </w:rPr>
        <w:t>¿Van a pagar, a partir del 16 de octubre, los anticipos de pagos de la PAC, del</w:t>
      </w:r>
      <w:r w:rsidR="005D2BC0">
        <w:rPr>
          <w:rFonts w:cs="Arial"/>
          <w:sz w:val="22"/>
          <w:szCs w:val="22"/>
          <w:lang w:val="es-ES"/>
        </w:rPr>
        <w:t xml:space="preserve"> </w:t>
      </w:r>
      <w:r w:rsidR="005D2BC0" w:rsidRPr="005D2BC0">
        <w:rPr>
          <w:rFonts w:cs="Arial"/>
          <w:sz w:val="22"/>
          <w:szCs w:val="22"/>
          <w:lang w:val="es-ES"/>
        </w:rPr>
        <w:t>70</w:t>
      </w:r>
      <w:r w:rsidR="00763122">
        <w:rPr>
          <w:rFonts w:cs="Arial"/>
          <w:sz w:val="22"/>
          <w:szCs w:val="22"/>
          <w:lang w:val="es-ES"/>
        </w:rPr>
        <w:t xml:space="preserve"> </w:t>
      </w:r>
      <w:r w:rsidR="005D2BC0" w:rsidRPr="005D2BC0">
        <w:rPr>
          <w:rFonts w:cs="Arial"/>
          <w:sz w:val="22"/>
          <w:szCs w:val="22"/>
          <w:lang w:val="es-ES"/>
        </w:rPr>
        <w:t>% en el caso de los pagos directos, así como el 85% del adelanto de</w:t>
      </w:r>
      <w:r w:rsidR="005D2BC0">
        <w:rPr>
          <w:rFonts w:cs="Arial"/>
          <w:sz w:val="22"/>
          <w:szCs w:val="22"/>
          <w:lang w:val="es-ES"/>
        </w:rPr>
        <w:t xml:space="preserve"> </w:t>
      </w:r>
      <w:r w:rsidR="005D2BC0" w:rsidRPr="005D2BC0">
        <w:rPr>
          <w:rFonts w:cs="Arial"/>
          <w:sz w:val="22"/>
          <w:szCs w:val="22"/>
          <w:lang w:val="es-ES"/>
        </w:rPr>
        <w:t>determinados pagos de Desarrollo Rural que tienen que ver con el sistema</w:t>
      </w:r>
      <w:r w:rsidR="005D2BC0">
        <w:rPr>
          <w:rFonts w:cs="Arial"/>
          <w:sz w:val="22"/>
          <w:szCs w:val="22"/>
          <w:lang w:val="es-ES"/>
        </w:rPr>
        <w:t xml:space="preserve"> </w:t>
      </w:r>
      <w:r w:rsidR="005D2BC0" w:rsidRPr="005D2BC0">
        <w:rPr>
          <w:rFonts w:cs="Arial"/>
          <w:sz w:val="22"/>
          <w:szCs w:val="22"/>
          <w:lang w:val="es-ES"/>
        </w:rPr>
        <w:t>integrado de gestión de superficies? Como autoriza la UE.</w:t>
      </w:r>
    </w:p>
    <w:p w14:paraId="7F6C1A82" w14:textId="77777777" w:rsidR="00763122" w:rsidRDefault="005D2BC0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Tiene </w:t>
      </w:r>
      <w:r w:rsidR="00901293" w:rsidRPr="00901293">
        <w:rPr>
          <w:rFonts w:cs="Arial"/>
          <w:sz w:val="22"/>
          <w:szCs w:val="22"/>
        </w:rPr>
        <w:t>el honor de remitirle la siguiente contestación:</w:t>
      </w:r>
    </w:p>
    <w:p w14:paraId="0613CB2E" w14:textId="77777777" w:rsidR="00763122" w:rsidRDefault="00823D59" w:rsidP="00823D5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823D59">
        <w:rPr>
          <w:rFonts w:ascii="Arial" w:hAnsi="Arial" w:cs="Arial"/>
          <w:sz w:val="22"/>
          <w:szCs w:val="22"/>
          <w:lang w:val="es-ES_tradnl"/>
        </w:rPr>
        <w:t>El anticipo de la PAC se pagará el primer día hábil permitido, el 18 de octubre.</w:t>
      </w:r>
    </w:p>
    <w:p w14:paraId="33D7BF55" w14:textId="77777777" w:rsidR="00763122" w:rsidRDefault="00466CCC" w:rsidP="00466CCC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823D59">
        <w:rPr>
          <w:rFonts w:ascii="Arial" w:hAnsi="Arial" w:cs="Arial"/>
          <w:sz w:val="22"/>
          <w:szCs w:val="22"/>
          <w:lang w:val="es-ES_tradnl"/>
        </w:rPr>
        <w:t xml:space="preserve">En lo que se refiere a Desarrollo Rural </w:t>
      </w:r>
      <w:r>
        <w:rPr>
          <w:rFonts w:ascii="Arial" w:hAnsi="Arial" w:cs="Arial"/>
          <w:sz w:val="22"/>
          <w:szCs w:val="22"/>
          <w:lang w:val="es-ES_tradnl"/>
        </w:rPr>
        <w:t>(</w:t>
      </w:r>
      <w:r w:rsidRPr="00823D59">
        <w:rPr>
          <w:rFonts w:ascii="Arial" w:hAnsi="Arial" w:cs="Arial"/>
          <w:sz w:val="22"/>
          <w:szCs w:val="22"/>
          <w:lang w:val="es-ES_tradnl"/>
        </w:rPr>
        <w:t>FEADER SIGC</w:t>
      </w:r>
      <w:r>
        <w:rPr>
          <w:rFonts w:ascii="Arial" w:hAnsi="Arial" w:cs="Arial"/>
          <w:sz w:val="22"/>
          <w:szCs w:val="22"/>
          <w:lang w:val="es-ES_tradnl"/>
        </w:rPr>
        <w:t>)</w:t>
      </w:r>
      <w:r w:rsidRPr="00823D59">
        <w:rPr>
          <w:rFonts w:ascii="Arial" w:hAnsi="Arial" w:cs="Arial"/>
          <w:sz w:val="22"/>
          <w:szCs w:val="22"/>
          <w:lang w:val="es-ES_tradnl"/>
        </w:rPr>
        <w:t xml:space="preserve">, no se realiza anticipo puesto que el pago se hace </w:t>
      </w:r>
      <w:r>
        <w:rPr>
          <w:rFonts w:ascii="Arial" w:hAnsi="Arial" w:cs="Arial"/>
          <w:sz w:val="22"/>
          <w:szCs w:val="22"/>
          <w:lang w:val="es-ES_tradnl"/>
        </w:rPr>
        <w:t xml:space="preserve">con cargo a los </w:t>
      </w:r>
      <w:r w:rsidRPr="00823D59">
        <w:rPr>
          <w:rFonts w:ascii="Arial" w:hAnsi="Arial" w:cs="Arial"/>
          <w:sz w:val="22"/>
          <w:szCs w:val="22"/>
          <w:lang w:val="es-ES_tradnl"/>
        </w:rPr>
        <w:t>Presupuestos de Navarra y</w:t>
      </w:r>
      <w:r>
        <w:rPr>
          <w:rFonts w:ascii="Arial" w:hAnsi="Arial" w:cs="Arial"/>
          <w:sz w:val="22"/>
          <w:szCs w:val="22"/>
          <w:lang w:val="es-ES_tradnl"/>
        </w:rPr>
        <w:t>,</w:t>
      </w:r>
      <w:r w:rsidRPr="00823D59">
        <w:rPr>
          <w:rFonts w:ascii="Arial" w:hAnsi="Arial" w:cs="Arial"/>
          <w:sz w:val="22"/>
          <w:szCs w:val="22"/>
          <w:lang w:val="es-ES_tradnl"/>
        </w:rPr>
        <w:t xml:space="preserve"> tal y como están aprobados los plurianuales, sólo se puede </w:t>
      </w:r>
      <w:r>
        <w:rPr>
          <w:rFonts w:ascii="Arial" w:hAnsi="Arial" w:cs="Arial"/>
          <w:sz w:val="22"/>
          <w:szCs w:val="22"/>
          <w:lang w:val="es-ES_tradnl"/>
        </w:rPr>
        <w:t xml:space="preserve">abonar la ayuda </w:t>
      </w:r>
      <w:r w:rsidRPr="00823D59">
        <w:rPr>
          <w:rFonts w:ascii="Arial" w:hAnsi="Arial" w:cs="Arial"/>
          <w:sz w:val="22"/>
          <w:szCs w:val="22"/>
          <w:lang w:val="es-ES_tradnl"/>
        </w:rPr>
        <w:t>al año siguiente de la solicitud. Además, los anticipo</w:t>
      </w:r>
      <w:r>
        <w:rPr>
          <w:rFonts w:ascii="Arial" w:hAnsi="Arial" w:cs="Arial"/>
          <w:sz w:val="22"/>
          <w:szCs w:val="22"/>
          <w:lang w:val="es-ES_tradnl"/>
        </w:rPr>
        <w:t>s</w:t>
      </w:r>
      <w:r w:rsidRPr="00823D59">
        <w:rPr>
          <w:rFonts w:ascii="Arial" w:hAnsi="Arial" w:cs="Arial"/>
          <w:sz w:val="22"/>
          <w:szCs w:val="22"/>
          <w:lang w:val="es-ES_tradnl"/>
        </w:rPr>
        <w:t xml:space="preserve"> no pueden realizar</w:t>
      </w:r>
      <w:r>
        <w:rPr>
          <w:rFonts w:ascii="Arial" w:hAnsi="Arial" w:cs="Arial"/>
          <w:sz w:val="22"/>
          <w:szCs w:val="22"/>
          <w:lang w:val="es-ES_tradnl"/>
        </w:rPr>
        <w:t>se</w:t>
      </w:r>
      <w:r w:rsidRPr="00823D59">
        <w:rPr>
          <w:rFonts w:ascii="Arial" w:hAnsi="Arial" w:cs="Arial"/>
          <w:sz w:val="22"/>
          <w:szCs w:val="22"/>
          <w:lang w:val="es-ES_tradnl"/>
        </w:rPr>
        <w:t xml:space="preserve"> hasta que no finalicen los controles de todos los requisitos y compromisos a todos los titulares y</w:t>
      </w:r>
      <w:r>
        <w:rPr>
          <w:rFonts w:ascii="Arial" w:hAnsi="Arial" w:cs="Arial"/>
          <w:sz w:val="22"/>
          <w:szCs w:val="22"/>
          <w:lang w:val="es-ES_tradnl"/>
        </w:rPr>
        <w:t>,</w:t>
      </w:r>
      <w:r w:rsidRPr="00823D59">
        <w:rPr>
          <w:rFonts w:ascii="Arial" w:hAnsi="Arial" w:cs="Arial"/>
          <w:sz w:val="22"/>
          <w:szCs w:val="22"/>
          <w:lang w:val="es-ES_tradnl"/>
        </w:rPr>
        <w:t xml:space="preserve"> en la mayoría de los casos</w:t>
      </w:r>
      <w:r>
        <w:rPr>
          <w:rFonts w:ascii="Arial" w:hAnsi="Arial" w:cs="Arial"/>
          <w:sz w:val="22"/>
          <w:szCs w:val="22"/>
          <w:lang w:val="es-ES_tradnl"/>
        </w:rPr>
        <w:t>,</w:t>
      </w:r>
      <w:r w:rsidRPr="00823D59">
        <w:rPr>
          <w:rFonts w:ascii="Arial" w:hAnsi="Arial" w:cs="Arial"/>
          <w:sz w:val="22"/>
          <w:szCs w:val="22"/>
          <w:lang w:val="es-ES_tradnl"/>
        </w:rPr>
        <w:t xml:space="preserve"> se extienden al año siguiente o, debido a la especificidad del régimen de ayudas, los controles administrativos y sobre el terreno no están finalizados para octubre del año de la solicitud.</w:t>
      </w:r>
    </w:p>
    <w:p w14:paraId="39CCFFCC" w14:textId="5C58170F" w:rsidR="00763122" w:rsidRDefault="00763122" w:rsidP="00841A4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841A4B">
        <w:rPr>
          <w:rFonts w:ascii="Arial" w:hAnsi="Arial" w:cs="Arial"/>
          <w:sz w:val="22"/>
          <w:szCs w:val="22"/>
          <w:lang w:val="es-ES_tradnl"/>
        </w:rPr>
        <w:t>En relación con</w:t>
      </w:r>
      <w:r w:rsidR="00841A4B" w:rsidRPr="00841A4B">
        <w:rPr>
          <w:rFonts w:ascii="Arial" w:hAnsi="Arial" w:cs="Arial"/>
          <w:sz w:val="22"/>
          <w:szCs w:val="22"/>
          <w:lang w:val="es-ES_tradnl"/>
        </w:rPr>
        <w:t xml:space="preserve"> los pagos directos del FEAGA el primer día hábil del ejercicio financiero se han pedido fondos los cuales se pagarán en torno al lunes 18 de octubre. Se va a abonar a 10.189 titulares el anticipo de las ayudas PAC FEAGA por superficie correspondiente al 70% de las Ayudas Desacopladas (PB, PV, JA y RPA) y Acopladas (Cultivos proteicos, Frutos de Cáscara, Legumbres, Remolacha y Tomate) por un importe total de 54.670.414,30 € euros. No se ha anticipado la ayuda al Arroz.</w:t>
      </w:r>
    </w:p>
    <w:p w14:paraId="5484DE89" w14:textId="76D3E389" w:rsidR="00841A4B" w:rsidRDefault="00841A4B" w:rsidP="00841A4B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841A4B">
        <w:rPr>
          <w:rFonts w:ascii="Arial" w:hAnsi="Arial" w:cs="Arial"/>
          <w:sz w:val="22"/>
          <w:szCs w:val="22"/>
          <w:lang w:val="es-ES_tradnl"/>
        </w:rPr>
        <w:t>Los conceptos son los siguientes:</w:t>
      </w:r>
    </w:p>
    <w:p w14:paraId="085A2309" w14:textId="77777777" w:rsidR="00841A4B" w:rsidRPr="00841A4B" w:rsidRDefault="00841A4B" w:rsidP="00841A4B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2126"/>
        <w:gridCol w:w="2268"/>
      </w:tblGrid>
      <w:tr w:rsidR="004D32EB" w:rsidRPr="00965BD5" w14:paraId="0658321D" w14:textId="77777777" w:rsidTr="004D32EB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ECE04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Línea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21657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ind w:right="211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Titulares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FEBDD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Importe</w:t>
            </w:r>
          </w:p>
        </w:tc>
      </w:tr>
      <w:tr w:rsidR="004D32EB" w:rsidRPr="00965BD5" w14:paraId="0321C302" w14:textId="77777777" w:rsidTr="004D32EB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73830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(1) Pago Básico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33F02" w14:textId="0D6F9BB1" w:rsidR="00841A4B" w:rsidRPr="00965BD5" w:rsidRDefault="00841A4B" w:rsidP="00965BD5">
            <w:pPr>
              <w:autoSpaceDE w:val="0"/>
              <w:autoSpaceDN w:val="0"/>
              <w:spacing w:before="20" w:after="20"/>
              <w:ind w:right="778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8.699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52B0F" w14:textId="3335B18B" w:rsidR="00841A4B" w:rsidRPr="00965BD5" w:rsidRDefault="00841A4B" w:rsidP="00965BD5">
            <w:pPr>
              <w:autoSpaceDE w:val="0"/>
              <w:autoSpaceDN w:val="0"/>
              <w:spacing w:before="20" w:after="20"/>
              <w:ind w:right="501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36.044.781,77 </w:t>
            </w:r>
          </w:p>
        </w:tc>
      </w:tr>
      <w:tr w:rsidR="004D32EB" w:rsidRPr="00965BD5" w14:paraId="1C24EF95" w14:textId="77777777" w:rsidTr="004D32EB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E36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(2) Pago para prácticas agrícolas beneficiosas para el clima y el medio ambiente (Pago Verde)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DC716" w14:textId="64686F83" w:rsidR="00841A4B" w:rsidRPr="00965BD5" w:rsidRDefault="00841A4B" w:rsidP="00965BD5">
            <w:pPr>
              <w:autoSpaceDE w:val="0"/>
              <w:autoSpaceDN w:val="0"/>
              <w:spacing w:before="20" w:after="20"/>
              <w:ind w:right="778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8.252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B5CD3" w14:textId="2DE8F5F1" w:rsidR="00841A4B" w:rsidRPr="00965BD5" w:rsidRDefault="00841A4B" w:rsidP="00965BD5">
            <w:pPr>
              <w:autoSpaceDE w:val="0"/>
              <w:autoSpaceDN w:val="0"/>
              <w:spacing w:before="20" w:after="20"/>
              <w:ind w:right="501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16.636.121,37 </w:t>
            </w:r>
          </w:p>
        </w:tc>
      </w:tr>
      <w:tr w:rsidR="004D32EB" w:rsidRPr="00965BD5" w14:paraId="661E0E2D" w14:textId="77777777" w:rsidTr="004D32EB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7F44E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(6) Pago para Jóvenes Agricultores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4319F" w14:textId="0B294C19" w:rsidR="00841A4B" w:rsidRPr="00965BD5" w:rsidRDefault="00841A4B" w:rsidP="00965BD5">
            <w:pPr>
              <w:autoSpaceDE w:val="0"/>
              <w:autoSpaceDN w:val="0"/>
              <w:spacing w:before="20" w:after="20"/>
              <w:ind w:right="778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08012" w14:textId="5D2FED39" w:rsidR="00841A4B" w:rsidRPr="00965BD5" w:rsidRDefault="00841A4B" w:rsidP="00965BD5">
            <w:pPr>
              <w:autoSpaceDE w:val="0"/>
              <w:autoSpaceDN w:val="0"/>
              <w:spacing w:before="20" w:after="20"/>
              <w:ind w:right="501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593.036,19 </w:t>
            </w:r>
          </w:p>
        </w:tc>
      </w:tr>
      <w:tr w:rsidR="004D32EB" w:rsidRPr="00965BD5" w14:paraId="098BA1C0" w14:textId="77777777" w:rsidTr="004D32EB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2B3CF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(9) RPA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8CF69" w14:textId="581438A7" w:rsidR="00841A4B" w:rsidRPr="00965BD5" w:rsidRDefault="00841A4B" w:rsidP="00965BD5">
            <w:pPr>
              <w:autoSpaceDE w:val="0"/>
              <w:autoSpaceDN w:val="0"/>
              <w:spacing w:before="20" w:after="20"/>
              <w:ind w:right="778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1.407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9C65C" w14:textId="12AC9946" w:rsidR="00841A4B" w:rsidRPr="00965BD5" w:rsidRDefault="00841A4B" w:rsidP="00965BD5">
            <w:pPr>
              <w:autoSpaceDE w:val="0"/>
              <w:autoSpaceDN w:val="0"/>
              <w:spacing w:before="20" w:after="20"/>
              <w:ind w:right="501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658.390,24 </w:t>
            </w:r>
          </w:p>
        </w:tc>
      </w:tr>
      <w:tr w:rsidR="004D32EB" w:rsidRPr="00965BD5" w14:paraId="56D0F093" w14:textId="77777777" w:rsidTr="004D32EB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8EC8F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(202) Ayuda a los Cultivos Proteicos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8116D" w14:textId="73ED69CF" w:rsidR="00841A4B" w:rsidRPr="00965BD5" w:rsidRDefault="00841A4B" w:rsidP="00965BD5">
            <w:pPr>
              <w:autoSpaceDE w:val="0"/>
              <w:autoSpaceDN w:val="0"/>
              <w:spacing w:before="20" w:after="20"/>
              <w:ind w:right="778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1.640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15684" w14:textId="0280C5AF" w:rsidR="00841A4B" w:rsidRPr="00965BD5" w:rsidRDefault="00841A4B" w:rsidP="00965BD5">
            <w:pPr>
              <w:autoSpaceDE w:val="0"/>
              <w:autoSpaceDN w:val="0"/>
              <w:spacing w:before="20" w:after="20"/>
              <w:ind w:right="501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496.189,58 </w:t>
            </w:r>
          </w:p>
        </w:tc>
      </w:tr>
      <w:tr w:rsidR="004D32EB" w:rsidRPr="00965BD5" w14:paraId="3E822315" w14:textId="77777777" w:rsidTr="004D32EB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A2373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(203) Ayuda a los Frutos de Cáscara y Algarrobas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EC9C5" w14:textId="262BFE83" w:rsidR="00841A4B" w:rsidRPr="00965BD5" w:rsidRDefault="00841A4B" w:rsidP="00965BD5">
            <w:pPr>
              <w:autoSpaceDE w:val="0"/>
              <w:autoSpaceDN w:val="0"/>
              <w:spacing w:before="20" w:after="20"/>
              <w:ind w:right="778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F5FFD" w14:textId="212C8758" w:rsidR="00841A4B" w:rsidRPr="00965BD5" w:rsidRDefault="00841A4B" w:rsidP="00965BD5">
            <w:pPr>
              <w:autoSpaceDE w:val="0"/>
              <w:autoSpaceDN w:val="0"/>
              <w:spacing w:before="20" w:after="20"/>
              <w:ind w:right="501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13.875,78 </w:t>
            </w:r>
          </w:p>
        </w:tc>
      </w:tr>
      <w:tr w:rsidR="004D32EB" w:rsidRPr="00965BD5" w14:paraId="7816DDCE" w14:textId="77777777" w:rsidTr="004D32EB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8C2FC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(204) Ayuda a las Legumbres de Calidad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CF5AC" w14:textId="393D18AC" w:rsidR="00841A4B" w:rsidRPr="00965BD5" w:rsidRDefault="00841A4B" w:rsidP="00965BD5">
            <w:pPr>
              <w:autoSpaceDE w:val="0"/>
              <w:autoSpaceDN w:val="0"/>
              <w:spacing w:before="20" w:after="20"/>
              <w:ind w:right="778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97CD6" w14:textId="4450FA5C" w:rsidR="00841A4B" w:rsidRPr="00965BD5" w:rsidRDefault="00841A4B" w:rsidP="00965BD5">
            <w:pPr>
              <w:autoSpaceDE w:val="0"/>
              <w:autoSpaceDN w:val="0"/>
              <w:spacing w:before="20" w:after="20"/>
              <w:ind w:right="501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2.235,32 </w:t>
            </w:r>
          </w:p>
        </w:tc>
      </w:tr>
      <w:tr w:rsidR="004D32EB" w:rsidRPr="00965BD5" w14:paraId="123CCF31" w14:textId="77777777" w:rsidTr="004D32EB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80D4B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(205) Ayuda a la Remolacha Azucarera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2A7A1" w14:textId="28E47608" w:rsidR="00841A4B" w:rsidRPr="00965BD5" w:rsidRDefault="00841A4B" w:rsidP="00965BD5">
            <w:pPr>
              <w:autoSpaceDE w:val="0"/>
              <w:autoSpaceDN w:val="0"/>
              <w:spacing w:before="20" w:after="20"/>
              <w:ind w:right="778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57380" w14:textId="71A17F86" w:rsidR="00841A4B" w:rsidRPr="00965BD5" w:rsidRDefault="00841A4B" w:rsidP="00965BD5">
            <w:pPr>
              <w:autoSpaceDE w:val="0"/>
              <w:autoSpaceDN w:val="0"/>
              <w:spacing w:before="20" w:after="20"/>
              <w:ind w:right="501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11.892,84 </w:t>
            </w:r>
          </w:p>
        </w:tc>
      </w:tr>
      <w:tr w:rsidR="004D32EB" w:rsidRPr="00965BD5" w14:paraId="2C83E6FD" w14:textId="77777777" w:rsidTr="004D32EB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54E89" w14:textId="77777777" w:rsidR="00841A4B" w:rsidRPr="00965BD5" w:rsidRDefault="00841A4B" w:rsidP="00965BD5">
            <w:pPr>
              <w:autoSpaceDE w:val="0"/>
              <w:autoSpaceDN w:val="0"/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(206) Ayuda al Tomate para Industria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2BF67" w14:textId="5065EE4A" w:rsidR="00841A4B" w:rsidRPr="00965BD5" w:rsidRDefault="00841A4B" w:rsidP="00965BD5">
            <w:pPr>
              <w:autoSpaceDE w:val="0"/>
              <w:autoSpaceDN w:val="0"/>
              <w:spacing w:before="20" w:after="20"/>
              <w:ind w:right="778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59FE5" w14:textId="5BA62B4B" w:rsidR="00841A4B" w:rsidRPr="00965BD5" w:rsidRDefault="00841A4B" w:rsidP="00965BD5">
            <w:pPr>
              <w:autoSpaceDE w:val="0"/>
              <w:autoSpaceDN w:val="0"/>
              <w:spacing w:before="20" w:after="20"/>
              <w:ind w:right="501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65BD5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213.891,21 </w:t>
            </w:r>
          </w:p>
        </w:tc>
      </w:tr>
    </w:tbl>
    <w:p w14:paraId="087E06DC" w14:textId="77777777" w:rsidR="00763122" w:rsidRDefault="00763122" w:rsidP="00841A4B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07091F" w14:textId="222082E9" w:rsidR="00763122" w:rsidRDefault="008E51F2" w:rsidP="00841A4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841A4B">
        <w:rPr>
          <w:rFonts w:ascii="Arial" w:hAnsi="Arial" w:cs="Arial"/>
          <w:sz w:val="22"/>
          <w:szCs w:val="22"/>
          <w:lang w:val="es-ES_tradnl"/>
        </w:rPr>
        <w:t>En relación con el</w:t>
      </w:r>
      <w:r w:rsidR="00841A4B" w:rsidRPr="00841A4B">
        <w:rPr>
          <w:rFonts w:ascii="Arial" w:hAnsi="Arial" w:cs="Arial"/>
          <w:sz w:val="22"/>
          <w:szCs w:val="22"/>
          <w:lang w:val="es-ES_tradnl"/>
        </w:rPr>
        <w:t xml:space="preserve"> anticipo de las ayudas del PDR con cargo el FEDER, decir que ya desde el año 2011, los pagos de estas ayudas se realizan a campaña vencida, es decir que ya en el mes de junio de este año se finalizaron todos los pagos de las ayudas asimiladas al SIGC de la campaña 2020.</w:t>
      </w:r>
    </w:p>
    <w:p w14:paraId="1E6E5DAE" w14:textId="77777777" w:rsidR="008E51F2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46565C">
        <w:rPr>
          <w:rFonts w:ascii="Arial" w:hAnsi="Arial" w:cs="Arial"/>
          <w:sz w:val="22"/>
          <w:szCs w:val="22"/>
        </w:rPr>
        <w:t>a 23 de noviembre de 2021</w:t>
      </w:r>
    </w:p>
    <w:p w14:paraId="5838F6AF" w14:textId="77777777" w:rsidR="008E51F2" w:rsidRDefault="00763122" w:rsidP="005D2BC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3122">
        <w:rPr>
          <w:rFonts w:ascii="Arial" w:hAnsi="Arial" w:cs="Arial"/>
          <w:sz w:val="22"/>
          <w:szCs w:val="22"/>
        </w:rPr>
        <w:lastRenderedPageBreak/>
        <w:t xml:space="preserve">La </w:t>
      </w:r>
      <w:proofErr w:type="gramStart"/>
      <w:r w:rsidRPr="00763122">
        <w:rPr>
          <w:rFonts w:ascii="Arial" w:hAnsi="Arial" w:cs="Arial"/>
          <w:sz w:val="22"/>
          <w:szCs w:val="22"/>
        </w:rPr>
        <w:t>Consejera</w:t>
      </w:r>
      <w:proofErr w:type="gramEnd"/>
      <w:r w:rsidRPr="00763122">
        <w:rPr>
          <w:rFonts w:ascii="Arial" w:hAnsi="Arial" w:cs="Arial"/>
          <w:sz w:val="22"/>
          <w:szCs w:val="22"/>
        </w:rPr>
        <w:t xml:space="preserve"> de Desarrollo Rural y Medio Ambiente</w:t>
      </w:r>
      <w:r>
        <w:rPr>
          <w:rFonts w:ascii="Arial" w:hAnsi="Arial" w:cs="Arial"/>
          <w:sz w:val="22"/>
          <w:szCs w:val="22"/>
        </w:rPr>
        <w:t xml:space="preserve">: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p w14:paraId="798AEE09" w14:textId="2223F349" w:rsidR="00BE0C7D" w:rsidRDefault="00BE0C7D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E0C7D" w:rsidSect="008E51F2">
      <w:headerReference w:type="default" r:id="rId11"/>
      <w:headerReference w:type="first" r:id="rId12"/>
      <w:footerReference w:type="first" r:id="rId13"/>
      <w:type w:val="continuous"/>
      <w:pgSz w:w="11906" w:h="16838" w:code="9"/>
      <w:pgMar w:top="993" w:right="1134" w:bottom="851" w:left="1701" w:header="709" w:footer="7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D065" w14:textId="77777777" w:rsidR="00F54E94" w:rsidRDefault="00F54E94">
      <w:r>
        <w:separator/>
      </w:r>
    </w:p>
  </w:endnote>
  <w:endnote w:type="continuationSeparator" w:id="0">
    <w:p w14:paraId="7B08B5FC" w14:textId="77777777" w:rsidR="00F54E94" w:rsidRDefault="00F5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87C9" w14:textId="56E7BB15"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14:paraId="5F37F46C" w14:textId="77777777"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8C36" w14:textId="77777777" w:rsidR="00F54E94" w:rsidRDefault="00F54E94">
      <w:r>
        <w:separator/>
      </w:r>
    </w:p>
  </w:footnote>
  <w:footnote w:type="continuationSeparator" w:id="0">
    <w:p w14:paraId="1018600E" w14:textId="77777777" w:rsidR="00F54E94" w:rsidRDefault="00F5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14:paraId="30FAD934" w14:textId="77777777" w:rsidTr="00763122">
      <w:trPr>
        <w:jc w:val="right"/>
      </w:trPr>
      <w:tc>
        <w:tcPr>
          <w:tcW w:w="2603" w:type="dxa"/>
        </w:tcPr>
        <w:p w14:paraId="2A609F32" w14:textId="2B085B3E"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14:paraId="57C80DBD" w14:textId="276A1084"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14:paraId="683E16BA" w14:textId="1300F956"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14:paraId="226B6E7E" w14:textId="77777777" w:rsidR="0041058C" w:rsidRDefault="0041058C" w:rsidP="0041058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8" w:type="dxa"/>
      <w:tblLook w:val="04A0" w:firstRow="1" w:lastRow="0" w:firstColumn="1" w:lastColumn="0" w:noHBand="0" w:noVBand="1"/>
    </w:tblPr>
    <w:tblGrid>
      <w:gridCol w:w="2802"/>
      <w:gridCol w:w="425"/>
      <w:gridCol w:w="6946"/>
      <w:gridCol w:w="274"/>
      <w:gridCol w:w="681"/>
    </w:tblGrid>
    <w:tr w:rsidR="00E44044" w14:paraId="7896CBD9" w14:textId="77777777" w:rsidTr="00672666">
      <w:tc>
        <w:tcPr>
          <w:tcW w:w="2802" w:type="dxa"/>
        </w:tcPr>
        <w:p w14:paraId="4FFFFE93" w14:textId="7925F327"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425" w:type="dxa"/>
        </w:tcPr>
        <w:p w14:paraId="2AD61D50" w14:textId="77777777" w:rsidR="00E44044" w:rsidRDefault="00E44044" w:rsidP="0087671F">
          <w:pPr>
            <w:jc w:val="right"/>
            <w:rPr>
              <w:rFonts w:ascii="Calibri" w:eastAsia="Calibri" w:hAnsi="Calibri"/>
              <w:b/>
              <w:sz w:val="16"/>
              <w:szCs w:val="16"/>
            </w:rPr>
          </w:pPr>
        </w:p>
      </w:tc>
      <w:tc>
        <w:tcPr>
          <w:tcW w:w="6946" w:type="dxa"/>
        </w:tcPr>
        <w:p w14:paraId="732F515D" w14:textId="4B649F4B" w:rsidR="00E44044" w:rsidRDefault="00E44044" w:rsidP="00672666">
          <w:pPr>
            <w:ind w:left="976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74" w:type="dxa"/>
        </w:tcPr>
        <w:p w14:paraId="79514BAD" w14:textId="77777777"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81" w:type="dxa"/>
        </w:tcPr>
        <w:p w14:paraId="3ED12575" w14:textId="77777777"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14:paraId="4C173593" w14:textId="77777777" w:rsidR="0041058C" w:rsidRDefault="0041058C" w:rsidP="004105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62111"/>
    <w:rsid w:val="001D3AA7"/>
    <w:rsid w:val="001E2EDF"/>
    <w:rsid w:val="002364F6"/>
    <w:rsid w:val="002A7F52"/>
    <w:rsid w:val="002B0435"/>
    <w:rsid w:val="002C487D"/>
    <w:rsid w:val="002D7F3F"/>
    <w:rsid w:val="002F09BF"/>
    <w:rsid w:val="0030333F"/>
    <w:rsid w:val="00335D98"/>
    <w:rsid w:val="00354E75"/>
    <w:rsid w:val="0037010A"/>
    <w:rsid w:val="003F202A"/>
    <w:rsid w:val="004036F1"/>
    <w:rsid w:val="0041058C"/>
    <w:rsid w:val="00440B04"/>
    <w:rsid w:val="00453C47"/>
    <w:rsid w:val="0046104F"/>
    <w:rsid w:val="0046565C"/>
    <w:rsid w:val="00466CCC"/>
    <w:rsid w:val="004D32EB"/>
    <w:rsid w:val="004E12F7"/>
    <w:rsid w:val="004F4DAA"/>
    <w:rsid w:val="0051364C"/>
    <w:rsid w:val="00592A62"/>
    <w:rsid w:val="005D18F1"/>
    <w:rsid w:val="005D2BC0"/>
    <w:rsid w:val="005D420C"/>
    <w:rsid w:val="00612F2B"/>
    <w:rsid w:val="006415DD"/>
    <w:rsid w:val="006620EA"/>
    <w:rsid w:val="00672666"/>
    <w:rsid w:val="006C3F95"/>
    <w:rsid w:val="006E3228"/>
    <w:rsid w:val="00710131"/>
    <w:rsid w:val="0073583F"/>
    <w:rsid w:val="00763122"/>
    <w:rsid w:val="007751A2"/>
    <w:rsid w:val="007D3B60"/>
    <w:rsid w:val="007E7248"/>
    <w:rsid w:val="00807388"/>
    <w:rsid w:val="00823D59"/>
    <w:rsid w:val="00841A4B"/>
    <w:rsid w:val="00842199"/>
    <w:rsid w:val="008501A8"/>
    <w:rsid w:val="00862504"/>
    <w:rsid w:val="00886558"/>
    <w:rsid w:val="008932F8"/>
    <w:rsid w:val="008E51F2"/>
    <w:rsid w:val="008E7325"/>
    <w:rsid w:val="00901293"/>
    <w:rsid w:val="009222E1"/>
    <w:rsid w:val="009573E3"/>
    <w:rsid w:val="00965BD5"/>
    <w:rsid w:val="00966998"/>
    <w:rsid w:val="0099134F"/>
    <w:rsid w:val="00A526BF"/>
    <w:rsid w:val="00A52CE4"/>
    <w:rsid w:val="00A572B9"/>
    <w:rsid w:val="00AA4C9C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320CB"/>
    <w:rsid w:val="00E44044"/>
    <w:rsid w:val="00E638E1"/>
    <w:rsid w:val="00E76CF6"/>
    <w:rsid w:val="00E85304"/>
    <w:rsid w:val="00E9767F"/>
    <w:rsid w:val="00EB02C9"/>
    <w:rsid w:val="00EC430E"/>
    <w:rsid w:val="00EF6384"/>
    <w:rsid w:val="00F008A3"/>
    <w:rsid w:val="00F0596D"/>
    <w:rsid w:val="00F54E94"/>
    <w:rsid w:val="00F57AC4"/>
    <w:rsid w:val="00F65E1C"/>
    <w:rsid w:val="00F72660"/>
    <w:rsid w:val="00F72A37"/>
    <w:rsid w:val="00F76EE5"/>
    <w:rsid w:val="00FB1CF7"/>
    <w:rsid w:val="00FC2C76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629EE3"/>
  <w15:docId w15:val="{637BAB84-C495-48C9-9ACF-1C589BA4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309bb5479441c6f611db6aed3acd885a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abf5a50f06450677ddc1b26469f96f42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7F22-2B89-4B44-B3CA-7DED26200F7B}">
  <ds:schemaRefs>
    <ds:schemaRef ds:uri="http://schemas.microsoft.com/office/2006/metadata/properties"/>
    <ds:schemaRef ds:uri="8d8dfc88-3856-4602-b0f5-758074d81f2e"/>
    <ds:schemaRef ds:uri="6de89288-a96a-4f72-81d0-e24dca16ed29"/>
    <ds:schemaRef ds:uri="977994ae-212b-4247-aa7a-48b769f73074"/>
    <ds:schemaRef ds:uri="294963d3-2b63-42b2-88cf-47d071b25ce2"/>
  </ds:schemaRefs>
</ds:datastoreItem>
</file>

<file path=customXml/itemProps2.xml><?xml version="1.0" encoding="utf-8"?>
<ds:datastoreItem xmlns:ds="http://schemas.openxmlformats.org/officeDocument/2006/customXml" ds:itemID="{3D1754C9-E4B2-40C4-A475-6A6A7903B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A38D1-52A1-42D7-836B-D1167FD82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10B734-7531-47B6-9F5F-A0FB8741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32</TotalTime>
  <Pages>2</Pages>
  <Words>468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N222866</dc:creator>
  <cp:lastModifiedBy>De Santiago, Iñaki</cp:lastModifiedBy>
  <cp:revision>9</cp:revision>
  <cp:lastPrinted>2021-11-23T15:59:00Z</cp:lastPrinted>
  <dcterms:created xsi:type="dcterms:W3CDTF">2021-10-14T10:43:00Z</dcterms:created>
  <dcterms:modified xsi:type="dcterms:W3CDTF">2022-01-19T07:40:00Z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0x01010052C438A63E3426488F876E8C666D8542</vt:lpwstr>
  </property>
</Properties>
</file>