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Bakartxo Ruiz Jaso andreak aurkeztutako galdera, Nafarroako Administrazio Publikoetako lanpostuak betetzeko merezimenduen balorazioa arautzen duen araudi berriari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parlamentarioari atxikitako Bakartxo Ruiz Jaso Foru Parlamentari andreak, Legebiltzarreko Erregelamenduko 188. artikuluan eta hurrengoetan xedatuaren babesean, eskatzen du Herritarrekiko Harremanetarako Kontseilari Ana Ollo Hualde andereak honako galdera honi ahoz erantzun diezaion Osoko Bilkuran</w:t>
      </w:r>
    </w:p>
    <w:p>
      <w:pPr>
        <w:pStyle w:val="0"/>
        <w:suppressAutoHyphens w:val="false"/>
        <w:rPr>
          <w:rStyle w:val="1"/>
        </w:rPr>
      </w:pPr>
      <w:r>
        <w:rPr>
          <w:rStyle w:val="1"/>
        </w:rPr>
        <w:t xml:space="preserve">Pasa den urtarrilaren 28an Nafarroako Gobernuak Funtzio Publikoko Mahai Orokorrera bideratu zuen Nafarroako Administrazio Publikoetan merezimenduak baloratzeko araudi berriaren zirriborroa. </w:t>
      </w:r>
    </w:p>
    <w:p>
      <w:pPr>
        <w:pStyle w:val="0"/>
        <w:suppressAutoHyphens w:val="false"/>
        <w:rPr>
          <w:rStyle w:val="1"/>
        </w:rPr>
      </w:pPr>
      <w:r>
        <w:rPr>
          <w:rStyle w:val="1"/>
        </w:rPr>
        <w:t xml:space="preserve">Zer dela eta iruditzen zaizu “partzialki bada ere, aurrerapausua dela” dekretu proposamena, eta zure ustez zer nolako oinarria ezartzen da Gobernuak onartzear duen Euskararen II. Plan Estrategikoari eta departamentuen hizkuntza planen onarpenari begira?</w:t>
      </w:r>
    </w:p>
    <w:p>
      <w:pPr>
        <w:pStyle w:val="0"/>
        <w:suppressAutoHyphens w:val="false"/>
        <w:rPr>
          <w:rStyle w:val="1"/>
        </w:rPr>
      </w:pPr>
      <w:r>
        <w:rPr>
          <w:rStyle w:val="1"/>
        </w:rPr>
        <w:t xml:space="preserve">Iruñean, 2022ko otsailaren 2an</w:t>
      </w:r>
    </w:p>
    <w:p>
      <w:pPr>
        <w:pStyle w:val="0"/>
        <w:suppressAutoHyphens w:val="false"/>
        <w:rPr>
          <w:rStyle w:val="1"/>
        </w:rPr>
      </w:pPr>
      <w:r>
        <w:rPr>
          <w:rStyle w:val="1"/>
        </w:rPr>
        <w:t xml:space="preserve">Four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