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dependencia de los compromisos del Gobierno contra la xenofobia y por la cohesión social de decisiones adoptadas en Madrid,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oral de máxima actualidad para que sea respondida en el Pleno el próximo 10 de febrero de 2022 por la Presidenta del Gobierno de Navarra, Dª María Chivite Navascués.</w:t>
      </w:r>
    </w:p>
    <w:p>
      <w:pPr>
        <w:pStyle w:val="0"/>
        <w:suppressAutoHyphens w:val="false"/>
        <w:rPr>
          <w:rStyle w:val="1"/>
        </w:rPr>
      </w:pPr>
      <w:r>
        <w:rPr>
          <w:rStyle w:val="1"/>
        </w:rPr>
        <w:t xml:space="preserve">• ¿Van a depender sus compromisos y los de su Gobierno contra la xenofobia y por la cohesión social de decisiones adoptadas en Madrid en base a determinados intereses políticos?</w:t>
      </w:r>
    </w:p>
    <w:p>
      <w:pPr>
        <w:pStyle w:val="0"/>
        <w:suppressAutoHyphens w:val="false"/>
        <w:rPr>
          <w:rStyle w:val="1"/>
        </w:rPr>
      </w:pPr>
      <w:r>
        <w:rPr>
          <w:rStyle w:val="1"/>
        </w:rPr>
        <w:t xml:space="preserve">En Iruña-Pamplona, a 3 de febrero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