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memoria y reconocimiento a las mujeres navarras objeto de la caza de brujas en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El Pleno del Parlamento de Navarra en sesión celebrada el 28 de marzo de 2019 aprobó un Resolución por la que se instaba al Gobierno de Navarra a integrar la memoria de las víctimas de la caza de brujas en el seno del Instituto de la Memoria, en la que se recogían los siguientes acuerdos:</w:t>
      </w:r>
    </w:p>
    <w:p>
      <w:pPr>
        <w:pStyle w:val="0"/>
        <w:suppressAutoHyphens w:val="false"/>
        <w:rPr>
          <w:rStyle w:val="1"/>
        </w:rPr>
      </w:pPr>
      <w:r>
        <w:rPr>
          <w:rStyle w:val="1"/>
        </w:rPr>
        <w:t xml:space="preserve">“1.- Se insta al Gobierno de Navarra a que, bajo la Dirección General de Paz, Convivencia y Derechos Humanos, en el seno del Instituto de la Memoria, e insertada en una línea de trabajo y acción centrada de manera específica en la perspectiva de género, se contemple el estudio y la investigación sobre las víctimas de la caza de brujas como un antecedente de la represión sufrida por las mujeres también en períodos históricos más recientes.</w:t>
      </w:r>
    </w:p>
    <w:p>
      <w:pPr>
        <w:pStyle w:val="0"/>
        <w:suppressAutoHyphens w:val="false"/>
        <w:rPr>
          <w:rStyle w:val="1"/>
        </w:rPr>
      </w:pPr>
      <w:r>
        <w:rPr>
          <w:rStyle w:val="1"/>
        </w:rPr>
        <w:t xml:space="preserve">2.- Se exhorta al Ejecutivo Foral a elaborar un mapa de lugares de memoria relacionados con la caza de brujas, otorgándoles a dichos lugares un régimen de protección similar al de otros lugares de memoria.</w:t>
      </w:r>
    </w:p>
    <w:p>
      <w:pPr>
        <w:pStyle w:val="0"/>
        <w:suppressAutoHyphens w:val="false"/>
        <w:rPr>
          <w:rStyle w:val="1"/>
        </w:rPr>
      </w:pPr>
      <w:r>
        <w:rPr>
          <w:rStyle w:val="1"/>
        </w:rPr>
        <w:t xml:space="preserve">3.- Se emplaza al Gobierno de Navarra a que desde las instituciones públicas se lleve a cabo un homenaje de reconocimiento en memoria de las personas, en su mayoría mujeres, asesinadas en el contexto de la caza de brujas, con la consiguiente denuncia pública de lo que supuso un mayúsculo feminicidio institucional.</w:t>
      </w:r>
    </w:p>
    <w:p>
      <w:pPr>
        <w:pStyle w:val="0"/>
        <w:suppressAutoHyphens w:val="false"/>
        <w:rPr>
          <w:rStyle w:val="1"/>
        </w:rPr>
      </w:pPr>
      <w:r>
        <w:rPr>
          <w:rStyle w:val="1"/>
        </w:rPr>
        <w:t xml:space="preserve">4.- Se compele al Ejecutivo Foral a que desde el Departamento de Educación se fomente la elaboración de materiales didácticos y audiovisuales que ofrezcan la perspectiva de las mujeres represaliadas, víctimas de la caza de brujas”.</w:t>
      </w:r>
    </w:p>
    <w:p>
      <w:pPr>
        <w:pStyle w:val="0"/>
        <w:suppressAutoHyphens w:val="false"/>
        <w:rPr>
          <w:rStyle w:val="1"/>
        </w:rPr>
      </w:pPr>
      <w:r>
        <w:rPr>
          <w:rStyle w:val="1"/>
        </w:rPr>
        <w:t xml:space="preserve">Recientemente, el pleno del Parlament de Catalunya, también aprobó una resolución sobre esta cuestión. En la misma se aprobó:</w:t>
      </w:r>
    </w:p>
    <w:p>
      <w:pPr>
        <w:pStyle w:val="0"/>
        <w:suppressAutoHyphens w:val="false"/>
        <w:rPr>
          <w:rStyle w:val="1"/>
        </w:rPr>
      </w:pPr>
      <w:r>
        <w:rPr>
          <w:rStyle w:val="1"/>
        </w:rPr>
        <w:t xml:space="preserve">“1. Reconoce a las mujeres acusadas y condenadas por brujería como víctimas de una persecución misógina que llevó al asesinato a miles de mujeres en todo el mundo.</w:t>
      </w:r>
    </w:p>
    <w:p>
      <w:pPr>
        <w:pStyle w:val="0"/>
        <w:suppressAutoHyphens w:val="false"/>
        <w:rPr>
          <w:rStyle w:val="1"/>
        </w:rPr>
      </w:pPr>
      <w:r>
        <w:rPr>
          <w:rStyle w:val="1"/>
        </w:rPr>
        <w:t xml:space="preserve">2. Manifiesta su apoyo a la campaña "No eran brujas, eran mujeres" y a la reparación de su memoria. El Parlamento de Cataluña insta al Gobierno a:</w:t>
      </w:r>
    </w:p>
    <w:p>
      <w:pPr>
        <w:pStyle w:val="0"/>
        <w:suppressAutoHyphens w:val="false"/>
        <w:rPr>
          <w:rStyle w:val="1"/>
        </w:rPr>
      </w:pPr>
      <w:r>
        <w:rPr>
          <w:rStyle w:val="1"/>
        </w:rPr>
        <w:t xml:space="preserve">a. Reparar la memoria histórica, dignificar y reivindicar, promoviendo acciones de desagravio, todas las mujeres injustamente condenadas, ejecutadas y reprimidas a lo largo de la historia por brujería, y sensibilizar al conjunto de la población en los valores de la igualdad y los derechos humanos.</w:t>
      </w:r>
    </w:p>
    <w:p>
      <w:pPr>
        <w:pStyle w:val="0"/>
        <w:suppressAutoHyphens w:val="false"/>
        <w:rPr>
          <w:rStyle w:val="1"/>
        </w:rPr>
      </w:pPr>
      <w:r>
        <w:rPr>
          <w:rStyle w:val="1"/>
        </w:rPr>
        <w:t xml:space="preserve">b. Impulsar estudios académicos con perspectiva de género sobre la cacería de brujas y sus causas, incorporando este hecho al currículo académico.</w:t>
      </w:r>
    </w:p>
    <w:p>
      <w:pPr>
        <w:pStyle w:val="0"/>
        <w:suppressAutoHyphens w:val="false"/>
        <w:rPr>
          <w:rStyle w:val="1"/>
        </w:rPr>
      </w:pPr>
      <w:r>
        <w:rPr>
          <w:rStyle w:val="1"/>
        </w:rPr>
        <w:t xml:space="preserve">c. Impulsar la promoción de acciones divulgativas para dar a conocer la cacería de brujas realizada durante tantos años en Cataluña, y sensibilizar sobre este episodio histórico y sus causas (criminalización de la diferencia, misoginia).</w:t>
      </w:r>
    </w:p>
    <w:p>
      <w:pPr>
        <w:pStyle w:val="0"/>
        <w:suppressAutoHyphens w:val="false"/>
        <w:rPr>
          <w:rStyle w:val="1"/>
        </w:rPr>
      </w:pPr>
      <w:r>
        <w:rPr>
          <w:rStyle w:val="1"/>
        </w:rPr>
        <w:t xml:space="preserve">d. Emplazar a los ayuntamientos de Cataluña a la revisión de su nomenclátor para incluir los nombres de las mujeres condenadas por brujería de su municipio, como ejercicio de reparación histórica y de feminización de los nombres de las calles.</w:t>
      </w:r>
    </w:p>
    <w:p>
      <w:pPr>
        <w:pStyle w:val="0"/>
        <w:suppressAutoHyphens w:val="false"/>
        <w:rPr>
          <w:rStyle w:val="1"/>
        </w:rPr>
      </w:pPr>
      <w:r>
        <w:rPr>
          <w:rStyle w:val="1"/>
        </w:rPr>
        <w:t xml:space="preserve">A la vista de todo lo anterior, se formulan las siguientes preguntas:</w:t>
      </w:r>
    </w:p>
    <w:p>
      <w:pPr>
        <w:pStyle w:val="0"/>
        <w:suppressAutoHyphens w:val="false"/>
        <w:rPr>
          <w:rStyle w:val="1"/>
        </w:rPr>
      </w:pPr>
      <w:r>
        <w:rPr>
          <w:rStyle w:val="1"/>
        </w:rPr>
        <w:t xml:space="preserve">1.- ¿En cumplimiento de lo resuelto por el Parlamento de Navarra, qué actuaciones ha desarrollado la Dirección General de Paz, Convivencia y Derechos Humanos, para la inserción de una línea de trabajo y acción centrada de manera específica en la perspectiva de género contemplando el estudio y la investigación sobre las víctimas de la caza de brujas como un antecedente de la represión sufrida por las mujeres también en períodos históricos más recientes?</w:t>
      </w:r>
    </w:p>
    <w:p>
      <w:pPr>
        <w:pStyle w:val="0"/>
        <w:suppressAutoHyphens w:val="false"/>
        <w:rPr>
          <w:rStyle w:val="1"/>
        </w:rPr>
      </w:pPr>
      <w:r>
        <w:rPr>
          <w:rStyle w:val="1"/>
        </w:rPr>
        <w:t xml:space="preserve">2.- ¿Qué actuaciones ha realizado el Gobierno de Navarra desde marzo de 2019 para elaborar un mapa de lugares de memoria relacionados con la caza de brujas, otorgándoles a dichos lugares un régimen de protección similar al de otros lugares de memoria? ¿En qué localidades se han localizado esos lugares de memoria relacionados con la caza de brujas?</w:t>
      </w:r>
    </w:p>
    <w:p>
      <w:pPr>
        <w:pStyle w:val="0"/>
        <w:suppressAutoHyphens w:val="false"/>
        <w:rPr>
          <w:rStyle w:val="1"/>
        </w:rPr>
      </w:pPr>
      <w:r>
        <w:rPr>
          <w:rStyle w:val="1"/>
        </w:rPr>
        <w:t xml:space="preserve">3.- ¿Ha realizado el Gobierno de Navarra directamente o en colaboración con las entidades locales afectadas algún homenaje de reconocimiento en memoria de las personas, en su mayoría mujeres, asesinadas en el contexto de la caza de brujas, con la consiguiente denuncia pública de lo que supuso un mayúsculo feminicidio institucional? Si la respuesta es negativa, ¿tiene previsto el Gobierno realizar algún homenaje de reconocimiento a esas mujeres?</w:t>
      </w:r>
    </w:p>
    <w:p>
      <w:pPr>
        <w:pStyle w:val="0"/>
        <w:suppressAutoHyphens w:val="false"/>
        <w:rPr>
          <w:rStyle w:val="1"/>
        </w:rPr>
      </w:pPr>
      <w:r>
        <w:rPr>
          <w:rStyle w:val="1"/>
        </w:rPr>
        <w:t xml:space="preserve">4.- ¿Qué actuaciones se han realizado desde el Departamento de Educación para fomentar la elaboración de materiales didácticos y audiovisuales que ofrezcan la perspectiva de las mujeres represaliadas, víctimas de la caza de brujas?</w:t>
      </w:r>
    </w:p>
    <w:p>
      <w:pPr>
        <w:pStyle w:val="0"/>
        <w:suppressAutoHyphens w:val="false"/>
        <w:rPr>
          <w:rStyle w:val="1"/>
        </w:rPr>
      </w:pPr>
      <w:r>
        <w:rPr>
          <w:rStyle w:val="1"/>
        </w:rPr>
        <w:t xml:space="preserve">Iruñea/Pamplona a 3 de febrero de 2022</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