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softHyphen/>
        <w:t xml:space="preserve">tzarrari en</w:t>
        <w:softHyphen/>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softHyphen/>
        <w:t xml:space="preserve">tzeko onar</w:t>
        <w:softHyphen/>
        <w:softHyphen/>
        <w:softHyphen/>
        <w:softHyphen/>
        <w:softHyphen/>
        <w:t xml:space="preserve">tzea Marta Álvarez Alonso andreak aurkezturiko galdera, Justizia Zuzendaritza Nagusiaren eta Nafarroako Erregistro Orokorraren bulegoak berritzeko obretan irisgarritasunera bideratutako kostuari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softHyphen/>
        <w:t xml:space="preserve">tzea.</w:t>
      </w:r>
    </w:p>
    <w:p>
      <w:pPr>
        <w:pStyle w:val="0"/>
        <w:suppressAutoHyphens w:val="false"/>
        <w:rPr>
          <w:rStyle w:val="1"/>
        </w:rPr>
      </w:pPr>
      <w:r>
        <w:rPr>
          <w:rStyle w:val="1"/>
          <w:b w:val="true"/>
        </w:rPr>
        <w:t xml:space="preserve">3.</w:t>
      </w:r>
      <w:r>
        <w:rPr>
          <w:rStyle w:val="1"/>
        </w:rPr>
        <w:t xml:space="preserve"> Nafarroako Gobernuari igor</w:t>
        <w:softHyphen/>
        <w:softHyphen/>
        <w:softHyphen/>
        <w:softHyphen/>
        <w:softHyphen/>
        <w:t xml:space="preserve">tzea, Legebil</w:t>
        <w:softHyphen/>
        <w:softHyphen/>
        <w:softHyphen/>
        <w:softHyphen/>
        <w:softHyphen/>
        <w:t xml:space="preserve">tzarreko Erregelamenduko 194. artikuluak agindutakoari jarraikiz, ida</w:t>
        <w:softHyphen/>
        <w:softHyphen/>
        <w:softHyphen/>
        <w:softHyphen/>
        <w:softHyphen/>
        <w:t xml:space="preserve">tzizko eran</w:t>
        <w:softHyphen/>
        <w:softHyphen/>
        <w:softHyphen/>
        <w:softHyphen/>
        <w:softHyphen/>
        <w:t xml:space="preserve">tzuna bidal dezan.</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Marta Álvarez Alonso andreak, Legebiltzarreko Erregelamenduko 188. artikuluan eta hurrengoetan ezartzen denaren babesean, galdera hau aurkezten du, idatziz erantzun dakion:</w:t>
      </w:r>
    </w:p>
    <w:p>
      <w:pPr>
        <w:pStyle w:val="0"/>
        <w:suppressAutoHyphens w:val="false"/>
        <w:rPr>
          <w:rStyle w:val="1"/>
        </w:rPr>
      </w:pPr>
      <w:r>
        <w:rPr>
          <w:rStyle w:val="1"/>
        </w:rPr>
        <w:t xml:space="preserve">Migrazio Politiketako eta Justiziako Departamentuaren 2021eko irisgarritasun plan operatiboan 1. neurriko 1. aldaketan aipatzen da Justizia Zuzendaritza Nagusiaren eta Nafarroako Erregistro Orokorraren bulegoak berritzeko obrak eginen direla. Departamentuaren estimazioen arabera, zein izan da bulego horiek berritzeko obretan irisgarritasunera bideratu den kostua?</w:t>
      </w:r>
    </w:p>
    <w:p>
      <w:pPr>
        <w:pStyle w:val="0"/>
        <w:suppressAutoHyphens w:val="false"/>
        <w:rPr>
          <w:rStyle w:val="1"/>
        </w:rPr>
      </w:pPr>
      <w:r>
        <w:rPr>
          <w:rStyle w:val="1"/>
        </w:rPr>
        <w:t xml:space="preserve">Iruñean, 2022ko otsailaren 2an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