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218F" w14:textId="4396B849" w:rsidR="00C76F21" w:rsidRPr="00C76F21" w:rsidRDefault="00577C70" w:rsidP="00C76F21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Navarra Suma talde parlamentarioari atxikitako foru parlamentari Miguel Bujanda Cirauqui jaunak idatziz erantzuteko galdera egin du (10-21/PES-00357), honako hau jakin nahi baitu: </w:t>
      </w:r>
      <w:r>
        <w:rPr>
          <w:sz w:val="24"/>
          <w:szCs w:val="24"/>
          <w:i/>
          <w:rFonts w:ascii="Arial" w:hAnsi="Arial"/>
        </w:rPr>
        <w:t xml:space="preserve">"Hiri erabilerako uraren ziklo integralaren plan gidaria betetzean REACT Next Generation funtsak bilatzeko eta erabiltzeko zer urrats egin dira, Leringo Edateko Uren Araztegia eraikiz planaren ezarpena 2019-2030erako azkartzeko eta Ega ibai bazterreko herriak Itoitz-Nafarroako Ubidea sistemara lotzea aurreratzeko, Egaren adarraren berrastea aprobetxatuta?"</w:t>
      </w:r>
      <w:r>
        <w:rPr>
          <w:sz w:val="24"/>
          <w:szCs w:val="24"/>
          <w:rFonts w:ascii="Arial" w:hAnsi="Arial"/>
        </w:rPr>
        <w:t xml:space="preserve">. Hona Nafarroako Gobernuko Lurralde Kohesiorako kontseilari Bernardo Ciriza Pérez jaunak horretaz ematen dion informazioa: 2019-2030 aldirako Hiri Erabilerako Uraren Ziklo Integralaren Plan Zuzentzailearen helburu nagusiak dira, hornidurari dagokionez, Nafarroa osoa kalitate oneko ur gordinez hornitzea iturri dibertsifikatuetatik, klima-aldaketarekin lotutako gertaerekiko erresilientzia areagotzeko; eta hornidura-eskaria kudeatzea, oinarritzat hartuta eskariaren murrizketa eta erabileraren efizientziaren hobekuntza.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Helburu horiek betetzeko, azpiegituretako inbertsio-lerro batzuk programatu dira.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Hain zuzen ere goi-hornidurako azpiegituretan 70,7 milioi euroko hobekuntzak egitea planteatu da 2019-2024 aldirako.</w:t>
      </w:r>
    </w:p>
    <w:p w14:paraId="336E368E" w14:textId="77777777" w:rsidR="00C76F21" w:rsidRPr="00C76F21" w:rsidRDefault="00C76F21" w:rsidP="00C76F21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Ega ibai bazterreko herriei dagokienez, plan zuzentzaileak helburutzat ezartzen du bere indarraldiko lehen sei urteetan (2019-2024) behar diren jarduketak egitea herri horiek guztiak Mendazako hargunearekin lotzeko, hartara 2024an kalitate bikaineko ur baliabideez hornitu ahal daitezen.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Jarduketa horretarako 23.856.250 euroko inbertsioa aurreikusten da, guztira.</w:t>
      </w:r>
    </w:p>
    <w:p w14:paraId="262FA3A1" w14:textId="0320490F" w:rsidR="00C76F21" w:rsidRPr="00C76F21" w:rsidRDefault="00C76F21" w:rsidP="00C76F21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Behin amaituta planaren lehen sei urteetarako aurreikusten diren inbertsio guztiak –hau da, 70,7 milioi euroko inbertsioak Nafarroa osorako–, 2027an ekinen litzaioke, planaren arabera, Estellerriko Erriberako hego-ekialdea Itoitz-Nafarroako Ubidea sistemarekin lotzeari.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Baliteke data horretan aldaketaren bat izatea, obra horien guztien exekuzioak eta plangintzak eraginda.</w:t>
      </w:r>
    </w:p>
    <w:p w14:paraId="0CA51A41" w14:textId="77777777" w:rsidR="00C76F21" w:rsidRDefault="00C76F21" w:rsidP="00C76F21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Hurrengo urteetarako aurreikusitako inbertsioak lehenago egiten ahalegintzeko eta Toki Inbertsioen Planaz gainera beste finantzaketa-iturri batzuk bilatu ahal izateko, uraren goi-horniduraren inguruko zenbait jarduketa sartu ziren Nafarroako Gobernuak prestatutako trakzio proiektuetan, Suspertze eta Erresilientzia Mekanismoko Next Generation funtsak jasotzeko gai ziren haietan.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Zehazki, Navanza proiektuan (Nafarroan herri eta hiri erresiliente eta jasangarriak eraikitzeko suspertze plana) osagai bat sartu zen hiri erabilerako uraren arloko inbertsioak egiteko, eta barnean hartzen zituen uraren goi-hornidurarako 50 milioi euroko inbertsioak, goi-horniduran hobekuntzak egin ahal izateko, hiri erabilerako uraren plan zuzentzailean ezarri bezala. Aurreikusten zen urtean 10 milioiko inbertsioa egitea 2022-2026 bitartean, Next Generation funtsen exekuzio epea amaitu arte.</w:t>
      </w:r>
    </w:p>
    <w:p w14:paraId="4EB93F4F" w14:textId="77777777" w:rsidR="00B43E04" w:rsidRDefault="00577C70" w:rsidP="00577C70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dizut, Nafarroako Parlamentuko Erregelamenduaren 194. artikuluan xedatutakoa betez.</w:t>
      </w:r>
    </w:p>
    <w:p w14:paraId="2FEFD529" w14:textId="6E2696F1" w:rsidR="00B43E04" w:rsidRDefault="00577C70" w:rsidP="00B43E04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Iruñean, 2021eko abenduaren 9an</w:t>
      </w:r>
    </w:p>
    <w:p w14:paraId="1BB5E9E1" w14:textId="4B6D5E4E" w:rsidR="00577C70" w:rsidRDefault="00B43E04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Lurralde Kohesiorako kontseilaria: Bernardo Ciriza Pérez</w:t>
      </w:r>
    </w:p>
    <w:sectPr w:rsidR="00577C70" w:rsidSect="00B43E04">
      <w:head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D41E" w14:textId="77777777" w:rsidR="003E68F5" w:rsidRDefault="003E68F5">
      <w:r>
        <w:separator/>
      </w:r>
    </w:p>
  </w:endnote>
  <w:endnote w:type="continuationSeparator" w:id="0">
    <w:p w14:paraId="6C1B0B90" w14:textId="77777777" w:rsidR="003E68F5" w:rsidRDefault="003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387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szCs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szCs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separate"/>
    </w:r>
    <w:r w:rsidR="00C362DE">
      <w:rPr>
        <w:rStyle w:val="Nmerodepgina"/>
        <w:sz w:val="18"/>
        <w:szCs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szCs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1FB0" w14:textId="77777777" w:rsidR="003E68F5" w:rsidRDefault="003E68F5">
      <w:r>
        <w:separator/>
      </w:r>
    </w:p>
  </w:footnote>
  <w:footnote w:type="continuationSeparator" w:id="0">
    <w:p w14:paraId="0F71655D" w14:textId="77777777" w:rsidR="003E68F5" w:rsidRDefault="003E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3680" w14:textId="188A700A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947F" w14:textId="77777777"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4FBE3DE2" wp14:editId="5058F3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0" name="Imagen 1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848CD"/>
    <w:rsid w:val="0009463A"/>
    <w:rsid w:val="000A0670"/>
    <w:rsid w:val="000A2D4E"/>
    <w:rsid w:val="000B0A1F"/>
    <w:rsid w:val="000B1C51"/>
    <w:rsid w:val="000B64A1"/>
    <w:rsid w:val="000F462E"/>
    <w:rsid w:val="0012427F"/>
    <w:rsid w:val="00167E09"/>
    <w:rsid w:val="00192C26"/>
    <w:rsid w:val="001F7B80"/>
    <w:rsid w:val="0020329C"/>
    <w:rsid w:val="002168BE"/>
    <w:rsid w:val="00277B58"/>
    <w:rsid w:val="00277C9A"/>
    <w:rsid w:val="002B6912"/>
    <w:rsid w:val="002C7081"/>
    <w:rsid w:val="002D296E"/>
    <w:rsid w:val="003247A3"/>
    <w:rsid w:val="003C040F"/>
    <w:rsid w:val="003D2AE3"/>
    <w:rsid w:val="003E68F5"/>
    <w:rsid w:val="003F1206"/>
    <w:rsid w:val="004031A8"/>
    <w:rsid w:val="00403CE8"/>
    <w:rsid w:val="00426486"/>
    <w:rsid w:val="00442565"/>
    <w:rsid w:val="00482BE6"/>
    <w:rsid w:val="004954BD"/>
    <w:rsid w:val="004C58DB"/>
    <w:rsid w:val="004D4ED7"/>
    <w:rsid w:val="004F3663"/>
    <w:rsid w:val="004F4088"/>
    <w:rsid w:val="00503D84"/>
    <w:rsid w:val="005105F5"/>
    <w:rsid w:val="00524782"/>
    <w:rsid w:val="0052758F"/>
    <w:rsid w:val="005367EB"/>
    <w:rsid w:val="0054673B"/>
    <w:rsid w:val="0055081C"/>
    <w:rsid w:val="00577C70"/>
    <w:rsid w:val="00597336"/>
    <w:rsid w:val="005B0812"/>
    <w:rsid w:val="005B095B"/>
    <w:rsid w:val="005D4B01"/>
    <w:rsid w:val="005E34DB"/>
    <w:rsid w:val="006037CA"/>
    <w:rsid w:val="00610AAA"/>
    <w:rsid w:val="006351EE"/>
    <w:rsid w:val="00662A9D"/>
    <w:rsid w:val="00667A90"/>
    <w:rsid w:val="006764C1"/>
    <w:rsid w:val="00696F6F"/>
    <w:rsid w:val="006A5952"/>
    <w:rsid w:val="006D142E"/>
    <w:rsid w:val="006E370F"/>
    <w:rsid w:val="0072622D"/>
    <w:rsid w:val="0074093A"/>
    <w:rsid w:val="00765080"/>
    <w:rsid w:val="00776285"/>
    <w:rsid w:val="00780CA4"/>
    <w:rsid w:val="00783091"/>
    <w:rsid w:val="00793F61"/>
    <w:rsid w:val="007D36CD"/>
    <w:rsid w:val="007E640E"/>
    <w:rsid w:val="008007AE"/>
    <w:rsid w:val="008029E3"/>
    <w:rsid w:val="00815CAC"/>
    <w:rsid w:val="0082352D"/>
    <w:rsid w:val="00832136"/>
    <w:rsid w:val="00873A74"/>
    <w:rsid w:val="00892550"/>
    <w:rsid w:val="008D3B4B"/>
    <w:rsid w:val="008E1B31"/>
    <w:rsid w:val="008F071C"/>
    <w:rsid w:val="008F298C"/>
    <w:rsid w:val="00905229"/>
    <w:rsid w:val="009226EF"/>
    <w:rsid w:val="009357DF"/>
    <w:rsid w:val="009742D6"/>
    <w:rsid w:val="00987ECD"/>
    <w:rsid w:val="00994342"/>
    <w:rsid w:val="009D73FA"/>
    <w:rsid w:val="009E202F"/>
    <w:rsid w:val="009E381E"/>
    <w:rsid w:val="00A00160"/>
    <w:rsid w:val="00A117E7"/>
    <w:rsid w:val="00A2145B"/>
    <w:rsid w:val="00A840EB"/>
    <w:rsid w:val="00A908FD"/>
    <w:rsid w:val="00AC1D25"/>
    <w:rsid w:val="00AC3455"/>
    <w:rsid w:val="00AC79C9"/>
    <w:rsid w:val="00AF4D6E"/>
    <w:rsid w:val="00B04295"/>
    <w:rsid w:val="00B17CCC"/>
    <w:rsid w:val="00B43E04"/>
    <w:rsid w:val="00B46857"/>
    <w:rsid w:val="00B67F28"/>
    <w:rsid w:val="00B7638E"/>
    <w:rsid w:val="00B93971"/>
    <w:rsid w:val="00BD6A02"/>
    <w:rsid w:val="00BE5976"/>
    <w:rsid w:val="00C22E9D"/>
    <w:rsid w:val="00C362DE"/>
    <w:rsid w:val="00C7645D"/>
    <w:rsid w:val="00C76F21"/>
    <w:rsid w:val="00CA2943"/>
    <w:rsid w:val="00CB0199"/>
    <w:rsid w:val="00CC186C"/>
    <w:rsid w:val="00CD04D9"/>
    <w:rsid w:val="00D66C19"/>
    <w:rsid w:val="00DA6D6E"/>
    <w:rsid w:val="00DC2FF3"/>
    <w:rsid w:val="00DF6784"/>
    <w:rsid w:val="00DF68BC"/>
    <w:rsid w:val="00E03B7B"/>
    <w:rsid w:val="00E0506E"/>
    <w:rsid w:val="00E10C5E"/>
    <w:rsid w:val="00E14840"/>
    <w:rsid w:val="00E20B4D"/>
    <w:rsid w:val="00E21BF7"/>
    <w:rsid w:val="00E3317C"/>
    <w:rsid w:val="00E36204"/>
    <w:rsid w:val="00E616EF"/>
    <w:rsid w:val="00ED5CA9"/>
    <w:rsid w:val="00F0794F"/>
    <w:rsid w:val="00F228ED"/>
    <w:rsid w:val="00F2622F"/>
    <w:rsid w:val="00F323EB"/>
    <w:rsid w:val="00F5367E"/>
    <w:rsid w:val="00F7222A"/>
    <w:rsid w:val="00FA69E7"/>
    <w:rsid w:val="00FE46A9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E30A3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2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0A2D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Aranaz, Carlota</cp:lastModifiedBy>
  <cp:revision>7</cp:revision>
  <cp:lastPrinted>2015-10-05T06:52:00Z</cp:lastPrinted>
  <dcterms:created xsi:type="dcterms:W3CDTF">2021-12-09T08:37:00Z</dcterms:created>
  <dcterms:modified xsi:type="dcterms:W3CDTF">2021-12-17T12:14:00Z</dcterms:modified>
</cp:coreProperties>
</file>