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D716" w14:textId="77777777" w:rsidR="0011393F" w:rsidRDefault="00577C70" w:rsidP="00B5626E">
      <w:pPr>
        <w:spacing w:line="360" w:lineRule="auto"/>
        <w:ind w:left="426"/>
        <w:jc w:val="both"/>
        <w:rPr>
          <w:rFonts w:ascii="Arial" w:hAnsi="Arial" w:cs="Arial"/>
          <w:sz w:val="24"/>
          <w:szCs w:val="24"/>
        </w:rPr>
      </w:pPr>
      <w:r>
        <w:rPr>
          <w:rFonts w:ascii="Arial" w:hAnsi="Arial"/>
          <w:sz w:val="24"/>
          <w:szCs w:val="24"/>
        </w:rPr>
        <w:t xml:space="preserve">Navarra Suma talde parlamentarioari atxikita dagoen foru parlamentari Yolanda </w:t>
      </w:r>
      <w:proofErr w:type="spellStart"/>
      <w:r>
        <w:rPr>
          <w:rFonts w:ascii="Arial" w:hAnsi="Arial"/>
          <w:sz w:val="24"/>
          <w:szCs w:val="24"/>
        </w:rPr>
        <w:t>Ibáñez</w:t>
      </w:r>
      <w:proofErr w:type="spellEnd"/>
      <w:r>
        <w:rPr>
          <w:rFonts w:ascii="Arial" w:hAnsi="Arial"/>
          <w:sz w:val="24"/>
          <w:szCs w:val="24"/>
        </w:rPr>
        <w:t xml:space="preserve"> Pérez andreak idatziz erantzuteko galdera egin du (10-21/PES-00360), honako hau jakin nahi baitu: </w:t>
      </w:r>
      <w:r>
        <w:rPr>
          <w:rFonts w:ascii="Arial" w:hAnsi="Arial"/>
          <w:i/>
          <w:sz w:val="24"/>
          <w:szCs w:val="24"/>
        </w:rPr>
        <w:t>"Dauden hogei aldagaietatik zergatik aukeratu dira bost toki entitateen finantzaketa taxutzean aplikatzeko?"</w:t>
      </w:r>
      <w:r>
        <w:rPr>
          <w:rFonts w:ascii="Arial" w:hAnsi="Arial"/>
          <w:sz w:val="24"/>
          <w:szCs w:val="24"/>
        </w:rPr>
        <w:t xml:space="preserve">. Hona Nafarroako Gobernuko Lurralde Kohesiorako kontseilari Bernardo </w:t>
      </w:r>
      <w:proofErr w:type="spellStart"/>
      <w:r>
        <w:rPr>
          <w:rFonts w:ascii="Arial" w:hAnsi="Arial"/>
          <w:sz w:val="24"/>
          <w:szCs w:val="24"/>
        </w:rPr>
        <w:t>Ciriza</w:t>
      </w:r>
      <w:proofErr w:type="spellEnd"/>
      <w:r>
        <w:rPr>
          <w:rFonts w:ascii="Arial" w:hAnsi="Arial"/>
          <w:sz w:val="24"/>
          <w:szCs w:val="24"/>
        </w:rPr>
        <w:t xml:space="preserve"> Pérez jaunak horretaz ematen dion informazioa: NUPi (</w:t>
      </w:r>
      <w:proofErr w:type="spellStart"/>
      <w:r>
        <w:rPr>
          <w:rFonts w:ascii="Arial" w:hAnsi="Arial"/>
          <w:sz w:val="24"/>
          <w:szCs w:val="24"/>
        </w:rPr>
        <w:t>INARBEko</w:t>
      </w:r>
      <w:proofErr w:type="spellEnd"/>
      <w:r>
        <w:rPr>
          <w:rFonts w:ascii="Arial" w:hAnsi="Arial"/>
          <w:sz w:val="24"/>
          <w:szCs w:val="24"/>
        </w:rPr>
        <w:t xml:space="preserve"> ikerketa taldea) lan batzuk enkargatu zitzaizkion Nafarroako udalerrien gastu-beharren indizea eguneratzeko, bat etorriz 2000. urteko hasierako azterlanean, 2004ko lehen eguneratzean eta 2008ko azken berrikuspenean ezarritako metodoarekin, eta lan horien konklusioetan datza arrazoia.</w:t>
      </w:r>
    </w:p>
    <w:p w14:paraId="45CAEB4B" w14:textId="77777777" w:rsidR="0011393F" w:rsidRDefault="005512E8" w:rsidP="005512E8">
      <w:pPr>
        <w:spacing w:line="360" w:lineRule="auto"/>
        <w:ind w:left="426"/>
        <w:jc w:val="both"/>
        <w:rPr>
          <w:rFonts w:ascii="Arial" w:hAnsi="Arial" w:cs="Arial"/>
          <w:sz w:val="24"/>
          <w:szCs w:val="24"/>
        </w:rPr>
      </w:pPr>
      <w:r>
        <w:rPr>
          <w:rFonts w:ascii="Arial" w:hAnsi="Arial"/>
          <w:sz w:val="24"/>
          <w:szCs w:val="24"/>
        </w:rPr>
        <w:t>Izan ere, NUPek txostena egin du funtsa banatzeari begira gastu-beharraren indizea lortzeko erabili beharreko metodoari buruz, eta txosten horren arabera udalerrien gastu-beharra magnitude latentea da eta ezin da zuzenean neurtu. Arrazoi horrengatik, udal jardueretatik abiatuta gastu-beharra zehar bidez agertzen duten adierazle batzuk hautatu behar dira. Hautaketa hori bi fasetan egin da:</w:t>
      </w:r>
    </w:p>
    <w:p w14:paraId="76EC5D15" w14:textId="77777777" w:rsidR="0011393F" w:rsidRDefault="005512E8" w:rsidP="005512E8">
      <w:pPr>
        <w:spacing w:line="360" w:lineRule="auto"/>
        <w:ind w:left="1134"/>
        <w:jc w:val="both"/>
        <w:rPr>
          <w:rFonts w:ascii="Arial" w:hAnsi="Arial" w:cs="Arial"/>
          <w:sz w:val="24"/>
          <w:szCs w:val="24"/>
        </w:rPr>
      </w:pPr>
      <w:r>
        <w:rPr>
          <w:rFonts w:ascii="Arial" w:hAnsi="Arial"/>
          <w:sz w:val="24"/>
          <w:szCs w:val="24"/>
        </w:rPr>
        <w:t>1. Lurralde Kohesiorako Departamentuan (Toki Administrazioaren eta Despopulazioaren Zuzendaritza Nagusia) eskuragarri dauden adierazleen ebaluazioa egin da, gastu-beharraren adierazle gisa balio dutela berresteko. Horretarako, adierazleak banaka erkatu dira erreferentziako aldagaiarekin (toki gastu bateratua) erregresio bakuneko analisien eta barreiadura-grafikoen bidez. Lehen fase honetan baztertu egin dira toki gastu bateratuarekin erlazio ahula duten adierazleak.</w:t>
      </w:r>
    </w:p>
    <w:p w14:paraId="19C047F4" w14:textId="77777777" w:rsidR="0011393F" w:rsidRDefault="005512E8" w:rsidP="005512E8">
      <w:pPr>
        <w:spacing w:line="360" w:lineRule="auto"/>
        <w:ind w:left="1134"/>
        <w:jc w:val="both"/>
        <w:rPr>
          <w:rFonts w:ascii="Arial" w:hAnsi="Arial" w:cs="Arial"/>
          <w:sz w:val="24"/>
          <w:szCs w:val="24"/>
        </w:rPr>
      </w:pPr>
      <w:r>
        <w:rPr>
          <w:rFonts w:ascii="Arial" w:hAnsi="Arial"/>
          <w:sz w:val="24"/>
          <w:szCs w:val="24"/>
        </w:rPr>
        <w:t xml:space="preserve">2. Lehen fasean hautatutako adierazle baliozkoen arteko erlazio egitura aztertu da. Azterketa hori egin da ez dadin erredundantziarik izan gastu-beharraren adierazleetan, pentsatzekoa baita elkarren artean erlazio lineal sendoa dutela.  Hartara gastu-beharraren adierazleen multzo txikia lortu nahi izan da, GBA errazago kalkulatzeko. Fase honetan erabilitako estatistikako teknika Osagai Nagusien Analisia izan da (hemendik aurrera, ONA). </w:t>
      </w:r>
    </w:p>
    <w:p w14:paraId="6E9A1BC3" w14:textId="64BBF559" w:rsidR="005512E8" w:rsidRPr="005512E8" w:rsidRDefault="005512E8" w:rsidP="005512E8">
      <w:pPr>
        <w:spacing w:line="360" w:lineRule="auto"/>
        <w:ind w:left="426"/>
        <w:jc w:val="both"/>
        <w:rPr>
          <w:rFonts w:ascii="Arial" w:hAnsi="Arial" w:cs="Arial"/>
          <w:sz w:val="24"/>
          <w:szCs w:val="24"/>
        </w:rPr>
      </w:pPr>
      <w:r>
        <w:rPr>
          <w:rFonts w:ascii="Arial" w:hAnsi="Arial"/>
          <w:sz w:val="24"/>
          <w:szCs w:val="24"/>
        </w:rPr>
        <w:t xml:space="preserve">Adierazle bakoitza bi ikuspegitatik konparatu da erreferentziako aldagaiarekin (toki gastu bateratuarekin): grafikoki eta </w:t>
      </w:r>
      <w:proofErr w:type="spellStart"/>
      <w:r>
        <w:rPr>
          <w:rFonts w:ascii="Arial" w:hAnsi="Arial"/>
          <w:sz w:val="24"/>
          <w:szCs w:val="24"/>
        </w:rPr>
        <w:t>analitikoki</w:t>
      </w:r>
      <w:proofErr w:type="spellEnd"/>
      <w:r>
        <w:rPr>
          <w:rFonts w:ascii="Arial" w:hAnsi="Arial"/>
          <w:sz w:val="24"/>
          <w:szCs w:val="24"/>
        </w:rPr>
        <w:t xml:space="preserve">. Batetik, adierazle bakoitzaren </w:t>
      </w:r>
      <w:r>
        <w:rPr>
          <w:rFonts w:ascii="Arial" w:hAnsi="Arial"/>
          <w:sz w:val="24"/>
          <w:szCs w:val="24"/>
        </w:rPr>
        <w:lastRenderedPageBreak/>
        <w:t>barreiadura-diagrama egin da erreferentziako aldagaiarekin. Bestetik, erregresio lineal bakuneko analisiak egin dira, mendeko aldagai gisa jarriz erreferentziako aldagaia eta aldagai esplikatzaile gisa jarriz gastu-beharraren kasuan kasuko adierazlea.</w:t>
      </w:r>
    </w:p>
    <w:p w14:paraId="717A632E" w14:textId="77777777" w:rsidR="0011393F" w:rsidRDefault="005512E8" w:rsidP="005512E8">
      <w:pPr>
        <w:spacing w:line="360" w:lineRule="auto"/>
        <w:ind w:left="426"/>
        <w:jc w:val="both"/>
        <w:rPr>
          <w:rFonts w:ascii="Arial" w:hAnsi="Arial" w:cs="Arial"/>
          <w:sz w:val="24"/>
          <w:szCs w:val="24"/>
        </w:rPr>
      </w:pPr>
      <w:r>
        <w:rPr>
          <w:rFonts w:ascii="Arial" w:hAnsi="Arial"/>
          <w:sz w:val="24"/>
          <w:szCs w:val="24"/>
        </w:rPr>
        <w:t xml:space="preserve">Gastu-beharraren zenbat adierazle hautatu, hainbeste erregresio bakuneko analisi egin dira. </w:t>
      </w:r>
    </w:p>
    <w:p w14:paraId="3484F356" w14:textId="77777777" w:rsidR="0011393F" w:rsidRDefault="005512E8" w:rsidP="005512E8">
      <w:pPr>
        <w:spacing w:line="360" w:lineRule="auto"/>
        <w:ind w:left="426"/>
        <w:jc w:val="both"/>
        <w:rPr>
          <w:rFonts w:ascii="Arial" w:hAnsi="Arial" w:cs="Arial"/>
          <w:sz w:val="24"/>
          <w:szCs w:val="24"/>
        </w:rPr>
      </w:pPr>
      <w:r>
        <w:rPr>
          <w:rFonts w:ascii="Arial" w:hAnsi="Arial"/>
          <w:sz w:val="24"/>
          <w:szCs w:val="24"/>
        </w:rPr>
        <w:t>Analisi horien bitartez zehazten da erreferentziako aldagaiarekin zenbaterainoko lotura duen gastu-beharraren adierazle bakoitzak, eta, horrela, gastu-beharraren adierazle gisa duen egokitasuna edo baliozkotasuna ebaluatzen da.</w:t>
      </w:r>
    </w:p>
    <w:p w14:paraId="566A5B51" w14:textId="7F3BCF19" w:rsidR="005512E8" w:rsidRPr="005512E8" w:rsidRDefault="005512E8" w:rsidP="005512E8">
      <w:pPr>
        <w:spacing w:line="360" w:lineRule="auto"/>
        <w:ind w:left="426"/>
        <w:jc w:val="both"/>
        <w:rPr>
          <w:rFonts w:ascii="Arial" w:hAnsi="Arial" w:cs="Arial"/>
          <w:sz w:val="24"/>
          <w:szCs w:val="24"/>
        </w:rPr>
      </w:pPr>
      <w:r>
        <w:rPr>
          <w:rFonts w:ascii="Arial" w:hAnsi="Arial"/>
          <w:sz w:val="24"/>
          <w:szCs w:val="24"/>
        </w:rPr>
        <w:t>Aipatu txostenaren I. ERANSKINEAN jaso da gastu-beharraren adierazle posibletzat identifikatutako aldagai guztien azterketa osoa (2016-2019 aldiko datuak). Hona eranskinaren edukia:</w:t>
      </w:r>
    </w:p>
    <w:p w14:paraId="493E0C6A" w14:textId="77777777" w:rsidR="005512E8" w:rsidRPr="005512E8" w:rsidRDefault="005512E8" w:rsidP="00496066">
      <w:pPr>
        <w:spacing w:line="360" w:lineRule="auto"/>
        <w:ind w:left="1134"/>
        <w:jc w:val="both"/>
        <w:rPr>
          <w:rFonts w:ascii="Arial" w:hAnsi="Arial" w:cs="Arial"/>
          <w:sz w:val="24"/>
          <w:szCs w:val="24"/>
        </w:rPr>
      </w:pPr>
      <w:r>
        <w:rPr>
          <w:rFonts w:ascii="Arial" w:hAnsi="Arial"/>
          <w:sz w:val="24"/>
          <w:szCs w:val="24"/>
        </w:rPr>
        <w:t> Aztertutako aldagaien zerrenda. Aldagai asko dira,</w:t>
      </w:r>
    </w:p>
    <w:p w14:paraId="6C6F1E1D" w14:textId="77777777" w:rsidR="005512E8" w:rsidRPr="005512E8" w:rsidRDefault="005512E8" w:rsidP="00496066">
      <w:pPr>
        <w:spacing w:line="360" w:lineRule="auto"/>
        <w:ind w:left="1134"/>
        <w:jc w:val="both"/>
        <w:rPr>
          <w:rFonts w:ascii="Arial" w:hAnsi="Arial" w:cs="Arial"/>
          <w:sz w:val="24"/>
          <w:szCs w:val="24"/>
        </w:rPr>
      </w:pPr>
      <w:r>
        <w:rPr>
          <w:rFonts w:ascii="Arial" w:hAnsi="Arial"/>
          <w:sz w:val="24"/>
          <w:szCs w:val="24"/>
        </w:rPr>
        <w:t>Toki Administrazioaren eta Despopulazioaren Zuzendaritza Nagusiak eskaini dituenak aztertutako aldirako (2016-2019)</w:t>
      </w:r>
    </w:p>
    <w:p w14:paraId="7DE3360B" w14:textId="77777777" w:rsidR="005512E8" w:rsidRPr="005512E8" w:rsidRDefault="005512E8" w:rsidP="00496066">
      <w:pPr>
        <w:spacing w:line="360" w:lineRule="auto"/>
        <w:ind w:left="1134"/>
        <w:jc w:val="both"/>
        <w:rPr>
          <w:rFonts w:ascii="Arial" w:hAnsi="Arial" w:cs="Arial"/>
          <w:sz w:val="24"/>
          <w:szCs w:val="24"/>
        </w:rPr>
      </w:pPr>
      <w:r>
        <w:rPr>
          <w:rFonts w:ascii="Arial" w:hAnsi="Arial"/>
          <w:sz w:val="24"/>
          <w:szCs w:val="24"/>
        </w:rPr>
        <w:t> Aztertutako aldagaien eta erreferentziako aldagaiaren (guztizko gastu bateratuaren) estatistiko deskribatzaile nagusiak</w:t>
      </w:r>
    </w:p>
    <w:p w14:paraId="726A5787" w14:textId="77777777" w:rsidR="0011393F" w:rsidRDefault="005512E8" w:rsidP="00496066">
      <w:pPr>
        <w:spacing w:line="360" w:lineRule="auto"/>
        <w:ind w:left="1134"/>
        <w:jc w:val="both"/>
        <w:rPr>
          <w:rFonts w:ascii="Arial" w:hAnsi="Arial" w:cs="Arial"/>
          <w:sz w:val="24"/>
          <w:szCs w:val="24"/>
        </w:rPr>
      </w:pPr>
      <w:r>
        <w:rPr>
          <w:rFonts w:ascii="Arial" w:hAnsi="Arial"/>
          <w:sz w:val="24"/>
          <w:szCs w:val="24"/>
        </w:rPr>
        <w:t> Gastu-beharraren adierazle izateko hautagai gisa hartu den aldagai bakoitzerako lortutako barreiadura-grafikoak eta erregresiozko analisiak, erreferentziako aldagaiaren (guztizko gastu bateratuaren) aldean .</w:t>
      </w:r>
    </w:p>
    <w:p w14:paraId="241192BE" w14:textId="77777777" w:rsidR="0011393F" w:rsidRDefault="005512E8" w:rsidP="005512E8">
      <w:pPr>
        <w:spacing w:line="360" w:lineRule="auto"/>
        <w:ind w:left="426"/>
        <w:jc w:val="both"/>
        <w:rPr>
          <w:rFonts w:ascii="Arial" w:hAnsi="Arial" w:cs="Arial"/>
          <w:sz w:val="24"/>
          <w:szCs w:val="24"/>
        </w:rPr>
      </w:pPr>
      <w:r>
        <w:rPr>
          <w:rFonts w:ascii="Arial" w:hAnsi="Arial"/>
          <w:sz w:val="24"/>
          <w:szCs w:val="24"/>
        </w:rPr>
        <w:t>I. ERANSKINEKO informaziotik gastu-beharraren adierazle batzuk atera dira, gastu arrunt bateratua azaltzen laguntzen dutenak; 1. taulan ageri dira.</w:t>
      </w:r>
    </w:p>
    <w:p w14:paraId="27E26C25" w14:textId="74ACCBC1" w:rsidR="005512E8" w:rsidRPr="00B9104B" w:rsidRDefault="005512E8" w:rsidP="00B9104B">
      <w:pPr>
        <w:spacing w:line="360" w:lineRule="auto"/>
        <w:ind w:left="426" w:right="2266"/>
        <w:jc w:val="center"/>
        <w:rPr>
          <w:rFonts w:asciiTheme="minorHAnsi" w:hAnsiTheme="minorHAnsi" w:cs="Arial"/>
        </w:rPr>
      </w:pPr>
      <w:r w:rsidRPr="00B9104B">
        <w:rPr>
          <w:rFonts w:asciiTheme="minorHAnsi" w:hAnsiTheme="minorHAnsi"/>
        </w:rPr>
        <w:t>1. taula: Erabili diren gastu-beharraren adierazleak (2016-2019)</w:t>
      </w:r>
    </w:p>
    <w:tbl>
      <w:tblPr>
        <w:tblStyle w:val="Tablaconcuadrcula"/>
        <w:tblW w:w="0" w:type="auto"/>
        <w:tblInd w:w="426" w:type="dxa"/>
        <w:tblLook w:val="04A0" w:firstRow="1" w:lastRow="0" w:firstColumn="1" w:lastColumn="0" w:noHBand="0" w:noVBand="1"/>
      </w:tblPr>
      <w:tblGrid>
        <w:gridCol w:w="4331"/>
        <w:gridCol w:w="2042"/>
      </w:tblGrid>
      <w:tr w:rsidR="005512E8" w:rsidRPr="00B9104B" w14:paraId="52E7AC8E" w14:textId="77777777" w:rsidTr="00B9104B">
        <w:tc>
          <w:tcPr>
            <w:tcW w:w="4331" w:type="dxa"/>
            <w:vAlign w:val="center"/>
          </w:tcPr>
          <w:p w14:paraId="345B94D8" w14:textId="77777777" w:rsidR="005512E8" w:rsidRPr="00B9104B" w:rsidRDefault="005512E8" w:rsidP="00B9104B">
            <w:pPr>
              <w:spacing w:before="40" w:after="40"/>
              <w:jc w:val="both"/>
              <w:rPr>
                <w:rFonts w:asciiTheme="minorHAnsi" w:hAnsiTheme="minorHAnsi" w:cs="Arial"/>
                <w:b/>
                <w:sz w:val="18"/>
                <w:szCs w:val="18"/>
              </w:rPr>
            </w:pPr>
            <w:r w:rsidRPr="00B9104B">
              <w:rPr>
                <w:rFonts w:asciiTheme="minorHAnsi" w:hAnsiTheme="minorHAnsi"/>
                <w:b/>
                <w:sz w:val="18"/>
                <w:szCs w:val="18"/>
              </w:rPr>
              <w:t>Adierazlearen deskribapena</w:t>
            </w:r>
          </w:p>
        </w:tc>
        <w:tc>
          <w:tcPr>
            <w:tcW w:w="2042" w:type="dxa"/>
            <w:vAlign w:val="center"/>
          </w:tcPr>
          <w:p w14:paraId="3869EE4C" w14:textId="77777777" w:rsidR="005512E8" w:rsidRPr="00B9104B" w:rsidRDefault="005512E8" w:rsidP="00B9104B">
            <w:pPr>
              <w:spacing w:before="40" w:after="40"/>
              <w:jc w:val="center"/>
              <w:rPr>
                <w:rFonts w:asciiTheme="minorHAnsi" w:hAnsiTheme="minorHAnsi" w:cs="Arial"/>
                <w:b/>
                <w:sz w:val="18"/>
                <w:szCs w:val="18"/>
              </w:rPr>
            </w:pPr>
            <w:r w:rsidRPr="00B9104B">
              <w:rPr>
                <w:rFonts w:asciiTheme="minorHAnsi" w:hAnsiTheme="minorHAnsi"/>
                <w:b/>
                <w:sz w:val="18"/>
                <w:szCs w:val="18"/>
              </w:rPr>
              <w:t>Izena</w:t>
            </w:r>
          </w:p>
        </w:tc>
      </w:tr>
      <w:tr w:rsidR="005512E8" w:rsidRPr="00B9104B" w14:paraId="2AAE3A96" w14:textId="77777777" w:rsidTr="00B9104B">
        <w:tc>
          <w:tcPr>
            <w:tcW w:w="4331" w:type="dxa"/>
            <w:vAlign w:val="center"/>
          </w:tcPr>
          <w:p w14:paraId="1CD3A05A" w14:textId="77777777" w:rsidR="005512E8" w:rsidRPr="00B9104B" w:rsidRDefault="00E41A6A" w:rsidP="00B9104B">
            <w:pPr>
              <w:spacing w:before="40" w:after="40"/>
              <w:rPr>
                <w:rFonts w:asciiTheme="minorHAnsi" w:hAnsiTheme="minorHAnsi" w:cs="Arial"/>
                <w:sz w:val="18"/>
                <w:szCs w:val="18"/>
              </w:rPr>
            </w:pPr>
            <w:r w:rsidRPr="00B9104B">
              <w:rPr>
                <w:rFonts w:asciiTheme="minorHAnsi" w:hAnsiTheme="minorHAnsi"/>
                <w:sz w:val="18"/>
                <w:szCs w:val="18"/>
              </w:rPr>
              <w:t>Populazio osoa</w:t>
            </w:r>
          </w:p>
          <w:p w14:paraId="7DBB4B39" w14:textId="77777777" w:rsidR="00E41A6A" w:rsidRPr="00B9104B" w:rsidRDefault="00E41A6A" w:rsidP="00B9104B">
            <w:pPr>
              <w:spacing w:before="40" w:after="40"/>
              <w:rPr>
                <w:rFonts w:asciiTheme="minorHAnsi" w:hAnsiTheme="minorHAnsi" w:cs="Arial"/>
                <w:sz w:val="18"/>
                <w:szCs w:val="18"/>
              </w:rPr>
            </w:pPr>
            <w:r w:rsidRPr="00B9104B">
              <w:rPr>
                <w:rFonts w:asciiTheme="minorHAnsi" w:hAnsiTheme="minorHAnsi"/>
                <w:sz w:val="18"/>
                <w:szCs w:val="18"/>
              </w:rPr>
              <w:t xml:space="preserve">Populazioa </w:t>
            </w:r>
            <w:proofErr w:type="spellStart"/>
            <w:r w:rsidRPr="00B9104B">
              <w:rPr>
                <w:rFonts w:asciiTheme="minorHAnsi" w:hAnsiTheme="minorHAnsi"/>
                <w:sz w:val="18"/>
                <w:szCs w:val="18"/>
              </w:rPr>
              <w:t>geruzaka</w:t>
            </w:r>
            <w:proofErr w:type="spellEnd"/>
            <w:r w:rsidRPr="00B9104B">
              <w:rPr>
                <w:rFonts w:asciiTheme="minorHAnsi" w:hAnsiTheme="minorHAnsi"/>
                <w:sz w:val="18"/>
                <w:szCs w:val="18"/>
              </w:rPr>
              <w:t>:</w:t>
            </w:r>
          </w:p>
          <w:p w14:paraId="1541C232" w14:textId="77777777" w:rsidR="00E41A6A" w:rsidRPr="00B9104B" w:rsidRDefault="00E41A6A" w:rsidP="00B9104B">
            <w:pPr>
              <w:spacing w:before="40" w:after="40"/>
              <w:ind w:left="426"/>
              <w:rPr>
                <w:rFonts w:asciiTheme="minorHAnsi" w:hAnsiTheme="minorHAnsi" w:cs="Arial"/>
                <w:sz w:val="18"/>
                <w:szCs w:val="18"/>
              </w:rPr>
            </w:pPr>
            <w:r w:rsidRPr="00B9104B">
              <w:rPr>
                <w:rFonts w:asciiTheme="minorHAnsi" w:hAnsiTheme="minorHAnsi"/>
                <w:sz w:val="18"/>
                <w:szCs w:val="18"/>
              </w:rPr>
              <w:t xml:space="preserve">16 urtetik beherakoak </w:t>
            </w:r>
          </w:p>
          <w:p w14:paraId="16C3AEA4" w14:textId="77777777" w:rsidR="00E41A6A" w:rsidRPr="00B9104B" w:rsidRDefault="00E41A6A" w:rsidP="00B9104B">
            <w:pPr>
              <w:spacing w:before="40" w:after="40"/>
              <w:ind w:left="426"/>
              <w:rPr>
                <w:rFonts w:asciiTheme="minorHAnsi" w:hAnsiTheme="minorHAnsi" w:cs="Arial"/>
                <w:sz w:val="18"/>
                <w:szCs w:val="18"/>
              </w:rPr>
            </w:pPr>
            <w:r w:rsidRPr="00B9104B">
              <w:rPr>
                <w:rFonts w:asciiTheme="minorHAnsi" w:hAnsiTheme="minorHAnsi"/>
                <w:sz w:val="18"/>
                <w:szCs w:val="18"/>
              </w:rPr>
              <w:t xml:space="preserve">65 urtetik gorakoak </w:t>
            </w:r>
          </w:p>
          <w:p w14:paraId="6C0F7F13" w14:textId="77777777" w:rsidR="00E41A6A" w:rsidRPr="00B9104B" w:rsidRDefault="00E41A6A" w:rsidP="00B9104B">
            <w:pPr>
              <w:spacing w:before="40" w:after="40"/>
              <w:rPr>
                <w:rFonts w:asciiTheme="minorHAnsi" w:hAnsiTheme="minorHAnsi" w:cs="Arial"/>
                <w:sz w:val="18"/>
                <w:szCs w:val="18"/>
              </w:rPr>
            </w:pPr>
            <w:r w:rsidRPr="00B9104B">
              <w:rPr>
                <w:rFonts w:asciiTheme="minorHAnsi" w:hAnsiTheme="minorHAnsi"/>
                <w:sz w:val="18"/>
                <w:szCs w:val="18"/>
              </w:rPr>
              <w:t xml:space="preserve">Populazio immigratzailea </w:t>
            </w:r>
          </w:p>
          <w:p w14:paraId="298AF045" w14:textId="77777777" w:rsidR="00FD5B10" w:rsidRPr="00B9104B" w:rsidRDefault="00FD5B10" w:rsidP="00B9104B">
            <w:pPr>
              <w:spacing w:before="40" w:after="40"/>
              <w:rPr>
                <w:rFonts w:asciiTheme="minorHAnsi" w:hAnsiTheme="minorHAnsi" w:cs="Arial"/>
                <w:sz w:val="18"/>
                <w:szCs w:val="18"/>
              </w:rPr>
            </w:pPr>
            <w:r w:rsidRPr="00B9104B">
              <w:rPr>
                <w:rFonts w:asciiTheme="minorHAnsi" w:hAnsiTheme="minorHAnsi"/>
                <w:sz w:val="18"/>
                <w:szCs w:val="18"/>
              </w:rPr>
              <w:t>Pobrezia arriskua duen populazioa</w:t>
            </w:r>
          </w:p>
          <w:p w14:paraId="52303DFD" w14:textId="77777777" w:rsidR="00E41A6A" w:rsidRPr="00B9104B" w:rsidRDefault="002B2E9D" w:rsidP="00B9104B">
            <w:pPr>
              <w:spacing w:before="40" w:after="40"/>
              <w:rPr>
                <w:rFonts w:asciiTheme="minorHAnsi" w:hAnsiTheme="minorHAnsi" w:cs="Arial"/>
                <w:sz w:val="18"/>
                <w:szCs w:val="18"/>
              </w:rPr>
            </w:pPr>
            <w:r w:rsidRPr="00B9104B">
              <w:rPr>
                <w:rFonts w:asciiTheme="minorHAnsi" w:hAnsiTheme="minorHAnsi"/>
                <w:sz w:val="18"/>
                <w:szCs w:val="18"/>
              </w:rPr>
              <w:t>Langabeen kopurua (urteko batezbestekoa)</w:t>
            </w:r>
          </w:p>
          <w:p w14:paraId="1FC6F239" w14:textId="77777777" w:rsidR="002B2E9D" w:rsidRPr="00B9104B" w:rsidRDefault="002B2E9D" w:rsidP="00B9104B">
            <w:pPr>
              <w:spacing w:before="40" w:after="40"/>
              <w:rPr>
                <w:rFonts w:asciiTheme="minorHAnsi" w:hAnsiTheme="minorHAnsi" w:cs="Arial"/>
                <w:sz w:val="18"/>
                <w:szCs w:val="18"/>
              </w:rPr>
            </w:pPr>
            <w:r w:rsidRPr="00B9104B">
              <w:rPr>
                <w:rFonts w:asciiTheme="minorHAnsi" w:hAnsiTheme="minorHAnsi"/>
                <w:sz w:val="18"/>
                <w:szCs w:val="18"/>
              </w:rPr>
              <w:t>Dentsitatea hiri azaleraren gainean</w:t>
            </w:r>
          </w:p>
          <w:p w14:paraId="2E4729FC" w14:textId="77777777" w:rsidR="00E41A6A" w:rsidRPr="00B9104B" w:rsidRDefault="002B2E9D" w:rsidP="00B9104B">
            <w:pPr>
              <w:spacing w:before="40" w:after="40"/>
              <w:rPr>
                <w:rFonts w:asciiTheme="minorHAnsi" w:hAnsiTheme="minorHAnsi" w:cs="Arial"/>
                <w:sz w:val="18"/>
                <w:szCs w:val="18"/>
              </w:rPr>
            </w:pPr>
            <w:r w:rsidRPr="00B9104B">
              <w:rPr>
                <w:rFonts w:asciiTheme="minorHAnsi" w:hAnsiTheme="minorHAnsi"/>
                <w:sz w:val="18"/>
                <w:szCs w:val="18"/>
              </w:rPr>
              <w:t>Hiri azalera garbia</w:t>
            </w:r>
          </w:p>
          <w:p w14:paraId="7B2261A4" w14:textId="77777777" w:rsidR="00E03101" w:rsidRPr="00B9104B" w:rsidRDefault="00E03101" w:rsidP="00B9104B">
            <w:pPr>
              <w:spacing w:before="40" w:after="40"/>
              <w:rPr>
                <w:rFonts w:asciiTheme="minorHAnsi" w:hAnsiTheme="minorHAnsi" w:cs="Arial"/>
                <w:sz w:val="18"/>
                <w:szCs w:val="18"/>
              </w:rPr>
            </w:pPr>
            <w:r w:rsidRPr="00B9104B">
              <w:rPr>
                <w:rFonts w:asciiTheme="minorHAnsi" w:hAnsiTheme="minorHAnsi"/>
                <w:sz w:val="18"/>
                <w:szCs w:val="18"/>
              </w:rPr>
              <w:t xml:space="preserve">Udalerri bakoitzeko entitate bereziak eta </w:t>
            </w:r>
            <w:proofErr w:type="spellStart"/>
            <w:r w:rsidRPr="00B9104B">
              <w:rPr>
                <w:rFonts w:asciiTheme="minorHAnsi" w:hAnsiTheme="minorHAnsi"/>
                <w:sz w:val="18"/>
                <w:szCs w:val="18"/>
              </w:rPr>
              <w:t>biztanleguneetako</w:t>
            </w:r>
            <w:proofErr w:type="spellEnd"/>
            <w:r w:rsidRPr="00B9104B">
              <w:rPr>
                <w:rFonts w:asciiTheme="minorHAnsi" w:hAnsiTheme="minorHAnsi"/>
                <w:sz w:val="18"/>
                <w:szCs w:val="18"/>
              </w:rPr>
              <w:t xml:space="preserve"> populazioa (</w:t>
            </w:r>
            <w:proofErr w:type="spellStart"/>
            <w:r w:rsidRPr="00B9104B">
              <w:rPr>
                <w:rFonts w:asciiTheme="minorHAnsi" w:hAnsiTheme="minorHAnsi"/>
                <w:sz w:val="18"/>
                <w:szCs w:val="18"/>
              </w:rPr>
              <w:t>Herfindhalen</w:t>
            </w:r>
            <w:proofErr w:type="spellEnd"/>
            <w:r w:rsidRPr="00B9104B">
              <w:rPr>
                <w:rFonts w:asciiTheme="minorHAnsi" w:hAnsiTheme="minorHAnsi"/>
                <w:sz w:val="18"/>
                <w:szCs w:val="18"/>
              </w:rPr>
              <w:t xml:space="preserve"> indizearen alderantzizkoa)</w:t>
            </w:r>
          </w:p>
          <w:p w14:paraId="7108BA26" w14:textId="77777777" w:rsidR="00E03101" w:rsidRPr="00B9104B" w:rsidRDefault="00E03101" w:rsidP="00B9104B">
            <w:pPr>
              <w:spacing w:before="40" w:after="40"/>
              <w:jc w:val="both"/>
              <w:rPr>
                <w:rFonts w:asciiTheme="minorHAnsi" w:hAnsiTheme="minorHAnsi" w:cs="Arial"/>
                <w:sz w:val="18"/>
                <w:szCs w:val="18"/>
              </w:rPr>
            </w:pPr>
            <w:r w:rsidRPr="00B9104B">
              <w:rPr>
                <w:rFonts w:asciiTheme="minorHAnsi" w:hAnsiTheme="minorHAnsi"/>
                <w:sz w:val="18"/>
                <w:szCs w:val="18"/>
              </w:rPr>
              <w:t>Etxebizitza kopurua</w:t>
            </w:r>
          </w:p>
        </w:tc>
        <w:tc>
          <w:tcPr>
            <w:tcW w:w="2042" w:type="dxa"/>
            <w:vAlign w:val="center"/>
          </w:tcPr>
          <w:p w14:paraId="4F691034" w14:textId="77777777" w:rsidR="0011393F" w:rsidRPr="00B9104B" w:rsidRDefault="00E41A6A" w:rsidP="00B9104B">
            <w:pPr>
              <w:spacing w:before="40" w:after="40"/>
              <w:jc w:val="center"/>
              <w:rPr>
                <w:rFonts w:asciiTheme="minorHAnsi" w:hAnsiTheme="minorHAnsi" w:cs="Arial"/>
                <w:sz w:val="18"/>
                <w:szCs w:val="18"/>
              </w:rPr>
            </w:pPr>
            <w:proofErr w:type="spellStart"/>
            <w:r w:rsidRPr="00B9104B">
              <w:rPr>
                <w:rFonts w:asciiTheme="minorHAnsi" w:hAnsiTheme="minorHAnsi"/>
                <w:sz w:val="18"/>
                <w:szCs w:val="18"/>
              </w:rPr>
              <w:t>Ptot</w:t>
            </w:r>
            <w:proofErr w:type="spellEnd"/>
          </w:p>
          <w:p w14:paraId="6D903C1B" w14:textId="51373E97" w:rsidR="00E41A6A" w:rsidRPr="00B9104B" w:rsidRDefault="00E41A6A" w:rsidP="00B9104B">
            <w:pPr>
              <w:spacing w:before="40" w:after="40"/>
              <w:jc w:val="center"/>
              <w:rPr>
                <w:rFonts w:asciiTheme="minorHAnsi" w:hAnsiTheme="minorHAnsi" w:cs="Arial"/>
                <w:sz w:val="18"/>
                <w:szCs w:val="18"/>
              </w:rPr>
            </w:pPr>
            <w:r w:rsidRPr="00B9104B">
              <w:rPr>
                <w:rFonts w:asciiTheme="minorHAnsi" w:hAnsiTheme="minorHAnsi"/>
                <w:sz w:val="18"/>
                <w:szCs w:val="18"/>
              </w:rPr>
              <w:t>pmen16</w:t>
            </w:r>
          </w:p>
          <w:p w14:paraId="515EC281" w14:textId="77777777" w:rsidR="00E41A6A" w:rsidRPr="00B9104B" w:rsidRDefault="00E41A6A" w:rsidP="00B9104B">
            <w:pPr>
              <w:spacing w:before="40" w:after="40"/>
              <w:jc w:val="center"/>
              <w:rPr>
                <w:rFonts w:asciiTheme="minorHAnsi" w:hAnsiTheme="minorHAnsi" w:cs="Arial"/>
                <w:sz w:val="18"/>
                <w:szCs w:val="18"/>
              </w:rPr>
            </w:pPr>
            <w:r w:rsidRPr="00B9104B">
              <w:rPr>
                <w:rFonts w:asciiTheme="minorHAnsi" w:hAnsiTheme="minorHAnsi"/>
                <w:sz w:val="18"/>
                <w:szCs w:val="18"/>
              </w:rPr>
              <w:t>pmas65</w:t>
            </w:r>
          </w:p>
          <w:p w14:paraId="3B58C1E1" w14:textId="77777777" w:rsidR="00E41A6A" w:rsidRPr="00B9104B" w:rsidRDefault="00E41A6A" w:rsidP="00B9104B">
            <w:pPr>
              <w:spacing w:before="40" w:after="40"/>
              <w:jc w:val="center"/>
              <w:rPr>
                <w:rFonts w:asciiTheme="minorHAnsi" w:hAnsiTheme="minorHAnsi" w:cs="Arial"/>
                <w:sz w:val="18"/>
                <w:szCs w:val="18"/>
              </w:rPr>
            </w:pPr>
            <w:r w:rsidRPr="00B9104B">
              <w:rPr>
                <w:rFonts w:asciiTheme="minorHAnsi" w:hAnsiTheme="minorHAnsi"/>
                <w:sz w:val="18"/>
                <w:szCs w:val="18"/>
              </w:rPr>
              <w:t>POB_I</w:t>
            </w:r>
          </w:p>
          <w:p w14:paraId="5712A79C" w14:textId="77777777" w:rsidR="00FD5B10" w:rsidRPr="00B9104B" w:rsidRDefault="00FD5B10" w:rsidP="00B9104B">
            <w:pPr>
              <w:spacing w:before="40" w:after="40"/>
              <w:jc w:val="center"/>
              <w:rPr>
                <w:rFonts w:asciiTheme="minorHAnsi" w:hAnsiTheme="minorHAnsi" w:cs="Arial"/>
                <w:sz w:val="18"/>
                <w:szCs w:val="18"/>
              </w:rPr>
            </w:pPr>
            <w:r w:rsidRPr="00B9104B">
              <w:rPr>
                <w:rFonts w:asciiTheme="minorHAnsi" w:hAnsiTheme="minorHAnsi"/>
                <w:sz w:val="18"/>
                <w:szCs w:val="18"/>
              </w:rPr>
              <w:t>POB_RP</w:t>
            </w:r>
          </w:p>
          <w:p w14:paraId="01B4E178" w14:textId="77777777" w:rsidR="002B2E9D" w:rsidRPr="00B9104B" w:rsidRDefault="002B2E9D" w:rsidP="00B9104B">
            <w:pPr>
              <w:spacing w:before="40" w:after="40"/>
              <w:jc w:val="center"/>
              <w:rPr>
                <w:rFonts w:asciiTheme="minorHAnsi" w:hAnsiTheme="minorHAnsi" w:cs="Arial"/>
                <w:sz w:val="18"/>
                <w:szCs w:val="18"/>
              </w:rPr>
            </w:pPr>
            <w:r w:rsidRPr="00B9104B">
              <w:rPr>
                <w:rFonts w:asciiTheme="minorHAnsi" w:hAnsiTheme="minorHAnsi"/>
                <w:sz w:val="18"/>
                <w:szCs w:val="18"/>
              </w:rPr>
              <w:t>PARO</w:t>
            </w:r>
          </w:p>
          <w:p w14:paraId="133A6B40" w14:textId="77777777" w:rsidR="005512E8" w:rsidRPr="00B9104B" w:rsidRDefault="002B2E9D" w:rsidP="00B9104B">
            <w:pPr>
              <w:spacing w:before="40" w:after="40"/>
              <w:jc w:val="center"/>
              <w:rPr>
                <w:rFonts w:asciiTheme="minorHAnsi" w:hAnsiTheme="minorHAnsi" w:cs="Arial"/>
                <w:sz w:val="18"/>
                <w:szCs w:val="18"/>
              </w:rPr>
            </w:pPr>
            <w:r w:rsidRPr="00B9104B">
              <w:rPr>
                <w:rFonts w:asciiTheme="minorHAnsi" w:hAnsiTheme="minorHAnsi"/>
                <w:sz w:val="18"/>
                <w:szCs w:val="18"/>
              </w:rPr>
              <w:t>DENS2</w:t>
            </w:r>
          </w:p>
          <w:p w14:paraId="433121A3" w14:textId="77777777" w:rsidR="002B2E9D" w:rsidRPr="00B9104B" w:rsidRDefault="002B2E9D" w:rsidP="00B9104B">
            <w:pPr>
              <w:spacing w:before="40" w:after="40"/>
              <w:jc w:val="center"/>
              <w:rPr>
                <w:rFonts w:asciiTheme="minorHAnsi" w:hAnsiTheme="minorHAnsi" w:cs="Arial"/>
                <w:sz w:val="18"/>
                <w:szCs w:val="18"/>
              </w:rPr>
            </w:pPr>
            <w:r w:rsidRPr="00B9104B">
              <w:rPr>
                <w:rFonts w:asciiTheme="minorHAnsi" w:hAnsiTheme="minorHAnsi"/>
                <w:sz w:val="18"/>
                <w:szCs w:val="18"/>
              </w:rPr>
              <w:t>SUN_A</w:t>
            </w:r>
          </w:p>
          <w:p w14:paraId="394329F9" w14:textId="77777777" w:rsidR="0011393F" w:rsidRPr="00B9104B" w:rsidRDefault="00E03101" w:rsidP="00B9104B">
            <w:pPr>
              <w:spacing w:before="40" w:after="40"/>
              <w:jc w:val="center"/>
              <w:rPr>
                <w:rFonts w:asciiTheme="minorHAnsi" w:hAnsiTheme="minorHAnsi" w:cs="Arial"/>
                <w:sz w:val="18"/>
                <w:szCs w:val="18"/>
              </w:rPr>
            </w:pPr>
            <w:r w:rsidRPr="00B9104B">
              <w:rPr>
                <w:rFonts w:asciiTheme="minorHAnsi" w:hAnsiTheme="minorHAnsi"/>
                <w:sz w:val="18"/>
                <w:szCs w:val="18"/>
              </w:rPr>
              <w:t>IHEF</w:t>
            </w:r>
          </w:p>
          <w:p w14:paraId="702A87F2" w14:textId="75041915" w:rsidR="00E03101" w:rsidRPr="00B9104B" w:rsidRDefault="00E03101" w:rsidP="00B9104B">
            <w:pPr>
              <w:spacing w:before="40" w:after="40"/>
              <w:jc w:val="center"/>
              <w:rPr>
                <w:rFonts w:asciiTheme="minorHAnsi" w:hAnsiTheme="minorHAnsi" w:cs="Arial"/>
                <w:sz w:val="18"/>
                <w:szCs w:val="18"/>
              </w:rPr>
            </w:pPr>
            <w:r w:rsidRPr="00B9104B">
              <w:rPr>
                <w:rFonts w:asciiTheme="minorHAnsi" w:hAnsiTheme="minorHAnsi"/>
                <w:sz w:val="18"/>
                <w:szCs w:val="18"/>
              </w:rPr>
              <w:t>NVIV</w:t>
            </w:r>
          </w:p>
        </w:tc>
      </w:tr>
    </w:tbl>
    <w:p w14:paraId="790A6714" w14:textId="77777777" w:rsidR="005512E8" w:rsidRPr="000C49C0" w:rsidRDefault="005512E8" w:rsidP="005512E8">
      <w:pPr>
        <w:spacing w:line="360" w:lineRule="auto"/>
        <w:ind w:left="426"/>
        <w:jc w:val="both"/>
        <w:rPr>
          <w:rFonts w:ascii="Arial" w:hAnsi="Arial" w:cs="Arial"/>
          <w:sz w:val="24"/>
          <w:szCs w:val="24"/>
        </w:rPr>
      </w:pPr>
    </w:p>
    <w:p w14:paraId="1F215B43" w14:textId="24AA99E8"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lastRenderedPageBreak/>
        <w:t xml:space="preserve">• </w:t>
      </w:r>
      <w:proofErr w:type="spellStart"/>
      <w:r>
        <w:rPr>
          <w:rFonts w:ascii="Arial" w:hAnsi="Arial"/>
          <w:sz w:val="24"/>
          <w:szCs w:val="24"/>
        </w:rPr>
        <w:t>ptot</w:t>
      </w:r>
      <w:proofErr w:type="spellEnd"/>
      <w:r>
        <w:rPr>
          <w:rFonts w:ascii="Arial" w:hAnsi="Arial"/>
          <w:sz w:val="24"/>
          <w:szCs w:val="24"/>
        </w:rPr>
        <w:t>: udalerri bakoitzeko populazio osoa (biztanleak).</w:t>
      </w:r>
    </w:p>
    <w:p w14:paraId="5DB6C984" w14:textId="1D4907F3"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pmen16: udalerri bakoitzeko 16 urtetik beherako populazioa (biztanleak).</w:t>
      </w:r>
    </w:p>
    <w:p w14:paraId="485DC54A" w14:textId="490BD43C"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pmas65: udalerri bakoitzeko 65 urtetik gorako populazioa (biztanleak).</w:t>
      </w:r>
    </w:p>
    <w:p w14:paraId="506676C8" w14:textId="07F3CA79"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POB_I: udalerri bakoitzeko populazio migratzailea (biztanleak).</w:t>
      </w:r>
    </w:p>
    <w:p w14:paraId="05E7BAC4" w14:textId="677C4181"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POB_RP: udalerri bakoitzeko pobrezia arriskua duen populazioa (biztanleak). POB_RP adierazlea lortzeko, udalerri bakoitzeko pobrezia arriskuaren tasa aplikatu zaio populazio osoari (biztanleak).</w:t>
      </w:r>
    </w:p>
    <w:p w14:paraId="25F49818" w14:textId="2756C6CD"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PARO: udalerri bakoitzeko langabeen urteko batez besteko kopurua (pertsonak)</w:t>
      </w:r>
    </w:p>
    <w:p w14:paraId="337B8E9C" w14:textId="3D82E9A4"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DENS2: udalerriko biztanle kopurua hiri azaleraren kilometro karratuko (biztanleak/km2)</w:t>
      </w:r>
    </w:p>
    <w:p w14:paraId="261AD1DD" w14:textId="25E87494" w:rsidR="000C49C0" w:rsidRPr="000C49C0" w:rsidRDefault="0011393F" w:rsidP="000C49C0">
      <w:pPr>
        <w:spacing w:line="360" w:lineRule="auto"/>
        <w:ind w:left="426"/>
        <w:jc w:val="both"/>
        <w:rPr>
          <w:rFonts w:ascii="Arial" w:hAnsi="Arial" w:cs="Arial"/>
          <w:sz w:val="24"/>
          <w:szCs w:val="24"/>
        </w:rPr>
      </w:pPr>
      <w:r>
        <w:rPr>
          <w:rFonts w:ascii="Arial" w:hAnsi="Arial"/>
          <w:sz w:val="24"/>
          <w:szCs w:val="24"/>
        </w:rPr>
        <w:t>• SUN_A: udalerri bakoitzeko hiri azalera garbia (metro karratuak)</w:t>
      </w:r>
    </w:p>
    <w:p w14:paraId="2FA3A367" w14:textId="51814843" w:rsidR="0011393F" w:rsidRDefault="0011393F" w:rsidP="000C49C0">
      <w:pPr>
        <w:spacing w:line="360" w:lineRule="auto"/>
        <w:ind w:left="426"/>
        <w:jc w:val="both"/>
        <w:rPr>
          <w:rFonts w:ascii="Arial" w:hAnsi="Arial" w:cs="Arial"/>
          <w:sz w:val="24"/>
          <w:szCs w:val="24"/>
        </w:rPr>
      </w:pPr>
      <w:r>
        <w:rPr>
          <w:rFonts w:ascii="Arial" w:hAnsi="Arial"/>
          <w:sz w:val="24"/>
          <w:szCs w:val="24"/>
        </w:rPr>
        <w:t xml:space="preserve">• IHEF: populazioaren barreiadura indizea. Udalerri bakoitzeko </w:t>
      </w:r>
      <w:proofErr w:type="spellStart"/>
      <w:r>
        <w:rPr>
          <w:rFonts w:ascii="Arial" w:hAnsi="Arial"/>
          <w:sz w:val="24"/>
          <w:szCs w:val="24"/>
        </w:rPr>
        <w:t>Herfindhalen</w:t>
      </w:r>
      <w:proofErr w:type="spellEnd"/>
      <w:r>
        <w:rPr>
          <w:rFonts w:ascii="Arial" w:hAnsi="Arial"/>
          <w:sz w:val="24"/>
          <w:szCs w:val="24"/>
        </w:rPr>
        <w:t xml:space="preserve"> indizearen (populazioaren kontzentrazioaren indizearen) alderantzizkoa da. </w:t>
      </w:r>
      <w:proofErr w:type="spellStart"/>
      <w:r>
        <w:rPr>
          <w:rFonts w:ascii="Arial" w:hAnsi="Arial"/>
          <w:sz w:val="24"/>
          <w:szCs w:val="24"/>
        </w:rPr>
        <w:t>Herfindhalen</w:t>
      </w:r>
      <w:proofErr w:type="spellEnd"/>
      <w:r>
        <w:rPr>
          <w:rFonts w:ascii="Arial" w:hAnsi="Arial"/>
          <w:sz w:val="24"/>
          <w:szCs w:val="24"/>
        </w:rPr>
        <w:t xml:space="preserve"> indizea lortzeko, udalerri bateko </w:t>
      </w:r>
      <w:proofErr w:type="spellStart"/>
      <w:r>
        <w:rPr>
          <w:rFonts w:ascii="Arial" w:hAnsi="Arial"/>
          <w:sz w:val="24"/>
          <w:szCs w:val="24"/>
        </w:rPr>
        <w:t>biztanleguneetako</w:t>
      </w:r>
      <w:proofErr w:type="spellEnd"/>
      <w:r>
        <w:rPr>
          <w:rFonts w:ascii="Arial" w:hAnsi="Arial"/>
          <w:sz w:val="24"/>
          <w:szCs w:val="24"/>
        </w:rPr>
        <w:t xml:space="preserve"> populazioek udalerriko populazio osoaren aldean dituzten proportzioen karratuak batu egiten dira.</w:t>
      </w:r>
    </w:p>
    <w:p w14:paraId="77E62519" w14:textId="77777777" w:rsidR="0011393F" w:rsidRDefault="00773E05" w:rsidP="00773E05">
      <w:pPr>
        <w:spacing w:line="360" w:lineRule="auto"/>
        <w:ind w:left="426"/>
        <w:jc w:val="both"/>
        <w:rPr>
          <w:rFonts w:ascii="Arial" w:hAnsi="Arial" w:cs="Arial"/>
          <w:sz w:val="24"/>
          <w:szCs w:val="24"/>
        </w:rPr>
      </w:pPr>
      <w:r>
        <w:rPr>
          <w:rFonts w:ascii="Arial" w:hAnsi="Arial"/>
          <w:sz w:val="24"/>
          <w:szCs w:val="24"/>
        </w:rPr>
        <w:t>Osagai Nagusien Analisia (ONA) interdependentziako aldagai anitzeko teknika da, aldagai kuantitatiboek osatutako matrize handi baten gainean aplikatzen dena. Helburutzat du datuen matrizearen dimentsioa txikitzea, datuen azpian dagoen egitura aztertzeko. Dimentsioa txikitzeko, aldagai artifizial gutxi batzuk hautatzen dira, faktore edo osagai nagusi deituak; jatorrizko aldagaien konbinazio lineala dira, eta datuek daukaten informazio gehiena laburbiltzen dute.</w:t>
      </w:r>
    </w:p>
    <w:p w14:paraId="15E2B2DA" w14:textId="77777777" w:rsidR="0011393F" w:rsidRDefault="00773E05" w:rsidP="00773E05">
      <w:pPr>
        <w:spacing w:line="360" w:lineRule="auto"/>
        <w:ind w:left="426"/>
        <w:jc w:val="both"/>
        <w:rPr>
          <w:rFonts w:ascii="Arial" w:hAnsi="Arial" w:cs="Arial"/>
          <w:sz w:val="24"/>
          <w:szCs w:val="24"/>
        </w:rPr>
      </w:pPr>
      <w:r>
        <w:rPr>
          <w:rFonts w:ascii="Arial" w:hAnsi="Arial"/>
          <w:sz w:val="24"/>
          <w:szCs w:val="24"/>
        </w:rPr>
        <w:t>Datuen azpiko egituraren analisia bi ikuspuntutatik egiten da azterlan honetan. Batetik, dimentsio txikiko espazio faktorial bat lortzen da, eta horrek erraztu egiten du aurreko puntuan hautatu diren gastu-beharraren adierazleen arteko korrelazio linealaren egituraren azterketa. Horrela detektatu ahalko dugu zein adierazle multzo dauden elkarrekin erlazionatuta eta zer zentzutan. Hartara, hobeki ezagutuko dugu adierazleen portaera, eta erraz hautatu ahalko dugu azpimultzo bat, gero GBA lortzeko erabiliko dena.</w:t>
      </w:r>
    </w:p>
    <w:p w14:paraId="136D4418" w14:textId="77777777" w:rsidR="0011393F" w:rsidRDefault="00773E05" w:rsidP="00773E05">
      <w:pPr>
        <w:spacing w:line="360" w:lineRule="auto"/>
        <w:ind w:left="426"/>
        <w:jc w:val="both"/>
        <w:rPr>
          <w:rFonts w:ascii="Arial" w:hAnsi="Arial" w:cs="Arial"/>
          <w:sz w:val="24"/>
          <w:szCs w:val="24"/>
        </w:rPr>
      </w:pPr>
      <w:r>
        <w:rPr>
          <w:rFonts w:ascii="Arial" w:hAnsi="Arial"/>
          <w:sz w:val="24"/>
          <w:szCs w:val="24"/>
        </w:rPr>
        <w:t xml:space="preserve">Bigarren ikuspuntutik, esanahia esleitzen zaie osagai edo faktoreei, zeinek, esan dugun moduan, jatorrizko matrizearen funtsezko informazioa laburbiltzen baitute eta gastu-beharraren adierazleen multzo orokorreko diferentzia nagusiak jasotzen </w:t>
      </w:r>
      <w:r>
        <w:rPr>
          <w:rFonts w:ascii="Arial" w:hAnsi="Arial"/>
          <w:sz w:val="24"/>
          <w:szCs w:val="24"/>
        </w:rPr>
        <w:lastRenderedPageBreak/>
        <w:t>baitituzte. Faktore baten esanahia esleitzen da kontuan hartuz zer pisu, edo garrantzia erlazio linealaren terminoetan, duten beraren gain gastu-beharraren adierazleek. Hautatutako faktoreak interpretagarriak badira, gastu-beharren geroko analisi ekonometrikoetarako aldagai erabilgarriak izanen dira, propietate estatistiko bikainak dituztelako; izan ere, faktoreak aldagai normalizatuak eta elkarrekin korrelaziorik gabekoak dira.</w:t>
      </w:r>
    </w:p>
    <w:p w14:paraId="072BC2F7" w14:textId="77777777" w:rsidR="0011393F" w:rsidRDefault="00773E05" w:rsidP="00773E05">
      <w:pPr>
        <w:spacing w:line="360" w:lineRule="auto"/>
        <w:ind w:left="426"/>
        <w:jc w:val="both"/>
        <w:rPr>
          <w:rFonts w:ascii="Arial" w:hAnsi="Arial" w:cs="Arial"/>
          <w:sz w:val="24"/>
          <w:szCs w:val="24"/>
        </w:rPr>
      </w:pPr>
      <w:r>
        <w:rPr>
          <w:rFonts w:ascii="Arial" w:hAnsi="Arial"/>
          <w:sz w:val="24"/>
          <w:szCs w:val="24"/>
        </w:rPr>
        <w:t xml:space="preserve">Azken batean, Osagai Nagusien Analisiaren bidez detektatzen da zer aldagai baztertzen ahal diren, informazio erredundantea eskaintzen dutelako, gainerako aldagaiekin eta faktoreekin duten erlazio linealaren bidez bildua. Hala, GBA lortzeko formula erraztu ahalko da gastu-beharrei buruzko informazio garrantzitsurik galdu gabe. </w:t>
      </w:r>
    </w:p>
    <w:p w14:paraId="093D02F1" w14:textId="77777777" w:rsidR="0011393F" w:rsidRDefault="00773E05" w:rsidP="00773E05">
      <w:pPr>
        <w:spacing w:line="360" w:lineRule="auto"/>
        <w:ind w:left="426"/>
        <w:jc w:val="both"/>
        <w:rPr>
          <w:rFonts w:ascii="Arial" w:hAnsi="Arial" w:cs="Arial"/>
          <w:sz w:val="24"/>
          <w:szCs w:val="24"/>
        </w:rPr>
      </w:pPr>
      <w:r>
        <w:rPr>
          <w:rFonts w:ascii="Arial" w:hAnsi="Arial"/>
          <w:sz w:val="24"/>
          <w:szCs w:val="24"/>
        </w:rPr>
        <w:t>Osagai Nagusien Analisia gastu-beharraren 10 adierazleei aplikatuta, emaitzek erakusten dute ezen, lehen bi faktoreak (1. faktorea eta 2. faktorea) hautatzen badira, gastu-beharraren adierazleek daukaten informazioaren % 90,2 gordetzen dela (bariantza totala) (ikus 2. taula).</w:t>
      </w:r>
    </w:p>
    <w:p w14:paraId="5DF2F25E" w14:textId="34E32631" w:rsidR="00A27622" w:rsidRDefault="00A27622" w:rsidP="00B9104B">
      <w:pPr>
        <w:autoSpaceDE w:val="0"/>
        <w:autoSpaceDN w:val="0"/>
        <w:adjustRightInd w:val="0"/>
        <w:ind w:left="1701" w:right="1840"/>
        <w:jc w:val="center"/>
        <w:rPr>
          <w:rFonts w:ascii="CIDFont+F3" w:hAnsi="CIDFont+F3" w:cs="CIDFont+F3"/>
          <w:sz w:val="22"/>
          <w:szCs w:val="22"/>
        </w:rPr>
      </w:pPr>
      <w:r>
        <w:rPr>
          <w:rFonts w:ascii="CIDFont+F3" w:hAnsi="CIDFont+F3"/>
          <w:sz w:val="22"/>
          <w:szCs w:val="22"/>
        </w:rPr>
        <w:t>2. taula Faktoreen balio propioak</w:t>
      </w:r>
    </w:p>
    <w:p w14:paraId="4C48F45D"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w:t>
      </w:r>
    </w:p>
    <w:p w14:paraId="25D36310" w14:textId="77777777" w:rsidR="00A27622" w:rsidRDefault="00A27622" w:rsidP="003F7AC2">
      <w:pPr>
        <w:autoSpaceDE w:val="0"/>
        <w:autoSpaceDN w:val="0"/>
        <w:adjustRightInd w:val="0"/>
        <w:ind w:left="2409" w:firstLine="423"/>
        <w:rPr>
          <w:rFonts w:ascii="CIDFont+F8" w:hAnsi="CIDFont+F8" w:cs="CIDFont+F8"/>
          <w:sz w:val="18"/>
          <w:szCs w:val="18"/>
        </w:rPr>
      </w:pPr>
      <w:r>
        <w:rPr>
          <w:rFonts w:ascii="CIDFont+F8" w:hAnsi="CIDFont+F8"/>
          <w:sz w:val="18"/>
          <w:szCs w:val="18"/>
        </w:rPr>
        <w:t xml:space="preserve">b. propioa </w:t>
      </w:r>
      <w:r>
        <w:rPr>
          <w:rFonts w:ascii="CIDFont+F8" w:hAnsi="CIDFont+F8"/>
          <w:sz w:val="18"/>
          <w:szCs w:val="18"/>
        </w:rPr>
        <w:tab/>
        <w:t xml:space="preserve">bariantza (%) </w:t>
      </w:r>
      <w:r>
        <w:rPr>
          <w:rFonts w:ascii="CIDFont+F8" w:hAnsi="CIDFont+F8"/>
          <w:sz w:val="18"/>
          <w:szCs w:val="18"/>
        </w:rPr>
        <w:tab/>
        <w:t>bariantza metatua (%)</w:t>
      </w:r>
    </w:p>
    <w:p w14:paraId="398C1708"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w:t>
      </w:r>
    </w:p>
    <w:p w14:paraId="4E5C6CEA"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1. faktorea </w:t>
      </w:r>
      <w:r>
        <w:rPr>
          <w:rFonts w:ascii="CIDFont+F8" w:hAnsi="CIDFont+F8"/>
          <w:sz w:val="18"/>
          <w:szCs w:val="18"/>
        </w:rPr>
        <w:tab/>
        <w:t xml:space="preserve">7.961 </w:t>
      </w:r>
      <w:r>
        <w:rPr>
          <w:rFonts w:ascii="CIDFont+F8" w:hAnsi="CIDFont+F8"/>
          <w:sz w:val="18"/>
          <w:szCs w:val="18"/>
        </w:rPr>
        <w:tab/>
      </w:r>
      <w:r>
        <w:rPr>
          <w:rFonts w:ascii="CIDFont+F8" w:hAnsi="CIDFont+F8"/>
          <w:sz w:val="18"/>
          <w:szCs w:val="18"/>
        </w:rPr>
        <w:tab/>
        <w:t xml:space="preserve">79.614 </w:t>
      </w:r>
      <w:r>
        <w:rPr>
          <w:rFonts w:ascii="CIDFont+F8" w:hAnsi="CIDFont+F8"/>
          <w:sz w:val="18"/>
          <w:szCs w:val="18"/>
        </w:rPr>
        <w:tab/>
      </w:r>
      <w:r>
        <w:rPr>
          <w:rFonts w:ascii="CIDFont+F8" w:hAnsi="CIDFont+F8"/>
          <w:sz w:val="18"/>
          <w:szCs w:val="18"/>
        </w:rPr>
        <w:tab/>
        <w:t>79.614</w:t>
      </w:r>
    </w:p>
    <w:p w14:paraId="4ACB3322"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2. faktorea </w:t>
      </w:r>
      <w:r>
        <w:rPr>
          <w:rFonts w:ascii="CIDFont+F8" w:hAnsi="CIDFont+F8"/>
          <w:sz w:val="18"/>
          <w:szCs w:val="18"/>
        </w:rPr>
        <w:tab/>
        <w:t xml:space="preserve">1.057 </w:t>
      </w:r>
      <w:r>
        <w:rPr>
          <w:rFonts w:ascii="CIDFont+F8" w:hAnsi="CIDFont+F8"/>
          <w:sz w:val="18"/>
          <w:szCs w:val="18"/>
        </w:rPr>
        <w:tab/>
      </w:r>
      <w:r>
        <w:rPr>
          <w:rFonts w:ascii="CIDFont+F8" w:hAnsi="CIDFont+F8"/>
          <w:sz w:val="18"/>
          <w:szCs w:val="18"/>
        </w:rPr>
        <w:tab/>
        <w:t xml:space="preserve">10.568 </w:t>
      </w:r>
      <w:r>
        <w:rPr>
          <w:rFonts w:ascii="CIDFont+F8" w:hAnsi="CIDFont+F8"/>
          <w:sz w:val="18"/>
          <w:szCs w:val="18"/>
        </w:rPr>
        <w:tab/>
      </w:r>
      <w:r>
        <w:rPr>
          <w:rFonts w:ascii="CIDFont+F8" w:hAnsi="CIDFont+F8"/>
          <w:sz w:val="18"/>
          <w:szCs w:val="18"/>
        </w:rPr>
        <w:tab/>
        <w:t>90.183</w:t>
      </w:r>
    </w:p>
    <w:p w14:paraId="70758F4B"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3. faktorea </w:t>
      </w:r>
      <w:r>
        <w:rPr>
          <w:rFonts w:ascii="CIDFont+F8" w:hAnsi="CIDFont+F8"/>
          <w:sz w:val="18"/>
          <w:szCs w:val="18"/>
        </w:rPr>
        <w:tab/>
        <w:t xml:space="preserve">0.785 </w:t>
      </w:r>
      <w:r>
        <w:rPr>
          <w:rFonts w:ascii="CIDFont+F8" w:hAnsi="CIDFont+F8"/>
          <w:sz w:val="18"/>
          <w:szCs w:val="18"/>
        </w:rPr>
        <w:tab/>
      </w:r>
      <w:r>
        <w:rPr>
          <w:rFonts w:ascii="CIDFont+F8" w:hAnsi="CIDFont+F8"/>
          <w:sz w:val="18"/>
          <w:szCs w:val="18"/>
        </w:rPr>
        <w:tab/>
        <w:t xml:space="preserve">7.849 </w:t>
      </w:r>
      <w:r>
        <w:rPr>
          <w:rFonts w:ascii="CIDFont+F8" w:hAnsi="CIDFont+F8"/>
          <w:sz w:val="18"/>
          <w:szCs w:val="18"/>
        </w:rPr>
        <w:tab/>
      </w:r>
      <w:r>
        <w:rPr>
          <w:rFonts w:ascii="CIDFont+F8" w:hAnsi="CIDFont+F8"/>
          <w:sz w:val="18"/>
          <w:szCs w:val="18"/>
        </w:rPr>
        <w:tab/>
        <w:t>98.032</w:t>
      </w:r>
    </w:p>
    <w:p w14:paraId="69071852"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4. faktorea </w:t>
      </w:r>
      <w:r>
        <w:rPr>
          <w:rFonts w:ascii="CIDFont+F8" w:hAnsi="CIDFont+F8"/>
          <w:sz w:val="18"/>
          <w:szCs w:val="18"/>
        </w:rPr>
        <w:tab/>
        <w:t xml:space="preserve">0.146 </w:t>
      </w:r>
      <w:r>
        <w:rPr>
          <w:rFonts w:ascii="CIDFont+F8" w:hAnsi="CIDFont+F8"/>
          <w:sz w:val="18"/>
          <w:szCs w:val="18"/>
        </w:rPr>
        <w:tab/>
      </w:r>
      <w:r>
        <w:rPr>
          <w:rFonts w:ascii="CIDFont+F8" w:hAnsi="CIDFont+F8"/>
          <w:sz w:val="18"/>
          <w:szCs w:val="18"/>
        </w:rPr>
        <w:tab/>
        <w:t xml:space="preserve">1.456 </w:t>
      </w:r>
      <w:r>
        <w:rPr>
          <w:rFonts w:ascii="CIDFont+F8" w:hAnsi="CIDFont+F8"/>
          <w:sz w:val="18"/>
          <w:szCs w:val="18"/>
        </w:rPr>
        <w:tab/>
      </w:r>
      <w:r>
        <w:rPr>
          <w:rFonts w:ascii="CIDFont+F8" w:hAnsi="CIDFont+F8"/>
          <w:sz w:val="18"/>
          <w:szCs w:val="18"/>
        </w:rPr>
        <w:tab/>
        <w:t>99.488</w:t>
      </w:r>
    </w:p>
    <w:p w14:paraId="503CE72B"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5. faktorea </w:t>
      </w:r>
      <w:r>
        <w:rPr>
          <w:rFonts w:ascii="CIDFont+F8" w:hAnsi="CIDFont+F8"/>
          <w:sz w:val="18"/>
          <w:szCs w:val="18"/>
        </w:rPr>
        <w:tab/>
        <w:t xml:space="preserve">0.023 </w:t>
      </w:r>
      <w:r>
        <w:rPr>
          <w:rFonts w:ascii="CIDFont+F8" w:hAnsi="CIDFont+F8"/>
          <w:sz w:val="18"/>
          <w:szCs w:val="18"/>
        </w:rPr>
        <w:tab/>
      </w:r>
      <w:r>
        <w:rPr>
          <w:rFonts w:ascii="CIDFont+F8" w:hAnsi="CIDFont+F8"/>
          <w:sz w:val="18"/>
          <w:szCs w:val="18"/>
        </w:rPr>
        <w:tab/>
        <w:t xml:space="preserve">0.233 </w:t>
      </w:r>
      <w:r>
        <w:rPr>
          <w:rFonts w:ascii="CIDFont+F8" w:hAnsi="CIDFont+F8"/>
          <w:sz w:val="18"/>
          <w:szCs w:val="18"/>
        </w:rPr>
        <w:tab/>
      </w:r>
      <w:r>
        <w:rPr>
          <w:rFonts w:ascii="CIDFont+F8" w:hAnsi="CIDFont+F8"/>
          <w:sz w:val="18"/>
          <w:szCs w:val="18"/>
        </w:rPr>
        <w:tab/>
        <w:t>99.721</w:t>
      </w:r>
    </w:p>
    <w:p w14:paraId="4B7D2D3E"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6. faktorea </w:t>
      </w:r>
      <w:r>
        <w:rPr>
          <w:rFonts w:ascii="CIDFont+F8" w:hAnsi="CIDFont+F8"/>
          <w:sz w:val="18"/>
          <w:szCs w:val="18"/>
        </w:rPr>
        <w:tab/>
        <w:t xml:space="preserve">0.018 </w:t>
      </w:r>
      <w:r>
        <w:rPr>
          <w:rFonts w:ascii="CIDFont+F8" w:hAnsi="CIDFont+F8"/>
          <w:sz w:val="18"/>
          <w:szCs w:val="18"/>
        </w:rPr>
        <w:tab/>
      </w:r>
      <w:r>
        <w:rPr>
          <w:rFonts w:ascii="CIDFont+F8" w:hAnsi="CIDFont+F8"/>
          <w:sz w:val="18"/>
          <w:szCs w:val="18"/>
        </w:rPr>
        <w:tab/>
        <w:t xml:space="preserve">0.181 </w:t>
      </w:r>
      <w:r>
        <w:rPr>
          <w:rFonts w:ascii="CIDFont+F8" w:hAnsi="CIDFont+F8"/>
          <w:sz w:val="18"/>
          <w:szCs w:val="18"/>
        </w:rPr>
        <w:tab/>
      </w:r>
      <w:r>
        <w:rPr>
          <w:rFonts w:ascii="CIDFont+F8" w:hAnsi="CIDFont+F8"/>
          <w:sz w:val="18"/>
          <w:szCs w:val="18"/>
        </w:rPr>
        <w:tab/>
        <w:t>99.902</w:t>
      </w:r>
    </w:p>
    <w:p w14:paraId="1C3D8E73"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7. faktorea </w:t>
      </w:r>
      <w:r>
        <w:rPr>
          <w:rFonts w:ascii="CIDFont+F8" w:hAnsi="CIDFont+F8"/>
          <w:sz w:val="18"/>
          <w:szCs w:val="18"/>
        </w:rPr>
        <w:tab/>
        <w:t xml:space="preserve">0.008 </w:t>
      </w:r>
      <w:r>
        <w:rPr>
          <w:rFonts w:ascii="CIDFont+F8" w:hAnsi="CIDFont+F8"/>
          <w:sz w:val="18"/>
          <w:szCs w:val="18"/>
        </w:rPr>
        <w:tab/>
      </w:r>
      <w:r>
        <w:rPr>
          <w:rFonts w:ascii="CIDFont+F8" w:hAnsi="CIDFont+F8"/>
          <w:sz w:val="18"/>
          <w:szCs w:val="18"/>
        </w:rPr>
        <w:tab/>
        <w:t>0.083</w:t>
      </w:r>
      <w:r>
        <w:rPr>
          <w:rFonts w:ascii="CIDFont+F8" w:hAnsi="CIDFont+F8"/>
          <w:sz w:val="18"/>
          <w:szCs w:val="18"/>
        </w:rPr>
        <w:tab/>
      </w:r>
      <w:r>
        <w:rPr>
          <w:rFonts w:ascii="CIDFont+F8" w:hAnsi="CIDFont+F8"/>
          <w:sz w:val="18"/>
          <w:szCs w:val="18"/>
        </w:rPr>
        <w:tab/>
        <w:t>99.986</w:t>
      </w:r>
    </w:p>
    <w:p w14:paraId="008E8CFA"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8. faktorea </w:t>
      </w:r>
      <w:r>
        <w:rPr>
          <w:rFonts w:ascii="CIDFont+F8" w:hAnsi="CIDFont+F8"/>
          <w:sz w:val="18"/>
          <w:szCs w:val="18"/>
        </w:rPr>
        <w:tab/>
        <w:t xml:space="preserve">0.001 </w:t>
      </w:r>
      <w:r>
        <w:rPr>
          <w:rFonts w:ascii="CIDFont+F8" w:hAnsi="CIDFont+F8"/>
          <w:sz w:val="18"/>
          <w:szCs w:val="18"/>
        </w:rPr>
        <w:tab/>
      </w:r>
      <w:r>
        <w:rPr>
          <w:rFonts w:ascii="CIDFont+F8" w:hAnsi="CIDFont+F8"/>
          <w:sz w:val="18"/>
          <w:szCs w:val="18"/>
        </w:rPr>
        <w:tab/>
        <w:t xml:space="preserve">0.010 </w:t>
      </w:r>
      <w:r>
        <w:rPr>
          <w:rFonts w:ascii="CIDFont+F8" w:hAnsi="CIDFont+F8"/>
          <w:sz w:val="18"/>
          <w:szCs w:val="18"/>
        </w:rPr>
        <w:tab/>
      </w:r>
      <w:r>
        <w:rPr>
          <w:rFonts w:ascii="CIDFont+F8" w:hAnsi="CIDFont+F8"/>
          <w:sz w:val="18"/>
          <w:szCs w:val="18"/>
        </w:rPr>
        <w:tab/>
        <w:t>99.996</w:t>
      </w:r>
    </w:p>
    <w:p w14:paraId="77C2F2F6"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9. faktorea </w:t>
      </w:r>
      <w:r>
        <w:rPr>
          <w:rFonts w:ascii="CIDFont+F8" w:hAnsi="CIDFont+F8"/>
          <w:sz w:val="18"/>
          <w:szCs w:val="18"/>
        </w:rPr>
        <w:tab/>
        <w:t xml:space="preserve">0.0003 </w:t>
      </w:r>
      <w:r>
        <w:rPr>
          <w:rFonts w:ascii="CIDFont+F8" w:hAnsi="CIDFont+F8"/>
          <w:sz w:val="18"/>
          <w:szCs w:val="18"/>
        </w:rPr>
        <w:tab/>
      </w:r>
      <w:r>
        <w:rPr>
          <w:rFonts w:ascii="CIDFont+F8" w:hAnsi="CIDFont+F8"/>
          <w:sz w:val="18"/>
          <w:szCs w:val="18"/>
        </w:rPr>
        <w:tab/>
        <w:t xml:space="preserve">0.003 </w:t>
      </w:r>
      <w:r>
        <w:rPr>
          <w:rFonts w:ascii="CIDFont+F8" w:hAnsi="CIDFont+F8"/>
          <w:sz w:val="18"/>
          <w:szCs w:val="18"/>
        </w:rPr>
        <w:tab/>
      </w:r>
      <w:r>
        <w:rPr>
          <w:rFonts w:ascii="CIDFont+F8" w:hAnsi="CIDFont+F8"/>
          <w:sz w:val="18"/>
          <w:szCs w:val="18"/>
        </w:rPr>
        <w:tab/>
        <w:t>99.998</w:t>
      </w:r>
    </w:p>
    <w:p w14:paraId="0CEFC4A7" w14:textId="77777777" w:rsidR="00A27622" w:rsidRDefault="00A27622" w:rsidP="00A27622">
      <w:pPr>
        <w:autoSpaceDE w:val="0"/>
        <w:autoSpaceDN w:val="0"/>
        <w:adjustRightInd w:val="0"/>
        <w:ind w:left="1701"/>
        <w:rPr>
          <w:rFonts w:ascii="CIDFont+F8" w:hAnsi="CIDFont+F8" w:cs="CIDFont+F8"/>
          <w:sz w:val="18"/>
          <w:szCs w:val="18"/>
        </w:rPr>
      </w:pPr>
      <w:r>
        <w:rPr>
          <w:rFonts w:ascii="CIDFont+F8" w:hAnsi="CIDFont+F8"/>
          <w:sz w:val="18"/>
          <w:szCs w:val="18"/>
        </w:rPr>
        <w:t xml:space="preserve">10. faktorea </w:t>
      </w:r>
      <w:r>
        <w:rPr>
          <w:rFonts w:ascii="CIDFont+F8" w:hAnsi="CIDFont+F8"/>
          <w:sz w:val="18"/>
          <w:szCs w:val="18"/>
        </w:rPr>
        <w:tab/>
        <w:t xml:space="preserve">0.0002 </w:t>
      </w:r>
      <w:r>
        <w:rPr>
          <w:rFonts w:ascii="CIDFont+F8" w:hAnsi="CIDFont+F8"/>
          <w:sz w:val="18"/>
          <w:szCs w:val="18"/>
        </w:rPr>
        <w:tab/>
      </w:r>
      <w:r>
        <w:rPr>
          <w:rFonts w:ascii="CIDFont+F8" w:hAnsi="CIDFont+F8"/>
          <w:sz w:val="18"/>
          <w:szCs w:val="18"/>
        </w:rPr>
        <w:tab/>
        <w:t xml:space="preserve">0.002 </w:t>
      </w:r>
      <w:r>
        <w:rPr>
          <w:rFonts w:ascii="CIDFont+F8" w:hAnsi="CIDFont+F8"/>
          <w:sz w:val="18"/>
          <w:szCs w:val="18"/>
        </w:rPr>
        <w:tab/>
      </w:r>
      <w:r>
        <w:rPr>
          <w:rFonts w:ascii="CIDFont+F8" w:hAnsi="CIDFont+F8"/>
          <w:sz w:val="18"/>
          <w:szCs w:val="18"/>
        </w:rPr>
        <w:tab/>
        <w:t>100</w:t>
      </w:r>
    </w:p>
    <w:p w14:paraId="101AAD75" w14:textId="77777777" w:rsidR="0011393F" w:rsidRDefault="00A27622" w:rsidP="00A27622">
      <w:pPr>
        <w:spacing w:line="360" w:lineRule="auto"/>
        <w:ind w:left="1701"/>
        <w:jc w:val="both"/>
        <w:rPr>
          <w:rFonts w:ascii="Arial" w:hAnsi="Arial" w:cs="Arial"/>
          <w:sz w:val="24"/>
          <w:szCs w:val="24"/>
        </w:rPr>
      </w:pPr>
      <w:r>
        <w:rPr>
          <w:rFonts w:ascii="CIDFont+F8" w:hAnsi="CIDFont+F8"/>
          <w:sz w:val="18"/>
          <w:szCs w:val="18"/>
        </w:rPr>
        <w:t>-----------------------------------------------------------------------------------------------------</w:t>
      </w:r>
    </w:p>
    <w:p w14:paraId="002103D5" w14:textId="60AE0C4C" w:rsidR="0011393F" w:rsidRDefault="001841F9" w:rsidP="00BF6A0A">
      <w:pPr>
        <w:spacing w:line="360" w:lineRule="auto"/>
        <w:jc w:val="both"/>
        <w:rPr>
          <w:rFonts w:ascii="Arial" w:hAnsi="Arial" w:cs="Arial"/>
          <w:sz w:val="24"/>
          <w:szCs w:val="24"/>
        </w:rPr>
      </w:pPr>
      <w:r>
        <w:rPr>
          <w:rFonts w:ascii="Arial" w:hAnsi="Arial"/>
          <w:sz w:val="24"/>
          <w:szCs w:val="24"/>
        </w:rPr>
        <w:t>3. taulan ageri da gastu-beharraren 10 adierazleek bi faktoreekin dituzten korrelazioen taula, eta 1. grafikoan taula horretako balioak irudikatzen dira, Osagai Nagusien Analisian aldagaien grafikoa deritzon irudian.</w:t>
      </w:r>
    </w:p>
    <w:p w14:paraId="03DF88F7" w14:textId="6711CA40" w:rsidR="00DC4EE1" w:rsidRPr="00B9104B" w:rsidRDefault="00DC4EE1" w:rsidP="00B9104B">
      <w:pPr>
        <w:autoSpaceDE w:val="0"/>
        <w:autoSpaceDN w:val="0"/>
        <w:adjustRightInd w:val="0"/>
        <w:ind w:left="1418" w:right="3825"/>
        <w:jc w:val="center"/>
        <w:rPr>
          <w:rFonts w:asciiTheme="minorHAnsi" w:hAnsiTheme="minorHAnsi" w:cs="CIDFont+F3"/>
          <w:color w:val="000000"/>
          <w:sz w:val="18"/>
          <w:szCs w:val="18"/>
        </w:rPr>
      </w:pPr>
      <w:r w:rsidRPr="00B9104B">
        <w:rPr>
          <w:rFonts w:asciiTheme="minorHAnsi" w:hAnsiTheme="minorHAnsi"/>
          <w:color w:val="000000"/>
          <w:sz w:val="18"/>
          <w:szCs w:val="18"/>
        </w:rPr>
        <w:t>3. taula: Gastu-beharraren adierazleen</w:t>
      </w:r>
      <w:r w:rsidR="00B9104B" w:rsidRPr="00B9104B">
        <w:rPr>
          <w:rFonts w:asciiTheme="minorHAnsi" w:hAnsiTheme="minorHAnsi"/>
          <w:color w:val="000000"/>
          <w:sz w:val="18"/>
          <w:szCs w:val="18"/>
        </w:rPr>
        <w:br/>
      </w:r>
      <w:r w:rsidRPr="00B9104B">
        <w:rPr>
          <w:rFonts w:asciiTheme="minorHAnsi" w:hAnsiTheme="minorHAnsi"/>
          <w:color w:val="000000"/>
          <w:sz w:val="18"/>
          <w:szCs w:val="18"/>
        </w:rPr>
        <w:t>korrelazioa faktoreekin</w:t>
      </w:r>
    </w:p>
    <w:p w14:paraId="31962A5F" w14:textId="2E3487CA" w:rsidR="00DC4EE1" w:rsidRDefault="00DC4EE1" w:rsidP="001E2CD4">
      <w:pPr>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w:t>
      </w:r>
    </w:p>
    <w:p w14:paraId="68E452A7" w14:textId="5BA36021" w:rsidR="00DC4EE1" w:rsidRDefault="00DC4EE1" w:rsidP="001E2CD4">
      <w:pPr>
        <w:autoSpaceDE w:val="0"/>
        <w:autoSpaceDN w:val="0"/>
        <w:adjustRightInd w:val="0"/>
        <w:ind w:left="2124" w:firstLine="708"/>
        <w:rPr>
          <w:rFonts w:ascii="CIDFont+F8" w:hAnsi="CIDFont+F8" w:cs="CIDFont+F8"/>
          <w:color w:val="000000"/>
          <w:sz w:val="18"/>
          <w:szCs w:val="18"/>
        </w:rPr>
      </w:pPr>
      <w:r>
        <w:rPr>
          <w:rFonts w:ascii="CIDFont+F8" w:hAnsi="CIDFont+F8"/>
          <w:color w:val="000000"/>
          <w:sz w:val="18"/>
          <w:szCs w:val="18"/>
        </w:rPr>
        <w:t>1. faktorea</w:t>
      </w:r>
      <w:r>
        <w:rPr>
          <w:rFonts w:ascii="CIDFont+F8" w:hAnsi="CIDFont+F8"/>
          <w:color w:val="000000"/>
          <w:sz w:val="18"/>
          <w:szCs w:val="18"/>
        </w:rPr>
        <w:tab/>
        <w:t>2. faktorea</w:t>
      </w:r>
    </w:p>
    <w:p w14:paraId="1A43D033" w14:textId="1B383F59" w:rsidR="00DC4EE1" w:rsidRDefault="00DC4EE1" w:rsidP="001E2CD4">
      <w:pPr>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w:t>
      </w:r>
    </w:p>
    <w:p w14:paraId="3696EDD9" w14:textId="1ACE1C09" w:rsidR="00DC4EE1"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DENS2 </w:t>
      </w:r>
      <w:r w:rsidR="00B9104B">
        <w:rPr>
          <w:rFonts w:ascii="CIDFont+F8" w:hAnsi="CIDFont+F8"/>
          <w:color w:val="000000"/>
          <w:sz w:val="18"/>
          <w:szCs w:val="18"/>
        </w:rPr>
        <w:tab/>
      </w:r>
      <w:r>
        <w:rPr>
          <w:rFonts w:ascii="CIDFont+F8" w:hAnsi="CIDFont+F8"/>
          <w:color w:val="000000"/>
          <w:sz w:val="18"/>
          <w:szCs w:val="18"/>
        </w:rPr>
        <w:t xml:space="preserve">0.425 </w:t>
      </w:r>
      <w:r w:rsidR="00B9104B">
        <w:rPr>
          <w:rFonts w:ascii="CIDFont+F8" w:hAnsi="CIDFont+F8"/>
          <w:color w:val="000000"/>
          <w:sz w:val="18"/>
          <w:szCs w:val="18"/>
        </w:rPr>
        <w:tab/>
      </w:r>
      <w:r>
        <w:rPr>
          <w:rFonts w:ascii="CIDFont+F8" w:hAnsi="CIDFont+F8"/>
          <w:color w:val="000000"/>
          <w:sz w:val="18"/>
          <w:szCs w:val="18"/>
        </w:rPr>
        <w:t>-0.468</w:t>
      </w:r>
    </w:p>
    <w:p w14:paraId="572F75F2" w14:textId="127C7E99" w:rsidR="00DC4EE1"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PARO </w:t>
      </w:r>
      <w:r w:rsidR="00B9104B">
        <w:rPr>
          <w:rFonts w:ascii="CIDFont+F8" w:hAnsi="CIDFont+F8"/>
          <w:color w:val="000000"/>
          <w:sz w:val="18"/>
          <w:szCs w:val="18"/>
        </w:rPr>
        <w:tab/>
      </w:r>
      <w:r>
        <w:rPr>
          <w:rFonts w:ascii="CIDFont+F8" w:hAnsi="CIDFont+F8"/>
          <w:color w:val="FF0000"/>
          <w:sz w:val="18"/>
          <w:szCs w:val="18"/>
        </w:rPr>
        <w:t xml:space="preserve">0.992 </w:t>
      </w:r>
      <w:r w:rsidR="00B9104B">
        <w:rPr>
          <w:rFonts w:ascii="CIDFont+F8" w:hAnsi="CIDFont+F8"/>
          <w:color w:val="FF0000"/>
          <w:sz w:val="18"/>
          <w:szCs w:val="18"/>
        </w:rPr>
        <w:tab/>
      </w:r>
      <w:r>
        <w:rPr>
          <w:rFonts w:ascii="CIDFont+F8" w:hAnsi="CIDFont+F8"/>
          <w:color w:val="000000"/>
          <w:sz w:val="18"/>
          <w:szCs w:val="18"/>
        </w:rPr>
        <w:t>0.019</w:t>
      </w:r>
    </w:p>
    <w:p w14:paraId="52CCB621" w14:textId="44FD0236" w:rsidR="00DC4EE1" w:rsidRPr="006213CD"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SUN_A </w:t>
      </w:r>
      <w:r w:rsidR="00B9104B">
        <w:rPr>
          <w:rFonts w:ascii="CIDFont+F8" w:hAnsi="CIDFont+F8"/>
          <w:color w:val="000000"/>
          <w:sz w:val="18"/>
          <w:szCs w:val="18"/>
        </w:rPr>
        <w:tab/>
      </w:r>
      <w:r>
        <w:rPr>
          <w:rFonts w:ascii="CIDFont+F8" w:hAnsi="CIDFont+F8"/>
          <w:color w:val="FF0000"/>
          <w:sz w:val="18"/>
          <w:szCs w:val="18"/>
        </w:rPr>
        <w:t xml:space="preserve">0.931 </w:t>
      </w:r>
      <w:r w:rsidR="00B9104B">
        <w:rPr>
          <w:rFonts w:ascii="CIDFont+F8" w:hAnsi="CIDFont+F8"/>
          <w:color w:val="FF0000"/>
          <w:sz w:val="18"/>
          <w:szCs w:val="18"/>
        </w:rPr>
        <w:tab/>
      </w:r>
      <w:r>
        <w:rPr>
          <w:rFonts w:ascii="CIDFont+F8" w:hAnsi="CIDFont+F8"/>
          <w:color w:val="000000"/>
          <w:sz w:val="18"/>
          <w:szCs w:val="18"/>
        </w:rPr>
        <w:t>0.087</w:t>
      </w:r>
    </w:p>
    <w:p w14:paraId="1273FB70" w14:textId="1804FCE4" w:rsidR="00DC4EE1" w:rsidRPr="00DC4EE1"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N_VIV </w:t>
      </w:r>
      <w:r w:rsidR="00B9104B">
        <w:rPr>
          <w:rFonts w:ascii="CIDFont+F8" w:hAnsi="CIDFont+F8"/>
          <w:color w:val="000000"/>
          <w:sz w:val="18"/>
          <w:szCs w:val="18"/>
        </w:rPr>
        <w:tab/>
      </w:r>
      <w:r>
        <w:rPr>
          <w:rFonts w:ascii="CIDFont+F8" w:hAnsi="CIDFont+F8"/>
          <w:color w:val="FF0000"/>
          <w:sz w:val="18"/>
          <w:szCs w:val="18"/>
        </w:rPr>
        <w:t xml:space="preserve">0.997 </w:t>
      </w:r>
      <w:r w:rsidR="00B9104B">
        <w:rPr>
          <w:rFonts w:ascii="CIDFont+F8" w:hAnsi="CIDFont+F8"/>
          <w:color w:val="FF0000"/>
          <w:sz w:val="18"/>
          <w:szCs w:val="18"/>
        </w:rPr>
        <w:tab/>
      </w:r>
      <w:r>
        <w:rPr>
          <w:rFonts w:ascii="CIDFont+F8" w:hAnsi="CIDFont+F8"/>
          <w:color w:val="000000"/>
          <w:sz w:val="18"/>
          <w:szCs w:val="18"/>
        </w:rPr>
        <w:t>0.032</w:t>
      </w:r>
    </w:p>
    <w:p w14:paraId="0681BD4D" w14:textId="49BB703E" w:rsidR="00DC4EE1" w:rsidRPr="00DC4EE1"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proofErr w:type="spellStart"/>
      <w:r>
        <w:rPr>
          <w:rFonts w:ascii="CIDFont+F8" w:hAnsi="CIDFont+F8"/>
          <w:color w:val="000000"/>
          <w:sz w:val="18"/>
          <w:szCs w:val="18"/>
        </w:rPr>
        <w:t>ptot</w:t>
      </w:r>
      <w:proofErr w:type="spellEnd"/>
      <w:r>
        <w:rPr>
          <w:rFonts w:ascii="CIDFont+F8" w:hAnsi="CIDFont+F8"/>
          <w:color w:val="000000"/>
          <w:sz w:val="18"/>
          <w:szCs w:val="18"/>
        </w:rPr>
        <w:t xml:space="preserve"> </w:t>
      </w:r>
      <w:r w:rsidR="00B9104B">
        <w:rPr>
          <w:rFonts w:ascii="CIDFont+F8" w:hAnsi="CIDFont+F8"/>
          <w:color w:val="000000"/>
          <w:sz w:val="18"/>
          <w:szCs w:val="18"/>
        </w:rPr>
        <w:tab/>
      </w:r>
      <w:r>
        <w:rPr>
          <w:rFonts w:ascii="CIDFont+F8" w:hAnsi="CIDFont+F8"/>
          <w:color w:val="FF0000"/>
          <w:sz w:val="18"/>
          <w:szCs w:val="18"/>
        </w:rPr>
        <w:t xml:space="preserve">0.998 </w:t>
      </w:r>
      <w:r w:rsidR="00B9104B">
        <w:rPr>
          <w:rFonts w:ascii="CIDFont+F8" w:hAnsi="CIDFont+F8"/>
          <w:color w:val="FF0000"/>
          <w:sz w:val="18"/>
          <w:szCs w:val="18"/>
        </w:rPr>
        <w:tab/>
      </w:r>
      <w:r>
        <w:rPr>
          <w:rFonts w:ascii="CIDFont+F8" w:hAnsi="CIDFont+F8"/>
          <w:color w:val="000000"/>
          <w:sz w:val="18"/>
          <w:szCs w:val="18"/>
        </w:rPr>
        <w:t>0.023</w:t>
      </w:r>
    </w:p>
    <w:p w14:paraId="3A47DCA2" w14:textId="48796D03" w:rsidR="00DC4EE1" w:rsidRPr="006213CD"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lastRenderedPageBreak/>
        <w:t xml:space="preserve">pmen16 </w:t>
      </w:r>
      <w:r w:rsidR="00B9104B">
        <w:rPr>
          <w:rFonts w:ascii="CIDFont+F8" w:hAnsi="CIDFont+F8"/>
          <w:color w:val="000000"/>
          <w:sz w:val="18"/>
          <w:szCs w:val="18"/>
        </w:rPr>
        <w:tab/>
      </w:r>
      <w:r>
        <w:rPr>
          <w:rFonts w:ascii="CIDFont+F8" w:hAnsi="CIDFont+F8"/>
          <w:color w:val="FF0000"/>
          <w:sz w:val="18"/>
          <w:szCs w:val="18"/>
        </w:rPr>
        <w:t xml:space="preserve">0.992 </w:t>
      </w:r>
      <w:r w:rsidR="00B9104B">
        <w:rPr>
          <w:rFonts w:ascii="CIDFont+F8" w:hAnsi="CIDFont+F8"/>
          <w:color w:val="FF0000"/>
          <w:sz w:val="18"/>
          <w:szCs w:val="18"/>
        </w:rPr>
        <w:tab/>
      </w:r>
      <w:r>
        <w:rPr>
          <w:rFonts w:ascii="CIDFont+F8" w:hAnsi="CIDFont+F8"/>
          <w:color w:val="000000"/>
          <w:sz w:val="18"/>
          <w:szCs w:val="18"/>
        </w:rPr>
        <w:t>0.017</w:t>
      </w:r>
    </w:p>
    <w:p w14:paraId="71E80C63" w14:textId="3A753DBF" w:rsidR="00DC4EE1" w:rsidRPr="006213CD"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pmas65 </w:t>
      </w:r>
      <w:r w:rsidR="00B9104B">
        <w:rPr>
          <w:rFonts w:ascii="CIDFont+F8" w:hAnsi="CIDFont+F8"/>
          <w:color w:val="000000"/>
          <w:sz w:val="18"/>
          <w:szCs w:val="18"/>
        </w:rPr>
        <w:tab/>
      </w:r>
      <w:r>
        <w:rPr>
          <w:rFonts w:ascii="CIDFont+F8" w:hAnsi="CIDFont+F8"/>
          <w:color w:val="FF0000"/>
          <w:sz w:val="18"/>
          <w:szCs w:val="18"/>
        </w:rPr>
        <w:t xml:space="preserve">0.989 </w:t>
      </w:r>
      <w:r w:rsidR="00B9104B">
        <w:rPr>
          <w:rFonts w:ascii="CIDFont+F8" w:hAnsi="CIDFont+F8"/>
          <w:color w:val="FF0000"/>
          <w:sz w:val="18"/>
          <w:szCs w:val="18"/>
        </w:rPr>
        <w:tab/>
      </w:r>
      <w:r>
        <w:rPr>
          <w:rFonts w:ascii="CIDFont+F8" w:hAnsi="CIDFont+F8"/>
          <w:color w:val="000000"/>
          <w:sz w:val="18"/>
          <w:szCs w:val="18"/>
        </w:rPr>
        <w:t>0.040</w:t>
      </w:r>
    </w:p>
    <w:p w14:paraId="6E30347D" w14:textId="623C8E37" w:rsidR="00DC4EE1" w:rsidRPr="006213CD"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POB_RP </w:t>
      </w:r>
      <w:r w:rsidR="00B9104B">
        <w:rPr>
          <w:rFonts w:ascii="CIDFont+F8" w:hAnsi="CIDFont+F8"/>
          <w:color w:val="000000"/>
          <w:sz w:val="18"/>
          <w:szCs w:val="18"/>
        </w:rPr>
        <w:tab/>
      </w:r>
      <w:r>
        <w:rPr>
          <w:rFonts w:ascii="CIDFont+F8" w:hAnsi="CIDFont+F8"/>
          <w:color w:val="FF0000"/>
          <w:sz w:val="18"/>
          <w:szCs w:val="18"/>
        </w:rPr>
        <w:t xml:space="preserve">0.996 </w:t>
      </w:r>
      <w:r w:rsidR="00B9104B">
        <w:rPr>
          <w:rFonts w:ascii="CIDFont+F8" w:hAnsi="CIDFont+F8"/>
          <w:color w:val="FF0000"/>
          <w:sz w:val="18"/>
          <w:szCs w:val="18"/>
        </w:rPr>
        <w:tab/>
      </w:r>
      <w:r>
        <w:rPr>
          <w:rFonts w:ascii="CIDFont+F8" w:hAnsi="CIDFont+F8"/>
          <w:color w:val="000000"/>
          <w:sz w:val="18"/>
          <w:szCs w:val="18"/>
        </w:rPr>
        <w:t>0.027</w:t>
      </w:r>
    </w:p>
    <w:p w14:paraId="4A5A896F" w14:textId="5B610364" w:rsidR="00DC4EE1" w:rsidRPr="006213CD" w:rsidRDefault="00DC4EE1" w:rsidP="00B9104B">
      <w:pPr>
        <w:tabs>
          <w:tab w:val="center" w:pos="3261"/>
          <w:tab w:val="center" w:pos="4678"/>
        </w:tabs>
        <w:autoSpaceDE w:val="0"/>
        <w:autoSpaceDN w:val="0"/>
        <w:adjustRightInd w:val="0"/>
        <w:ind w:left="1418"/>
        <w:rPr>
          <w:rFonts w:ascii="CIDFont+F8" w:hAnsi="CIDFont+F8" w:cs="CIDFont+F8"/>
          <w:color w:val="000000"/>
          <w:sz w:val="18"/>
          <w:szCs w:val="18"/>
        </w:rPr>
      </w:pPr>
      <w:r>
        <w:rPr>
          <w:rFonts w:ascii="CIDFont+F8" w:hAnsi="CIDFont+F8"/>
          <w:color w:val="000000"/>
          <w:sz w:val="18"/>
          <w:szCs w:val="18"/>
        </w:rPr>
        <w:t xml:space="preserve">POB_I </w:t>
      </w:r>
      <w:r w:rsidR="00B9104B">
        <w:rPr>
          <w:rFonts w:ascii="CIDFont+F8" w:hAnsi="CIDFont+F8"/>
          <w:color w:val="000000"/>
          <w:sz w:val="18"/>
          <w:szCs w:val="18"/>
        </w:rPr>
        <w:tab/>
      </w:r>
      <w:r>
        <w:rPr>
          <w:rFonts w:ascii="CIDFont+F8" w:hAnsi="CIDFont+F8"/>
          <w:color w:val="FF0000"/>
          <w:sz w:val="18"/>
          <w:szCs w:val="18"/>
        </w:rPr>
        <w:t xml:space="preserve">0.991 </w:t>
      </w:r>
      <w:r w:rsidR="00B9104B">
        <w:rPr>
          <w:rFonts w:ascii="CIDFont+F8" w:hAnsi="CIDFont+F8"/>
          <w:color w:val="FF0000"/>
          <w:sz w:val="18"/>
          <w:szCs w:val="18"/>
        </w:rPr>
        <w:tab/>
      </w:r>
      <w:r>
        <w:rPr>
          <w:rFonts w:ascii="CIDFont+F8" w:hAnsi="CIDFont+F8"/>
          <w:color w:val="000000"/>
          <w:sz w:val="18"/>
          <w:szCs w:val="18"/>
        </w:rPr>
        <w:t>0.017</w:t>
      </w:r>
    </w:p>
    <w:p w14:paraId="0E574211" w14:textId="134E65AF" w:rsidR="00DC4EE1" w:rsidRPr="006213CD" w:rsidRDefault="00DC4EE1" w:rsidP="00B9104B">
      <w:pPr>
        <w:tabs>
          <w:tab w:val="center" w:pos="3261"/>
          <w:tab w:val="center" w:pos="4678"/>
        </w:tabs>
        <w:autoSpaceDE w:val="0"/>
        <w:autoSpaceDN w:val="0"/>
        <w:adjustRightInd w:val="0"/>
        <w:ind w:left="1418"/>
        <w:rPr>
          <w:rFonts w:ascii="CIDFont+F8" w:hAnsi="CIDFont+F8" w:cs="CIDFont+F8"/>
          <w:color w:val="FF0000"/>
          <w:sz w:val="18"/>
          <w:szCs w:val="18"/>
        </w:rPr>
      </w:pPr>
      <w:r>
        <w:rPr>
          <w:rFonts w:ascii="CIDFont+F8" w:hAnsi="CIDFont+F8"/>
          <w:color w:val="000000"/>
          <w:sz w:val="18"/>
          <w:szCs w:val="18"/>
        </w:rPr>
        <w:t xml:space="preserve">IHEF </w:t>
      </w:r>
      <w:r w:rsidR="00B9104B">
        <w:rPr>
          <w:rFonts w:ascii="CIDFont+F8" w:hAnsi="CIDFont+F8"/>
          <w:color w:val="000000"/>
          <w:sz w:val="18"/>
          <w:szCs w:val="18"/>
        </w:rPr>
        <w:tab/>
      </w:r>
      <w:r>
        <w:rPr>
          <w:rFonts w:ascii="CIDFont+F8" w:hAnsi="CIDFont+F8"/>
          <w:color w:val="000000"/>
          <w:sz w:val="18"/>
          <w:szCs w:val="18"/>
        </w:rPr>
        <w:t xml:space="preserve">-0.062 </w:t>
      </w:r>
      <w:r w:rsidR="00B9104B">
        <w:rPr>
          <w:rFonts w:ascii="CIDFont+F8" w:hAnsi="CIDFont+F8"/>
          <w:color w:val="000000"/>
          <w:sz w:val="18"/>
          <w:szCs w:val="18"/>
        </w:rPr>
        <w:tab/>
      </w:r>
      <w:r>
        <w:rPr>
          <w:rFonts w:ascii="CIDFont+F8" w:hAnsi="CIDFont+F8"/>
          <w:color w:val="FF0000"/>
          <w:sz w:val="18"/>
          <w:szCs w:val="18"/>
        </w:rPr>
        <w:t>0.908</w:t>
      </w:r>
    </w:p>
    <w:p w14:paraId="4DB4BE5B" w14:textId="6245B88E" w:rsidR="0011393F" w:rsidRDefault="00DC4EE1" w:rsidP="001E2CD4">
      <w:pPr>
        <w:ind w:left="1418"/>
        <w:jc w:val="both"/>
        <w:rPr>
          <w:rFonts w:ascii="Arial" w:hAnsi="Arial" w:cs="Arial"/>
          <w:sz w:val="24"/>
          <w:szCs w:val="24"/>
        </w:rPr>
      </w:pPr>
      <w:r>
        <w:rPr>
          <w:rFonts w:ascii="CIDFont+F8" w:hAnsi="CIDFont+F8"/>
          <w:color w:val="000000"/>
          <w:sz w:val="18"/>
          <w:szCs w:val="18"/>
        </w:rPr>
        <w:t>-------------------------</w:t>
      </w:r>
      <w:r w:rsidR="00B9104B">
        <w:rPr>
          <w:rFonts w:ascii="CIDFont+F8" w:hAnsi="CIDFont+F8"/>
          <w:color w:val="000000"/>
          <w:sz w:val="18"/>
          <w:szCs w:val="18"/>
        </w:rPr>
        <w:t>---------------------------------------------</w:t>
      </w:r>
      <w:r>
        <w:rPr>
          <w:rFonts w:ascii="CIDFont+F8" w:hAnsi="CIDFont+F8"/>
          <w:color w:val="000000"/>
          <w:sz w:val="18"/>
          <w:szCs w:val="18"/>
        </w:rPr>
        <w:t>-</w:t>
      </w:r>
    </w:p>
    <w:p w14:paraId="1DFC13DB" w14:textId="5C59102D" w:rsidR="001841F9" w:rsidRDefault="008B72DC" w:rsidP="00B9104B">
      <w:pPr>
        <w:ind w:left="142" w:right="4675"/>
        <w:jc w:val="center"/>
        <w:rPr>
          <w:rFonts w:asciiTheme="minorHAnsi" w:hAnsiTheme="minorHAnsi"/>
          <w:sz w:val="18"/>
          <w:szCs w:val="18"/>
        </w:rPr>
      </w:pPr>
      <w:r w:rsidRPr="00B9104B">
        <w:rPr>
          <w:rFonts w:asciiTheme="minorHAnsi" w:hAnsiTheme="minorHAnsi"/>
          <w:sz w:val="18"/>
          <w:szCs w:val="18"/>
        </w:rPr>
        <w:t>1. grafikoa: aldagaien grafikoa</w:t>
      </w:r>
      <w:r w:rsidR="00B9104B">
        <w:rPr>
          <w:rFonts w:asciiTheme="minorHAnsi" w:hAnsiTheme="minorHAnsi"/>
          <w:sz w:val="18"/>
          <w:szCs w:val="18"/>
        </w:rPr>
        <w:br/>
      </w:r>
      <w:r w:rsidRPr="00B9104B">
        <w:rPr>
          <w:rFonts w:asciiTheme="minorHAnsi" w:hAnsiTheme="minorHAnsi"/>
          <w:sz w:val="18"/>
          <w:szCs w:val="18"/>
        </w:rPr>
        <w:t>(gastu-beharraren adierazleak)</w:t>
      </w:r>
    </w:p>
    <w:p w14:paraId="35274DA2" w14:textId="77777777" w:rsidR="00B9104B" w:rsidRPr="00B9104B" w:rsidRDefault="00B9104B">
      <w:pPr>
        <w:rPr>
          <w:rFonts w:asciiTheme="minorHAnsi" w:hAnsiTheme="minorHAnsi" w:cs="Arial"/>
          <w:sz w:val="18"/>
          <w:szCs w:val="18"/>
        </w:rPr>
      </w:pPr>
    </w:p>
    <w:p w14:paraId="5D3E5FF9" w14:textId="77777777" w:rsidR="0011393F" w:rsidRDefault="008B72DC">
      <w:pPr>
        <w:rPr>
          <w:rFonts w:ascii="Arial" w:hAnsi="Arial" w:cs="Arial"/>
          <w:sz w:val="24"/>
          <w:szCs w:val="24"/>
        </w:rPr>
      </w:pPr>
      <w:r>
        <w:rPr>
          <w:rFonts w:ascii="Arial" w:hAnsi="Arial"/>
          <w:noProof/>
          <w:sz w:val="24"/>
          <w:szCs w:val="24"/>
        </w:rPr>
        <w:drawing>
          <wp:inline distT="0" distB="0" distL="0" distR="0" wp14:anchorId="7B225FEE" wp14:editId="70C7365A">
            <wp:extent cx="2981325" cy="2638503"/>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48" cy="2647904"/>
                    </a:xfrm>
                    <a:prstGeom prst="rect">
                      <a:avLst/>
                    </a:prstGeom>
                    <a:noFill/>
                    <a:ln>
                      <a:noFill/>
                    </a:ln>
                  </pic:spPr>
                </pic:pic>
              </a:graphicData>
            </a:graphic>
          </wp:inline>
        </w:drawing>
      </w:r>
    </w:p>
    <w:p w14:paraId="16210701" w14:textId="6A7D1FEB" w:rsidR="0011393F" w:rsidRDefault="00BF6A0A" w:rsidP="00BF6A0A">
      <w:pPr>
        <w:spacing w:line="360" w:lineRule="auto"/>
        <w:jc w:val="both"/>
        <w:rPr>
          <w:rFonts w:ascii="Arial" w:hAnsi="Arial" w:cs="Arial"/>
          <w:sz w:val="24"/>
          <w:szCs w:val="24"/>
        </w:rPr>
      </w:pPr>
      <w:r>
        <w:rPr>
          <w:rFonts w:ascii="Arial" w:hAnsi="Arial"/>
          <w:sz w:val="24"/>
          <w:szCs w:val="24"/>
        </w:rPr>
        <w:t>2. eta 3. taulak eta 1. grafikoa ikusita, esanahia eman ahal zaie hautatutako bi faktoreei:</w:t>
      </w:r>
    </w:p>
    <w:p w14:paraId="564C0E0E" w14:textId="67A8F4C4" w:rsidR="0011393F" w:rsidRDefault="0011393F" w:rsidP="00BF6A0A">
      <w:pPr>
        <w:spacing w:line="360" w:lineRule="auto"/>
        <w:ind w:left="567"/>
        <w:jc w:val="both"/>
        <w:rPr>
          <w:rFonts w:ascii="Arial" w:hAnsi="Arial" w:cs="Arial"/>
          <w:sz w:val="24"/>
          <w:szCs w:val="24"/>
        </w:rPr>
      </w:pPr>
      <w:r>
        <w:rPr>
          <w:rFonts w:ascii="Arial" w:hAnsi="Arial"/>
          <w:sz w:val="24"/>
          <w:szCs w:val="24"/>
        </w:rPr>
        <w:t>• 1. faktoreak bariantza totalaren % 79,6 azaltzen du, eta honako aldagai hauek osatzen dute funtsean: populazioa, etxebizitza nagusien kopurua, pobrezia arriskua duen populazioa, 16 urtetik beherako populazioa, populazio immigratzailea, 65 urtetik gorako populazioa eta hiri azalera garbia. Udalerriaren tamainarekin lotu daitekeen faktorea da, batez ere biztanleriari dagokionez.</w:t>
      </w:r>
    </w:p>
    <w:p w14:paraId="0399C6A0" w14:textId="593946DC" w:rsidR="0011393F" w:rsidRDefault="0011393F" w:rsidP="00BF6A0A">
      <w:pPr>
        <w:spacing w:line="360" w:lineRule="auto"/>
        <w:ind w:left="567"/>
        <w:jc w:val="both"/>
        <w:rPr>
          <w:rFonts w:ascii="Arial" w:hAnsi="Arial" w:cs="Arial"/>
          <w:sz w:val="24"/>
          <w:szCs w:val="24"/>
        </w:rPr>
      </w:pPr>
      <w:r>
        <w:rPr>
          <w:rFonts w:ascii="Arial" w:hAnsi="Arial"/>
          <w:sz w:val="24"/>
          <w:szCs w:val="24"/>
        </w:rPr>
        <w:t xml:space="preserve">• 2. faktoreak bariantza totalaren % 10,6 azaltzen du, eta funtsean aldagai bakar batek osatzen du: </w:t>
      </w:r>
      <w:proofErr w:type="spellStart"/>
      <w:r>
        <w:rPr>
          <w:rFonts w:ascii="Arial" w:hAnsi="Arial"/>
          <w:sz w:val="24"/>
          <w:szCs w:val="24"/>
        </w:rPr>
        <w:t>Herfindhalen</w:t>
      </w:r>
      <w:proofErr w:type="spellEnd"/>
      <w:r>
        <w:rPr>
          <w:rFonts w:ascii="Arial" w:hAnsi="Arial"/>
          <w:sz w:val="24"/>
          <w:szCs w:val="24"/>
        </w:rPr>
        <w:t xml:space="preserve"> indizearen alderantzizkoak. Batez ere udalerrietako biztanleriaren barreiadura edo sakabanatze mailarekin lotutako faktorea da. </w:t>
      </w:r>
    </w:p>
    <w:p w14:paraId="7CADA485" w14:textId="77777777" w:rsidR="0011393F" w:rsidRDefault="00330A07" w:rsidP="00330A07">
      <w:pPr>
        <w:spacing w:line="360" w:lineRule="auto"/>
        <w:jc w:val="both"/>
        <w:rPr>
          <w:rFonts w:ascii="Arial" w:hAnsi="Arial" w:cs="Arial"/>
          <w:sz w:val="24"/>
          <w:szCs w:val="24"/>
        </w:rPr>
      </w:pPr>
      <w:r>
        <w:rPr>
          <w:rFonts w:ascii="Arial" w:hAnsi="Arial"/>
          <w:sz w:val="24"/>
          <w:szCs w:val="24"/>
        </w:rPr>
        <w:t>Emaitza horiek ikusirik, aukeratutako bi faktoreei dagokienez (tamaina eta barreiadura) informazioa eskaintzen duten gastu-beharraren adierazleak hauta daitezke, eta bazter utzi gainerako adierazleak, informazio erredundantea edo garrantzirik gabekoa ematen dutenak.</w:t>
      </w:r>
    </w:p>
    <w:p w14:paraId="4CFD0CD1" w14:textId="77777777" w:rsidR="0011393F" w:rsidRDefault="00330A07" w:rsidP="00330A07">
      <w:pPr>
        <w:spacing w:line="360" w:lineRule="auto"/>
        <w:jc w:val="both"/>
        <w:rPr>
          <w:rFonts w:ascii="Arial" w:hAnsi="Arial" w:cs="Arial"/>
          <w:sz w:val="24"/>
          <w:szCs w:val="24"/>
        </w:rPr>
      </w:pPr>
      <w:r>
        <w:rPr>
          <w:rFonts w:ascii="Arial" w:hAnsi="Arial"/>
          <w:sz w:val="24"/>
          <w:szCs w:val="24"/>
        </w:rPr>
        <w:t>GBA indizearen parte izanen diren gastu-beharraren adierazleak hautatzeko, honako irizpide hau erabili da:</w:t>
      </w:r>
    </w:p>
    <w:p w14:paraId="42C8C8DD" w14:textId="77777777" w:rsidR="0011393F" w:rsidRDefault="00330A07" w:rsidP="00001575">
      <w:pPr>
        <w:spacing w:line="360" w:lineRule="auto"/>
        <w:ind w:left="567"/>
        <w:jc w:val="both"/>
        <w:rPr>
          <w:rFonts w:ascii="Arial" w:hAnsi="Arial" w:cs="Arial"/>
          <w:sz w:val="24"/>
          <w:szCs w:val="24"/>
        </w:rPr>
      </w:pPr>
      <w:r>
        <w:rPr>
          <w:rFonts w:ascii="Arial" w:hAnsi="Arial"/>
          <w:sz w:val="24"/>
          <w:szCs w:val="24"/>
        </w:rPr>
        <w:lastRenderedPageBreak/>
        <w:t>1. Faktore bakoitzarekin korrelazio handiena duen gastu-beharraren adierazlea aukeratzen da haren ordezkatzaile gisa (faktorearen aldagai nagusia).</w:t>
      </w:r>
    </w:p>
    <w:p w14:paraId="3204103C" w14:textId="77777777" w:rsidR="0011393F" w:rsidRDefault="00330A07" w:rsidP="00001575">
      <w:pPr>
        <w:spacing w:line="360" w:lineRule="auto"/>
        <w:ind w:left="567"/>
        <w:jc w:val="both"/>
        <w:rPr>
          <w:rFonts w:ascii="Arial" w:hAnsi="Arial" w:cs="Arial"/>
          <w:sz w:val="24"/>
          <w:szCs w:val="24"/>
        </w:rPr>
      </w:pPr>
      <w:r>
        <w:rPr>
          <w:rFonts w:ascii="Arial" w:hAnsi="Arial"/>
          <w:sz w:val="24"/>
          <w:szCs w:val="24"/>
        </w:rPr>
        <w:t>2. Faktorearekin korrelazio handia (0,7 edo gehiago) baina ez handiegia (gehienez 0,95) duten gastu-beharraren adierazleak aukeratzen dira, halakorik baldin bada. Aldagai horiek faktoreari buruz jasotzen duten informazioa ez da oso erredundantea aldagai nagusiarekiko, eta, beraz, pentsatzen da garrantzizko informazioa ematen dutela.</w:t>
      </w:r>
    </w:p>
    <w:p w14:paraId="65CB00B4" w14:textId="77777777" w:rsidR="0011393F" w:rsidRDefault="00330A07" w:rsidP="00001575">
      <w:pPr>
        <w:spacing w:line="360" w:lineRule="auto"/>
        <w:ind w:left="567"/>
        <w:jc w:val="both"/>
        <w:rPr>
          <w:rFonts w:ascii="Arial" w:hAnsi="Arial" w:cs="Arial"/>
          <w:sz w:val="24"/>
          <w:szCs w:val="24"/>
        </w:rPr>
      </w:pPr>
      <w:r>
        <w:rPr>
          <w:rFonts w:ascii="Arial" w:hAnsi="Arial"/>
          <w:sz w:val="24"/>
          <w:szCs w:val="24"/>
        </w:rPr>
        <w:t xml:space="preserve">3. Halaber, faktorearekin oso korrelazio handia (0,95etik gorakoa) izanik GBA indizea osatzeko interesgarritzat jotzen diren gastu-beharraren adierazleak aukeratzen dira, halakorik baldin bada. Aldagai horiek, aldagai nagusiarekiko erredundanteak direnez, pisu txikia izanen dute </w:t>
      </w:r>
      <w:proofErr w:type="spellStart"/>
      <w:r>
        <w:rPr>
          <w:rFonts w:ascii="Arial" w:hAnsi="Arial"/>
          <w:sz w:val="24"/>
          <w:szCs w:val="24"/>
        </w:rPr>
        <w:t>GBAren</w:t>
      </w:r>
      <w:proofErr w:type="spellEnd"/>
      <w:r>
        <w:rPr>
          <w:rFonts w:ascii="Arial" w:hAnsi="Arial"/>
          <w:sz w:val="24"/>
          <w:szCs w:val="24"/>
        </w:rPr>
        <w:t xml:space="preserve"> formulan.</w:t>
      </w:r>
    </w:p>
    <w:p w14:paraId="602851D6" w14:textId="60EFACF4" w:rsidR="001841F9" w:rsidRDefault="00001575" w:rsidP="00001575">
      <w:pPr>
        <w:spacing w:line="360" w:lineRule="auto"/>
        <w:rPr>
          <w:rFonts w:ascii="Arial" w:hAnsi="Arial" w:cs="Arial"/>
          <w:sz w:val="24"/>
          <w:szCs w:val="24"/>
        </w:rPr>
      </w:pPr>
      <w:r>
        <w:rPr>
          <w:rFonts w:ascii="Arial" w:hAnsi="Arial"/>
          <w:sz w:val="24"/>
          <w:szCs w:val="24"/>
        </w:rPr>
        <w:t xml:space="preserve">Irizpide hori aplikatuta eta 3. taulako informazioaren arabera, honako hauek dira gastu-beharraren adierazle gisa hautatu eta </w:t>
      </w:r>
      <w:proofErr w:type="spellStart"/>
      <w:r>
        <w:rPr>
          <w:rFonts w:ascii="Arial" w:hAnsi="Arial"/>
          <w:sz w:val="24"/>
          <w:szCs w:val="24"/>
        </w:rPr>
        <w:t>GBAren</w:t>
      </w:r>
      <w:proofErr w:type="spellEnd"/>
      <w:r>
        <w:rPr>
          <w:rFonts w:ascii="Arial" w:hAnsi="Arial"/>
          <w:sz w:val="24"/>
          <w:szCs w:val="24"/>
        </w:rPr>
        <w:t xml:space="preserve"> parte izanen diren aldagaiak:</w:t>
      </w:r>
    </w:p>
    <w:p w14:paraId="05D87821" w14:textId="77777777" w:rsidR="0070725E" w:rsidRPr="0070725E" w:rsidRDefault="0070725E" w:rsidP="0070725E">
      <w:pPr>
        <w:pStyle w:val="Prrafodelista"/>
        <w:numPr>
          <w:ilvl w:val="0"/>
          <w:numId w:val="4"/>
        </w:numPr>
        <w:spacing w:line="360" w:lineRule="auto"/>
        <w:jc w:val="both"/>
        <w:rPr>
          <w:rFonts w:ascii="Arial" w:hAnsi="Arial" w:cs="Arial"/>
          <w:sz w:val="24"/>
          <w:szCs w:val="24"/>
        </w:rPr>
      </w:pPr>
      <w:r>
        <w:rPr>
          <w:rFonts w:ascii="Arial" w:hAnsi="Arial"/>
          <w:sz w:val="24"/>
          <w:szCs w:val="24"/>
        </w:rPr>
        <w:t>1. faktorea (tamaina) Aldagai nagusia: populazio osoa (</w:t>
      </w:r>
      <w:proofErr w:type="spellStart"/>
      <w:r>
        <w:rPr>
          <w:rFonts w:ascii="Arial" w:hAnsi="Arial"/>
          <w:sz w:val="24"/>
          <w:szCs w:val="24"/>
        </w:rPr>
        <w:t>ptot</w:t>
      </w:r>
      <w:proofErr w:type="spellEnd"/>
      <w:r>
        <w:rPr>
          <w:rFonts w:ascii="Arial" w:hAnsi="Arial"/>
          <w:sz w:val="24"/>
          <w:szCs w:val="24"/>
        </w:rPr>
        <w:t>). Ekarpena egiten duen aldagaia: hiri azalera garbia (SUN_A).</w:t>
      </w:r>
      <w:r>
        <w:rPr>
          <w:rFonts w:ascii="Arial" w:hAnsi="Arial"/>
          <w:sz w:val="24"/>
          <w:szCs w:val="24"/>
        </w:rPr>
        <w:cr/>
      </w:r>
      <w:r>
        <w:rPr>
          <w:rFonts w:ascii="Arial" w:hAnsi="Arial"/>
          <w:sz w:val="24"/>
          <w:szCs w:val="24"/>
        </w:rPr>
        <w:br/>
        <w:t xml:space="preserve"> Intereseko aldagaiak: 65 urtetik gorako populazioa (pmas65) eta pobrezia arriskua duen populazioa (POB_RP).</w:t>
      </w:r>
    </w:p>
    <w:p w14:paraId="2F56182E" w14:textId="77777777" w:rsidR="0011393F" w:rsidRDefault="0070725E" w:rsidP="0070725E">
      <w:pPr>
        <w:pStyle w:val="Prrafodelista"/>
        <w:numPr>
          <w:ilvl w:val="0"/>
          <w:numId w:val="4"/>
        </w:numPr>
        <w:spacing w:line="360" w:lineRule="auto"/>
        <w:rPr>
          <w:rFonts w:ascii="Arial" w:hAnsi="Arial" w:cs="Arial"/>
          <w:sz w:val="24"/>
          <w:szCs w:val="24"/>
        </w:rPr>
      </w:pPr>
      <w:r>
        <w:rPr>
          <w:rFonts w:ascii="Arial" w:hAnsi="Arial"/>
          <w:sz w:val="24"/>
          <w:szCs w:val="24"/>
        </w:rPr>
        <w:t xml:space="preserve">2. faktorea (barreiadura). Aldagai nagusia: </w:t>
      </w:r>
      <w:proofErr w:type="spellStart"/>
      <w:r>
        <w:rPr>
          <w:rFonts w:ascii="Arial" w:hAnsi="Arial"/>
          <w:sz w:val="24"/>
          <w:szCs w:val="24"/>
        </w:rPr>
        <w:t>Herfindhalen</w:t>
      </w:r>
      <w:proofErr w:type="spellEnd"/>
      <w:r>
        <w:rPr>
          <w:rFonts w:ascii="Arial" w:hAnsi="Arial"/>
          <w:sz w:val="24"/>
          <w:szCs w:val="24"/>
        </w:rPr>
        <w:t xml:space="preserve"> indizearen alderantzizkoa (IHEF)</w:t>
      </w:r>
    </w:p>
    <w:p w14:paraId="63EA43E0" w14:textId="37E6E118" w:rsidR="00A408DD" w:rsidRPr="00A408DD" w:rsidRDefault="00A408DD" w:rsidP="00A408DD">
      <w:pPr>
        <w:spacing w:line="360" w:lineRule="auto"/>
        <w:rPr>
          <w:rFonts w:ascii="Arial" w:hAnsi="Arial" w:cs="Arial"/>
          <w:sz w:val="24"/>
          <w:szCs w:val="24"/>
        </w:rPr>
      </w:pPr>
      <w:r>
        <w:rPr>
          <w:rFonts w:ascii="Arial" w:hAnsi="Arial"/>
          <w:sz w:val="24"/>
          <w:szCs w:val="24"/>
        </w:rPr>
        <w:t xml:space="preserve">Azken batean </w:t>
      </w:r>
      <w:proofErr w:type="spellStart"/>
      <w:r>
        <w:rPr>
          <w:rFonts w:ascii="Arial" w:hAnsi="Arial"/>
          <w:sz w:val="24"/>
          <w:szCs w:val="24"/>
        </w:rPr>
        <w:t>GBAren</w:t>
      </w:r>
      <w:proofErr w:type="spellEnd"/>
      <w:r>
        <w:rPr>
          <w:rFonts w:ascii="Arial" w:hAnsi="Arial"/>
          <w:sz w:val="24"/>
          <w:szCs w:val="24"/>
        </w:rPr>
        <w:t xml:space="preserve"> parte izateko hautatutako aldagaien multzoa</w:t>
      </w:r>
    </w:p>
    <w:p w14:paraId="027C6945" w14:textId="0EAA28EC" w:rsidR="0011393F" w:rsidRDefault="00A408DD" w:rsidP="00A408DD">
      <w:pPr>
        <w:spacing w:line="360" w:lineRule="auto"/>
        <w:rPr>
          <w:rFonts w:ascii="Arial" w:hAnsi="Arial" w:cs="Arial"/>
          <w:sz w:val="24"/>
          <w:szCs w:val="24"/>
        </w:rPr>
      </w:pPr>
      <w:r>
        <w:rPr>
          <w:rFonts w:ascii="Arial" w:hAnsi="Arial"/>
          <w:sz w:val="24"/>
          <w:szCs w:val="24"/>
        </w:rPr>
        <w:t>4. taulan ageri da.</w:t>
      </w:r>
    </w:p>
    <w:p w14:paraId="30F09816" w14:textId="1907603B" w:rsidR="0011393F" w:rsidRDefault="0011393F" w:rsidP="00A408DD">
      <w:pPr>
        <w:spacing w:line="360" w:lineRule="auto"/>
        <w:rPr>
          <w:rFonts w:ascii="Arial" w:hAnsi="Arial" w:cs="Arial"/>
          <w:sz w:val="24"/>
          <w:szCs w:val="24"/>
        </w:rPr>
      </w:pPr>
    </w:p>
    <w:p w14:paraId="4B0381E9" w14:textId="609BB69D" w:rsidR="0011393F" w:rsidRDefault="0011393F" w:rsidP="00A408DD">
      <w:pPr>
        <w:spacing w:line="360" w:lineRule="auto"/>
        <w:rPr>
          <w:rFonts w:ascii="Arial" w:hAnsi="Arial" w:cs="Arial"/>
          <w:sz w:val="24"/>
          <w:szCs w:val="24"/>
        </w:rPr>
      </w:pPr>
    </w:p>
    <w:p w14:paraId="50B97F40" w14:textId="77777777" w:rsidR="0011393F" w:rsidRDefault="0011393F" w:rsidP="00A408DD">
      <w:pPr>
        <w:spacing w:line="360" w:lineRule="auto"/>
        <w:rPr>
          <w:rFonts w:ascii="Arial" w:hAnsi="Arial" w:cs="Arial"/>
          <w:sz w:val="24"/>
          <w:szCs w:val="24"/>
        </w:rPr>
      </w:pPr>
    </w:p>
    <w:p w14:paraId="3280E849" w14:textId="14EA7AF9" w:rsidR="00B278CE" w:rsidRPr="00EE1464" w:rsidRDefault="00B278CE" w:rsidP="00EE1464">
      <w:pPr>
        <w:autoSpaceDE w:val="0"/>
        <w:autoSpaceDN w:val="0"/>
        <w:adjustRightInd w:val="0"/>
        <w:ind w:left="426" w:right="1840"/>
        <w:jc w:val="center"/>
        <w:rPr>
          <w:rFonts w:asciiTheme="minorHAnsi" w:hAnsiTheme="minorHAnsi" w:cs="CIDFont+F3"/>
        </w:rPr>
      </w:pPr>
      <w:r w:rsidRPr="00EE1464">
        <w:rPr>
          <w:rFonts w:asciiTheme="minorHAnsi" w:hAnsiTheme="minorHAnsi"/>
        </w:rPr>
        <w:t>4. taula: GBA osatzen duten gastu-beharraren adierazleak</w:t>
      </w:r>
    </w:p>
    <w:p w14:paraId="165C155C" w14:textId="77777777" w:rsidR="00B278CE" w:rsidRDefault="00B278CE" w:rsidP="00EE1464">
      <w:pPr>
        <w:autoSpaceDE w:val="0"/>
        <w:autoSpaceDN w:val="0"/>
        <w:adjustRightInd w:val="0"/>
        <w:ind w:right="1699"/>
        <w:rPr>
          <w:rFonts w:ascii="CIDFont+F3" w:hAnsi="CIDFont+F3" w:cs="CIDFont+F3"/>
          <w:sz w:val="22"/>
          <w:szCs w:val="22"/>
          <w:lang w:eastAsia="es-ES_tradnl"/>
        </w:rPr>
      </w:pPr>
    </w:p>
    <w:tbl>
      <w:tblPr>
        <w:tblStyle w:val="Tablaconcuadrcula"/>
        <w:tblW w:w="0" w:type="auto"/>
        <w:tblInd w:w="345" w:type="dxa"/>
        <w:tblLook w:val="04A0" w:firstRow="1" w:lastRow="0" w:firstColumn="1" w:lastColumn="0" w:noHBand="0" w:noVBand="1"/>
      </w:tblPr>
      <w:tblGrid>
        <w:gridCol w:w="3761"/>
        <w:gridCol w:w="3260"/>
      </w:tblGrid>
      <w:tr w:rsidR="00B278CE" w:rsidRPr="00EE1464" w14:paraId="0F83F692" w14:textId="77777777" w:rsidTr="00EE1464">
        <w:tc>
          <w:tcPr>
            <w:tcW w:w="3761" w:type="dxa"/>
            <w:vAlign w:val="center"/>
          </w:tcPr>
          <w:p w14:paraId="65AC1FEB" w14:textId="77777777" w:rsidR="00B278CE" w:rsidRPr="00EE1464" w:rsidRDefault="00B278CE" w:rsidP="00EE1464">
            <w:pPr>
              <w:autoSpaceDE w:val="0"/>
              <w:autoSpaceDN w:val="0"/>
              <w:adjustRightInd w:val="0"/>
              <w:spacing w:before="40" w:after="40"/>
              <w:rPr>
                <w:rFonts w:asciiTheme="minorHAnsi" w:hAnsiTheme="minorHAnsi" w:cs="CIDFont+F3"/>
                <w:sz w:val="18"/>
                <w:szCs w:val="18"/>
              </w:rPr>
            </w:pPr>
            <w:r w:rsidRPr="00EE1464">
              <w:rPr>
                <w:rFonts w:asciiTheme="minorHAnsi" w:hAnsiTheme="minorHAnsi"/>
                <w:sz w:val="18"/>
                <w:szCs w:val="18"/>
              </w:rPr>
              <w:t>1. faktoreari (tamaina) lotuak</w:t>
            </w:r>
          </w:p>
        </w:tc>
        <w:tc>
          <w:tcPr>
            <w:tcW w:w="3260" w:type="dxa"/>
            <w:vAlign w:val="center"/>
          </w:tcPr>
          <w:p w14:paraId="2A11FF82" w14:textId="0CF72C53" w:rsidR="00B278CE" w:rsidRPr="00EE1464" w:rsidRDefault="00B278CE" w:rsidP="00EE1464">
            <w:pPr>
              <w:autoSpaceDE w:val="0"/>
              <w:autoSpaceDN w:val="0"/>
              <w:adjustRightInd w:val="0"/>
              <w:spacing w:before="40" w:after="40"/>
              <w:rPr>
                <w:rFonts w:asciiTheme="minorHAnsi" w:hAnsiTheme="minorHAnsi" w:cs="CIDFont+F3"/>
                <w:sz w:val="18"/>
                <w:szCs w:val="18"/>
                <w:lang w:eastAsia="es-ES_tradnl"/>
              </w:rPr>
            </w:pPr>
            <w:r w:rsidRPr="00EE1464">
              <w:rPr>
                <w:rFonts w:asciiTheme="minorHAnsi" w:hAnsiTheme="minorHAnsi"/>
                <w:sz w:val="18"/>
                <w:szCs w:val="18"/>
              </w:rPr>
              <w:t>2. faktoreari (barreiadura) lotuak</w:t>
            </w:r>
          </w:p>
        </w:tc>
      </w:tr>
      <w:tr w:rsidR="00B278CE" w:rsidRPr="00EE1464" w14:paraId="387A0ED2" w14:textId="77777777" w:rsidTr="00EE1464">
        <w:tc>
          <w:tcPr>
            <w:tcW w:w="3761" w:type="dxa"/>
            <w:vAlign w:val="center"/>
          </w:tcPr>
          <w:p w14:paraId="5496F86F" w14:textId="77777777" w:rsidR="00B278CE" w:rsidRPr="00EE1464" w:rsidRDefault="00B278CE" w:rsidP="00EE1464">
            <w:pPr>
              <w:autoSpaceDE w:val="0"/>
              <w:autoSpaceDN w:val="0"/>
              <w:adjustRightInd w:val="0"/>
              <w:spacing w:before="40" w:after="40"/>
              <w:rPr>
                <w:rFonts w:asciiTheme="minorHAnsi" w:hAnsiTheme="minorHAnsi" w:cs="CIDFont+F4"/>
                <w:sz w:val="18"/>
                <w:szCs w:val="18"/>
              </w:rPr>
            </w:pPr>
            <w:r w:rsidRPr="00EE1464">
              <w:rPr>
                <w:rFonts w:asciiTheme="minorHAnsi" w:hAnsiTheme="minorHAnsi"/>
                <w:sz w:val="18"/>
                <w:szCs w:val="18"/>
              </w:rPr>
              <w:t xml:space="preserve">Populazio osoa </w:t>
            </w:r>
          </w:p>
          <w:p w14:paraId="3EC59969" w14:textId="77777777" w:rsidR="00B278CE" w:rsidRPr="00EE1464" w:rsidRDefault="00B278CE" w:rsidP="00EE1464">
            <w:pPr>
              <w:autoSpaceDE w:val="0"/>
              <w:autoSpaceDN w:val="0"/>
              <w:adjustRightInd w:val="0"/>
              <w:spacing w:before="40" w:after="40"/>
              <w:rPr>
                <w:rFonts w:asciiTheme="minorHAnsi" w:hAnsiTheme="minorHAnsi" w:cs="CIDFont+F4"/>
                <w:sz w:val="18"/>
                <w:szCs w:val="18"/>
              </w:rPr>
            </w:pPr>
            <w:r w:rsidRPr="00EE1464">
              <w:rPr>
                <w:rFonts w:asciiTheme="minorHAnsi" w:hAnsiTheme="minorHAnsi"/>
                <w:sz w:val="18"/>
                <w:szCs w:val="18"/>
              </w:rPr>
              <w:t>Hiri azalera garbia</w:t>
            </w:r>
          </w:p>
          <w:p w14:paraId="3D9B17E1" w14:textId="77777777" w:rsidR="00B278CE" w:rsidRPr="00EE1464" w:rsidRDefault="00B278CE" w:rsidP="00EE1464">
            <w:pPr>
              <w:autoSpaceDE w:val="0"/>
              <w:autoSpaceDN w:val="0"/>
              <w:adjustRightInd w:val="0"/>
              <w:spacing w:before="40" w:after="40"/>
              <w:rPr>
                <w:rFonts w:asciiTheme="minorHAnsi" w:hAnsiTheme="minorHAnsi" w:cs="CIDFont+F4"/>
                <w:sz w:val="18"/>
                <w:szCs w:val="18"/>
              </w:rPr>
            </w:pPr>
            <w:r w:rsidRPr="00EE1464">
              <w:rPr>
                <w:rFonts w:asciiTheme="minorHAnsi" w:hAnsiTheme="minorHAnsi"/>
                <w:sz w:val="18"/>
                <w:szCs w:val="18"/>
              </w:rPr>
              <w:t>65 urtetik gorako populazioa</w:t>
            </w:r>
          </w:p>
          <w:p w14:paraId="01EFD833" w14:textId="77777777" w:rsidR="00B278CE" w:rsidRPr="00EE1464" w:rsidRDefault="00B278CE" w:rsidP="00EE1464">
            <w:pPr>
              <w:spacing w:before="40" w:after="40"/>
              <w:jc w:val="both"/>
              <w:rPr>
                <w:rFonts w:asciiTheme="minorHAnsi" w:hAnsiTheme="minorHAnsi" w:cs="CIDFont+F3"/>
                <w:sz w:val="18"/>
                <w:szCs w:val="18"/>
              </w:rPr>
            </w:pPr>
            <w:r w:rsidRPr="00EE1464">
              <w:rPr>
                <w:rFonts w:asciiTheme="minorHAnsi" w:hAnsiTheme="minorHAnsi"/>
                <w:sz w:val="18"/>
                <w:szCs w:val="18"/>
              </w:rPr>
              <w:t>Pobrezia arriskua duen populazioa</w:t>
            </w:r>
          </w:p>
        </w:tc>
        <w:tc>
          <w:tcPr>
            <w:tcW w:w="3260" w:type="dxa"/>
            <w:vAlign w:val="center"/>
          </w:tcPr>
          <w:p w14:paraId="6945DE9D" w14:textId="77777777" w:rsidR="00B278CE" w:rsidRPr="00EE1464" w:rsidRDefault="00B278CE" w:rsidP="00EE1464">
            <w:pPr>
              <w:autoSpaceDE w:val="0"/>
              <w:autoSpaceDN w:val="0"/>
              <w:adjustRightInd w:val="0"/>
              <w:spacing w:before="40" w:after="40"/>
              <w:rPr>
                <w:rFonts w:asciiTheme="minorHAnsi" w:hAnsiTheme="minorHAnsi" w:cs="CIDFont+F3"/>
                <w:sz w:val="18"/>
                <w:szCs w:val="18"/>
              </w:rPr>
            </w:pPr>
            <w:r w:rsidRPr="00EE1464">
              <w:rPr>
                <w:rFonts w:asciiTheme="minorHAnsi" w:hAnsiTheme="minorHAnsi"/>
                <w:sz w:val="18"/>
                <w:szCs w:val="18"/>
              </w:rPr>
              <w:t>Barreiadura (</w:t>
            </w:r>
            <w:proofErr w:type="spellStart"/>
            <w:r w:rsidRPr="00EE1464">
              <w:rPr>
                <w:rFonts w:asciiTheme="minorHAnsi" w:hAnsiTheme="minorHAnsi"/>
                <w:sz w:val="18"/>
                <w:szCs w:val="18"/>
              </w:rPr>
              <w:t>Herfindhalen</w:t>
            </w:r>
            <w:proofErr w:type="spellEnd"/>
            <w:r w:rsidRPr="00EE1464">
              <w:rPr>
                <w:rFonts w:asciiTheme="minorHAnsi" w:hAnsiTheme="minorHAnsi"/>
                <w:sz w:val="18"/>
                <w:szCs w:val="18"/>
              </w:rPr>
              <w:t xml:space="preserve"> indizearen alderantzizkoa)</w:t>
            </w:r>
          </w:p>
        </w:tc>
      </w:tr>
    </w:tbl>
    <w:p w14:paraId="79DF2220" w14:textId="77777777" w:rsidR="0011393F" w:rsidRDefault="0011393F" w:rsidP="00B278CE">
      <w:pPr>
        <w:autoSpaceDE w:val="0"/>
        <w:autoSpaceDN w:val="0"/>
        <w:adjustRightInd w:val="0"/>
        <w:rPr>
          <w:rFonts w:ascii="CIDFont+F3" w:hAnsi="CIDFont+F3" w:cs="CIDFont+F3"/>
          <w:sz w:val="22"/>
          <w:szCs w:val="22"/>
          <w:lang w:eastAsia="es-ES_tradnl"/>
        </w:rPr>
      </w:pPr>
    </w:p>
    <w:p w14:paraId="13697A1C" w14:textId="77777777" w:rsidR="0011393F" w:rsidRDefault="00577C70" w:rsidP="00577C70">
      <w:pPr>
        <w:spacing w:line="360" w:lineRule="auto"/>
        <w:ind w:left="426"/>
        <w:jc w:val="both"/>
        <w:rPr>
          <w:rFonts w:ascii="Arial" w:hAnsi="Arial" w:cs="Arial"/>
          <w:sz w:val="24"/>
          <w:szCs w:val="24"/>
        </w:rPr>
      </w:pPr>
      <w:r>
        <w:rPr>
          <w:rFonts w:ascii="Arial" w:hAnsi="Arial"/>
          <w:sz w:val="24"/>
          <w:szCs w:val="24"/>
        </w:rPr>
        <w:t>Hori guztia jakinarazten dizut, Nafarroako Parlamentuko Erregelamenduaren 194. artikuluan xedatutakoa betez.</w:t>
      </w:r>
    </w:p>
    <w:p w14:paraId="25BE3741" w14:textId="3CF4B8FC" w:rsidR="003D4AFB" w:rsidRDefault="003D4AFB" w:rsidP="00577C70">
      <w:pPr>
        <w:spacing w:line="360" w:lineRule="auto"/>
        <w:jc w:val="center"/>
        <w:rPr>
          <w:rFonts w:ascii="Arial" w:hAnsi="Arial" w:cs="Arial"/>
          <w:sz w:val="24"/>
          <w:szCs w:val="24"/>
        </w:rPr>
      </w:pPr>
    </w:p>
    <w:p w14:paraId="0D5A74A2" w14:textId="77777777" w:rsidR="00577C70" w:rsidRDefault="00577C70" w:rsidP="00577C70">
      <w:pPr>
        <w:spacing w:line="360" w:lineRule="auto"/>
        <w:jc w:val="center"/>
        <w:rPr>
          <w:rFonts w:ascii="Arial" w:hAnsi="Arial" w:cs="Arial"/>
          <w:sz w:val="24"/>
          <w:szCs w:val="24"/>
        </w:rPr>
      </w:pPr>
      <w:r>
        <w:rPr>
          <w:rFonts w:ascii="Arial" w:hAnsi="Arial"/>
          <w:sz w:val="24"/>
          <w:szCs w:val="24"/>
        </w:rPr>
        <w:t>Iruñean, 2021eko abenduaren 9an</w:t>
      </w:r>
    </w:p>
    <w:p w14:paraId="12A3B68B" w14:textId="4E0FB932" w:rsidR="00577C70" w:rsidRDefault="0011393F" w:rsidP="00577C70">
      <w:pPr>
        <w:spacing w:line="360" w:lineRule="auto"/>
        <w:jc w:val="center"/>
        <w:rPr>
          <w:rFonts w:ascii="Arial" w:hAnsi="Arial" w:cs="Arial"/>
          <w:sz w:val="24"/>
          <w:szCs w:val="24"/>
        </w:rPr>
      </w:pPr>
      <w:r>
        <w:rPr>
          <w:rFonts w:ascii="Arial" w:hAnsi="Arial"/>
          <w:sz w:val="24"/>
          <w:szCs w:val="24"/>
        </w:rPr>
        <w:t>Lurralde Kohesiorako kontseilaria:</w:t>
      </w:r>
      <w:r>
        <w:t xml:space="preserve"> </w:t>
      </w:r>
      <w:r>
        <w:rPr>
          <w:rFonts w:ascii="Arial" w:hAnsi="Arial"/>
          <w:sz w:val="24"/>
          <w:szCs w:val="24"/>
        </w:rPr>
        <w:t xml:space="preserve">Bernardo </w:t>
      </w:r>
      <w:proofErr w:type="spellStart"/>
      <w:r>
        <w:rPr>
          <w:rFonts w:ascii="Arial" w:hAnsi="Arial"/>
          <w:sz w:val="24"/>
          <w:szCs w:val="24"/>
        </w:rPr>
        <w:t>Ciriza</w:t>
      </w:r>
      <w:proofErr w:type="spellEnd"/>
      <w:r>
        <w:rPr>
          <w:rFonts w:ascii="Arial" w:hAnsi="Arial"/>
          <w:sz w:val="24"/>
          <w:szCs w:val="24"/>
        </w:rPr>
        <w:t xml:space="preserve"> Pérez</w:t>
      </w:r>
    </w:p>
    <w:sectPr w:rsidR="00577C70" w:rsidSect="0011393F">
      <w:headerReference w:type="default" r:id="rId8"/>
      <w:headerReference w:type="first" r:id="rId9"/>
      <w:footerReference w:type="first" r:id="rId10"/>
      <w:pgSz w:w="11906" w:h="16838" w:code="9"/>
      <w:pgMar w:top="2269" w:right="1418" w:bottom="1276"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CA0A" w14:textId="77777777" w:rsidR="00A80616" w:rsidRDefault="00A80616">
      <w:r>
        <w:separator/>
      </w:r>
    </w:p>
  </w:endnote>
  <w:endnote w:type="continuationSeparator" w:id="0">
    <w:p w14:paraId="302C79F7" w14:textId="77777777" w:rsidR="00A80616" w:rsidRDefault="00A8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AD1" w14:textId="77777777" w:rsidR="00A2145B" w:rsidRPr="00A2145B" w:rsidRDefault="00A2145B" w:rsidP="00A2145B">
    <w:pPr>
      <w:pStyle w:val="Piedepgina"/>
      <w:jc w:val="right"/>
      <w:rPr>
        <w:rFonts w:ascii="Courier New" w:hAnsi="Courier New" w:cs="Courier New"/>
        <w:sz w:val="18"/>
        <w:szCs w:val="18"/>
      </w:rPr>
    </w:pPr>
    <w:r>
      <w:rPr>
        <w:rFonts w:ascii="Courier New" w:hAnsi="Courier New"/>
        <w:sz w:val="18"/>
        <w:szCs w:val="18"/>
      </w:rPr>
      <w:t xml:space="preserve">Or.: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C49D" w14:textId="77777777" w:rsidR="00A80616" w:rsidRDefault="00A80616">
      <w:r>
        <w:separator/>
      </w:r>
    </w:p>
  </w:footnote>
  <w:footnote w:type="continuationSeparator" w:id="0">
    <w:p w14:paraId="43044D62" w14:textId="77777777" w:rsidR="00A80616" w:rsidRDefault="00A8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A8C" w14:textId="218543A6"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070D"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0DEA3850" wp14:editId="6D7EFBDF">
          <wp:simplePos x="0" y="0"/>
          <wp:positionH relativeFrom="page">
            <wp:align>left</wp:align>
          </wp:positionH>
          <wp:positionV relativeFrom="page">
            <wp:align>top</wp:align>
          </wp:positionV>
          <wp:extent cx="7569186" cy="1803058"/>
          <wp:effectExtent l="25400" t="0" r="14" b="0"/>
          <wp:wrapNone/>
          <wp:docPr id="32" name="Imagen 3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12C1455"/>
    <w:multiLevelType w:val="hybridMultilevel"/>
    <w:tmpl w:val="75360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1575"/>
    <w:rsid w:val="0004511B"/>
    <w:rsid w:val="000729E0"/>
    <w:rsid w:val="0009463A"/>
    <w:rsid w:val="000A0670"/>
    <w:rsid w:val="000A2D4E"/>
    <w:rsid w:val="000B64A1"/>
    <w:rsid w:val="000C49C0"/>
    <w:rsid w:val="000D4D21"/>
    <w:rsid w:val="000F462E"/>
    <w:rsid w:val="0011393F"/>
    <w:rsid w:val="0012427F"/>
    <w:rsid w:val="001330E8"/>
    <w:rsid w:val="00167E09"/>
    <w:rsid w:val="001841F9"/>
    <w:rsid w:val="00192C26"/>
    <w:rsid w:val="001D2D33"/>
    <w:rsid w:val="001E2CD4"/>
    <w:rsid w:val="001F7B80"/>
    <w:rsid w:val="00204D50"/>
    <w:rsid w:val="002168BE"/>
    <w:rsid w:val="0022276B"/>
    <w:rsid w:val="00263A56"/>
    <w:rsid w:val="00277B58"/>
    <w:rsid w:val="00277C9A"/>
    <w:rsid w:val="002B2E9D"/>
    <w:rsid w:val="002B6912"/>
    <w:rsid w:val="002C7081"/>
    <w:rsid w:val="002D296E"/>
    <w:rsid w:val="002F0A33"/>
    <w:rsid w:val="0032051D"/>
    <w:rsid w:val="00330A07"/>
    <w:rsid w:val="00376F65"/>
    <w:rsid w:val="003D4AFB"/>
    <w:rsid w:val="003F1206"/>
    <w:rsid w:val="003F5BF1"/>
    <w:rsid w:val="003F7AC2"/>
    <w:rsid w:val="004031A8"/>
    <w:rsid w:val="00426486"/>
    <w:rsid w:val="004367B6"/>
    <w:rsid w:val="00442565"/>
    <w:rsid w:val="00482BE6"/>
    <w:rsid w:val="004954BD"/>
    <w:rsid w:val="00496066"/>
    <w:rsid w:val="004C58DB"/>
    <w:rsid w:val="004F4088"/>
    <w:rsid w:val="00503D84"/>
    <w:rsid w:val="005105F5"/>
    <w:rsid w:val="00524782"/>
    <w:rsid w:val="005367EB"/>
    <w:rsid w:val="005512E8"/>
    <w:rsid w:val="00577C70"/>
    <w:rsid w:val="005943AA"/>
    <w:rsid w:val="00597336"/>
    <w:rsid w:val="005B0812"/>
    <w:rsid w:val="005B095B"/>
    <w:rsid w:val="005D4B01"/>
    <w:rsid w:val="006037CA"/>
    <w:rsid w:val="00610AAA"/>
    <w:rsid w:val="006213CD"/>
    <w:rsid w:val="006651B7"/>
    <w:rsid w:val="00667A90"/>
    <w:rsid w:val="006764C1"/>
    <w:rsid w:val="00696F6F"/>
    <w:rsid w:val="006A4F6E"/>
    <w:rsid w:val="006A5952"/>
    <w:rsid w:val="006F03BD"/>
    <w:rsid w:val="0070725E"/>
    <w:rsid w:val="0072622D"/>
    <w:rsid w:val="0074093A"/>
    <w:rsid w:val="00765080"/>
    <w:rsid w:val="00773E05"/>
    <w:rsid w:val="00776285"/>
    <w:rsid w:val="00780CA4"/>
    <w:rsid w:val="00793F61"/>
    <w:rsid w:val="007D36CD"/>
    <w:rsid w:val="007E640E"/>
    <w:rsid w:val="007F473D"/>
    <w:rsid w:val="008007AE"/>
    <w:rsid w:val="00815CAC"/>
    <w:rsid w:val="0082352D"/>
    <w:rsid w:val="00832136"/>
    <w:rsid w:val="00864465"/>
    <w:rsid w:val="0086703A"/>
    <w:rsid w:val="00873A74"/>
    <w:rsid w:val="00875009"/>
    <w:rsid w:val="008B4FA0"/>
    <w:rsid w:val="008B72DC"/>
    <w:rsid w:val="008F071C"/>
    <w:rsid w:val="009226EF"/>
    <w:rsid w:val="009357DF"/>
    <w:rsid w:val="00994342"/>
    <w:rsid w:val="009A3D7D"/>
    <w:rsid w:val="009D73FA"/>
    <w:rsid w:val="009E202F"/>
    <w:rsid w:val="009E381E"/>
    <w:rsid w:val="00A00160"/>
    <w:rsid w:val="00A01C1F"/>
    <w:rsid w:val="00A117E7"/>
    <w:rsid w:val="00A2145B"/>
    <w:rsid w:val="00A27622"/>
    <w:rsid w:val="00A408DD"/>
    <w:rsid w:val="00A5046B"/>
    <w:rsid w:val="00A72DA6"/>
    <w:rsid w:val="00A80616"/>
    <w:rsid w:val="00AC3455"/>
    <w:rsid w:val="00AC79C9"/>
    <w:rsid w:val="00AF586B"/>
    <w:rsid w:val="00B17CCC"/>
    <w:rsid w:val="00B278CE"/>
    <w:rsid w:val="00B46857"/>
    <w:rsid w:val="00B54065"/>
    <w:rsid w:val="00B5626E"/>
    <w:rsid w:val="00B9104B"/>
    <w:rsid w:val="00B93971"/>
    <w:rsid w:val="00BA20D1"/>
    <w:rsid w:val="00BD40D3"/>
    <w:rsid w:val="00BD6A02"/>
    <w:rsid w:val="00BE5976"/>
    <w:rsid w:val="00BF6A0A"/>
    <w:rsid w:val="00C11980"/>
    <w:rsid w:val="00C22E9D"/>
    <w:rsid w:val="00C362DE"/>
    <w:rsid w:val="00C55248"/>
    <w:rsid w:val="00C67D8A"/>
    <w:rsid w:val="00C7645D"/>
    <w:rsid w:val="00CA2943"/>
    <w:rsid w:val="00CA7093"/>
    <w:rsid w:val="00CA7726"/>
    <w:rsid w:val="00CC186C"/>
    <w:rsid w:val="00CD2C1C"/>
    <w:rsid w:val="00CF3385"/>
    <w:rsid w:val="00CF4D94"/>
    <w:rsid w:val="00D643B2"/>
    <w:rsid w:val="00D90FA7"/>
    <w:rsid w:val="00DA6D6E"/>
    <w:rsid w:val="00DC2FF3"/>
    <w:rsid w:val="00DC4EE1"/>
    <w:rsid w:val="00DF6784"/>
    <w:rsid w:val="00E03101"/>
    <w:rsid w:val="00E06B3C"/>
    <w:rsid w:val="00E20B4D"/>
    <w:rsid w:val="00E21BF7"/>
    <w:rsid w:val="00E3317C"/>
    <w:rsid w:val="00E36204"/>
    <w:rsid w:val="00E41A6A"/>
    <w:rsid w:val="00E46F74"/>
    <w:rsid w:val="00E93360"/>
    <w:rsid w:val="00EB65D8"/>
    <w:rsid w:val="00ED5CA9"/>
    <w:rsid w:val="00EE1464"/>
    <w:rsid w:val="00F228ED"/>
    <w:rsid w:val="00F323EB"/>
    <w:rsid w:val="00F5367E"/>
    <w:rsid w:val="00F7222A"/>
    <w:rsid w:val="00F90018"/>
    <w:rsid w:val="00FD5B10"/>
    <w:rsid w:val="00FF25BB"/>
    <w:rsid w:val="00FF3CCF"/>
    <w:rsid w:val="00FF414D"/>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3BC7"/>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1812</Words>
  <Characters>9971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9</cp:revision>
  <cp:lastPrinted>2021-11-19T09:23:00Z</cp:lastPrinted>
  <dcterms:created xsi:type="dcterms:W3CDTF">2021-12-08T09:48:00Z</dcterms:created>
  <dcterms:modified xsi:type="dcterms:W3CDTF">2022-02-16T10:02:00Z</dcterms:modified>
</cp:coreProperties>
</file>