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0068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Legebiltzarreko Erregelamenduko 130. artikuluan ezarritakoa betez, agintzen dut Nafarroako Parlamentuko Aldizkari Ofizialean argitara daitezen Nafarroako Abereen Osasunari buruzko azaroaren 16ko 11/2000 Foru Legea aldatzeko Foru Lege proiektuari aurkezturi</w:t>
      </w:r>
      <w:r w:rsidRPr="005533CA">
        <w:rPr>
          <w:rStyle w:val="Normal1"/>
          <w:lang w:val="eu-ES"/>
        </w:rPr>
        <w:t>ko zuzenketak. Proiektu hori 2022ko urtarrilaren 14ko 2. Nafarroako Parlamentuko Aldizkari Ofizialean argitaratu zen.</w:t>
      </w:r>
    </w:p>
    <w:p w14:paraId="09048401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Iruñean, 2022ko otsailaren 15ean</w:t>
      </w:r>
    </w:p>
    <w:p w14:paraId="0D48D556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Lehendakaria: Unai Hualde Iglesias</w:t>
      </w:r>
    </w:p>
    <w:p w14:paraId="3E2CF5D8" w14:textId="77777777" w:rsidR="003451E7" w:rsidRPr="005533CA" w:rsidRDefault="005533CA">
      <w:pPr>
        <w:pStyle w:val="aemnum"/>
        <w:rPr>
          <w:lang w:val="eu-ES"/>
        </w:rPr>
      </w:pPr>
      <w:r w:rsidRPr="005533CA">
        <w:rPr>
          <w:lang w:val="eu-ES"/>
        </w:rPr>
        <w:t>1. zuzenketa</w:t>
      </w:r>
    </w:p>
    <w:p w14:paraId="5DE042BF" w14:textId="77777777" w:rsidR="003451E7" w:rsidRPr="005533CA" w:rsidRDefault="005533CA">
      <w:pPr>
        <w:pStyle w:val="agrupo"/>
        <w:rPr>
          <w:lang w:val="eu-ES"/>
        </w:rPr>
      </w:pPr>
      <w:r w:rsidRPr="005533CA">
        <w:rPr>
          <w:lang w:val="eu-ES"/>
        </w:rPr>
        <w:t>EH BILDU NAFARROA</w:t>
      </w:r>
    </w:p>
    <w:p w14:paraId="7F6D8D13" w14:textId="77777777" w:rsidR="003451E7" w:rsidRPr="005533CA" w:rsidRDefault="005533CA">
      <w:pPr>
        <w:pStyle w:val="aformula"/>
        <w:rPr>
          <w:lang w:val="eu-ES"/>
        </w:rPr>
      </w:pPr>
      <w:r w:rsidRPr="005533CA">
        <w:rPr>
          <w:lang w:val="eu-ES"/>
        </w:rPr>
        <w:t>TALDE PARLAMENTARIOAK AURKEZTUA</w:t>
      </w:r>
    </w:p>
    <w:p w14:paraId="28C9FD20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Artikul</w:t>
      </w:r>
      <w:r w:rsidRPr="005533CA">
        <w:rPr>
          <w:rStyle w:val="Normal1"/>
          <w:lang w:val="eu-ES"/>
        </w:rPr>
        <w:t>u bakarraren 1. apartatua, 28. artikuluaren errubrika, aldatzeko zuzenketa. Hona testu berria:</w:t>
      </w:r>
    </w:p>
    <w:p w14:paraId="68008BC4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“28. artikulua. Distantzia eta gehienezko ekoizpen-ahalmena”.</w:t>
      </w:r>
    </w:p>
    <w:p w14:paraId="77FEC18E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Zioa: 28. artikuluaren errubrikaren testua hobetzea “gehienezko ekoizpen-ahalmena” erabilita “gehie</w:t>
      </w:r>
      <w:r w:rsidRPr="005533CA">
        <w:rPr>
          <w:rStyle w:val="Normal1"/>
          <w:lang w:val="eu-ES"/>
        </w:rPr>
        <w:t>neko neurriak” erabili beharrean.</w:t>
      </w:r>
    </w:p>
    <w:p w14:paraId="03545F3F" w14:textId="77777777" w:rsidR="003451E7" w:rsidRPr="005533CA" w:rsidRDefault="005533CA">
      <w:pPr>
        <w:pStyle w:val="aemnum"/>
        <w:rPr>
          <w:lang w:val="eu-ES"/>
        </w:rPr>
      </w:pPr>
      <w:r w:rsidRPr="005533CA">
        <w:rPr>
          <w:lang w:val="eu-ES"/>
        </w:rPr>
        <w:t>2. zuzenketa</w:t>
      </w:r>
    </w:p>
    <w:p w14:paraId="56D6B4B3" w14:textId="77777777" w:rsidR="003451E7" w:rsidRPr="005533CA" w:rsidRDefault="005533CA">
      <w:pPr>
        <w:pStyle w:val="agrupo"/>
        <w:rPr>
          <w:lang w:val="eu-ES"/>
        </w:rPr>
      </w:pPr>
      <w:r w:rsidRPr="005533CA">
        <w:rPr>
          <w:lang w:val="eu-ES"/>
        </w:rPr>
        <w:t>EH BILDU NAFARROA</w:t>
      </w:r>
    </w:p>
    <w:p w14:paraId="05DF1571" w14:textId="77777777" w:rsidR="003451E7" w:rsidRPr="005533CA" w:rsidRDefault="005533CA">
      <w:pPr>
        <w:pStyle w:val="aformula"/>
        <w:rPr>
          <w:lang w:val="eu-ES"/>
        </w:rPr>
      </w:pPr>
      <w:r w:rsidRPr="005533CA">
        <w:rPr>
          <w:lang w:val="eu-ES"/>
        </w:rPr>
        <w:t>TALDE PARLAMENTARIOAK AURKEZTUA</w:t>
      </w:r>
    </w:p>
    <w:p w14:paraId="5A46556F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Artikulu bakarraren 1. apartatua, 28. artikuluaren 1. paragrafoa, aldatzeko zuzenketa. Hona testu berria:</w:t>
      </w:r>
    </w:p>
    <w:p w14:paraId="574864CE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“1. Abeltegiek erregelamenduz ezartzen diren distantz</w:t>
      </w:r>
      <w:r w:rsidRPr="005533CA">
        <w:rPr>
          <w:rStyle w:val="Normal1"/>
          <w:lang w:val="eu-ES"/>
        </w:rPr>
        <w:t>iak gordeko dituzte bai haien artean bai haietatik abere kontzentrazioetarako instalazioetara eta abeltzaintzaren arloko jarduera agroindustrialetara edo haiekin lotutakoetara bitarte daudenak. Distantzia horiek zehazteko, kontuan hartuko dira inguruabar g</w:t>
      </w:r>
      <w:r w:rsidRPr="005533CA">
        <w:rPr>
          <w:rStyle w:val="Normal1"/>
          <w:lang w:val="eu-ES"/>
        </w:rPr>
        <w:t>eografikoak eta abere espezieen ezaugarriak, gehienezko ekoizpen-ahalmena, ustiategiaren neurria, ustiategi mota, ustiategiaren izaera intentsiboa edo estentsiboa eta arrisku epidemiologikoa”.</w:t>
      </w:r>
    </w:p>
    <w:p w14:paraId="0F5018BE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Zioa: 28. artikuluaren testua hobetzea, termino batzuk aldatuta</w:t>
      </w:r>
      <w:r w:rsidRPr="005533CA">
        <w:rPr>
          <w:rStyle w:val="Normal1"/>
          <w:lang w:val="eu-ES"/>
        </w:rPr>
        <w:t xml:space="preserve"> eta ustiategiaren izaera intentsiboa edo estentsiboa aintzat hartuta abeltegien artean gorde beharreko distantziak erregelamendu bidez zehazteko irizpide gisa.</w:t>
      </w:r>
    </w:p>
    <w:p w14:paraId="0ED1E5B4" w14:textId="77777777" w:rsidR="003451E7" w:rsidRPr="005533CA" w:rsidRDefault="005533CA">
      <w:pPr>
        <w:pStyle w:val="aemnum"/>
        <w:rPr>
          <w:lang w:val="eu-ES"/>
        </w:rPr>
      </w:pPr>
      <w:r w:rsidRPr="005533CA">
        <w:rPr>
          <w:lang w:val="eu-ES"/>
        </w:rPr>
        <w:t>3. zuzenketa</w:t>
      </w:r>
    </w:p>
    <w:p w14:paraId="2565D21B" w14:textId="77777777" w:rsidR="003451E7" w:rsidRPr="005533CA" w:rsidRDefault="005533CA">
      <w:pPr>
        <w:pStyle w:val="agrupo"/>
        <w:rPr>
          <w:lang w:val="eu-ES"/>
        </w:rPr>
      </w:pPr>
      <w:r w:rsidRPr="005533CA">
        <w:rPr>
          <w:lang w:val="eu-ES"/>
        </w:rPr>
        <w:t>EH BILDU NAFARROA</w:t>
      </w:r>
    </w:p>
    <w:p w14:paraId="4E3A13A0" w14:textId="77777777" w:rsidR="003451E7" w:rsidRPr="005533CA" w:rsidRDefault="005533CA">
      <w:pPr>
        <w:pStyle w:val="aformula"/>
        <w:rPr>
          <w:lang w:val="eu-ES"/>
        </w:rPr>
      </w:pPr>
      <w:r w:rsidRPr="005533CA">
        <w:rPr>
          <w:lang w:val="eu-ES"/>
        </w:rPr>
        <w:t>TALDE PARLAMENTARIOAK AURKEZTUA</w:t>
      </w:r>
    </w:p>
    <w:p w14:paraId="250FB559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Artikulu bakarraren 2. apartatua</w:t>
      </w:r>
      <w:r w:rsidRPr="005533CA">
        <w:rPr>
          <w:rStyle w:val="Normal1"/>
          <w:lang w:val="eu-ES"/>
        </w:rPr>
        <w:t>, 28. artikuluaren 2. paragrafoa, aldatzeko zuzenketa. Hona testu berria:</w:t>
      </w:r>
    </w:p>
    <w:p w14:paraId="66ACD11A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“2. Abeltegietarako gehienezko ekoizpen-ahalmen batzuk ezartzen dira, ustiategi berrien edo orain daudenen handitzeen neurriak ez daitezen izan foru lege honen 1. eranskinean ezartze</w:t>
      </w:r>
      <w:r w:rsidRPr="005533CA">
        <w:rPr>
          <w:rStyle w:val="Normal1"/>
          <w:lang w:val="eu-ES"/>
        </w:rPr>
        <w:t>n diren gehienekoak baino handiagoak”.</w:t>
      </w:r>
    </w:p>
    <w:p w14:paraId="0EDEAE03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Zioak: 28. artikuluaren idazketa hobetzea.</w:t>
      </w:r>
    </w:p>
    <w:p w14:paraId="0FC65B38" w14:textId="77777777" w:rsidR="003451E7" w:rsidRPr="005533CA" w:rsidRDefault="005533CA">
      <w:pPr>
        <w:pStyle w:val="aemnum"/>
        <w:rPr>
          <w:lang w:val="eu-ES"/>
        </w:rPr>
      </w:pPr>
      <w:r w:rsidRPr="005533CA">
        <w:rPr>
          <w:lang w:val="eu-ES"/>
        </w:rPr>
        <w:t>4. zuzenketa</w:t>
      </w:r>
    </w:p>
    <w:p w14:paraId="47A63AAD" w14:textId="77777777" w:rsidR="003451E7" w:rsidRPr="005533CA" w:rsidRDefault="005533CA">
      <w:pPr>
        <w:pStyle w:val="agrupo"/>
        <w:rPr>
          <w:lang w:val="eu-ES"/>
        </w:rPr>
      </w:pPr>
      <w:r w:rsidRPr="005533CA">
        <w:rPr>
          <w:lang w:val="eu-ES"/>
        </w:rPr>
        <w:t>EH BILDU NAFARROA</w:t>
      </w:r>
    </w:p>
    <w:p w14:paraId="4F25D5B0" w14:textId="77777777" w:rsidR="003451E7" w:rsidRPr="005533CA" w:rsidRDefault="005533CA">
      <w:pPr>
        <w:pStyle w:val="aformula"/>
        <w:rPr>
          <w:lang w:val="eu-ES"/>
        </w:rPr>
      </w:pPr>
      <w:r w:rsidRPr="005533CA">
        <w:rPr>
          <w:lang w:val="eu-ES"/>
        </w:rPr>
        <w:t>TALDE PARLAMENTARIOAK AURKEZTUA</w:t>
      </w:r>
    </w:p>
    <w:p w14:paraId="7983AEC7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Artikulu bakarraren 1. apartatuari paragrafo bat, hirugarrena, gehitzeko zuzenketa. Hona testua:</w:t>
      </w:r>
    </w:p>
    <w:p w14:paraId="4BD5136F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“3. I. eranski</w:t>
      </w:r>
      <w:r w:rsidRPr="005533CA">
        <w:rPr>
          <w:rStyle w:val="Normal1"/>
          <w:lang w:val="eu-ES"/>
        </w:rPr>
        <w:t>nean adierazitako gehienezko ekoizpen-ahalmena aplikatzekoa izanen zaie bai abeltegi berriei bai lehendik dauden abeltegiak handitzen direnean ere. Edonola ere, abeltegietan ezin izanen da instalazioen aldaketarik edo ekoizpen-norabidearen aldaketarik egin</w:t>
      </w:r>
      <w:r w:rsidRPr="005533CA">
        <w:rPr>
          <w:rStyle w:val="Normal1"/>
          <w:lang w:val="eu-ES"/>
        </w:rPr>
        <w:t>, horiek gehienezko ahalmena handitzea ekartzen badute”.</w:t>
      </w:r>
    </w:p>
    <w:p w14:paraId="48576F00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lastRenderedPageBreak/>
        <w:t>Zioak: paragrafo honekin 28. artikuluaren idazketa hobetzen da.</w:t>
      </w:r>
    </w:p>
    <w:p w14:paraId="5D4A3F7F" w14:textId="77777777" w:rsidR="003451E7" w:rsidRPr="005533CA" w:rsidRDefault="005533CA">
      <w:pPr>
        <w:pStyle w:val="aemnum"/>
        <w:rPr>
          <w:lang w:val="eu-ES"/>
        </w:rPr>
      </w:pPr>
      <w:r w:rsidRPr="005533CA">
        <w:rPr>
          <w:lang w:val="eu-ES"/>
        </w:rPr>
        <w:t>5. zuzenketa</w:t>
      </w:r>
    </w:p>
    <w:p w14:paraId="0472C594" w14:textId="77777777" w:rsidR="003451E7" w:rsidRPr="005533CA" w:rsidRDefault="005533CA">
      <w:pPr>
        <w:pStyle w:val="agrupo"/>
        <w:rPr>
          <w:lang w:val="eu-ES"/>
        </w:rPr>
      </w:pPr>
      <w:r w:rsidRPr="005533CA">
        <w:rPr>
          <w:lang w:val="eu-ES"/>
        </w:rPr>
        <w:t>EH BILDU NAFARROA</w:t>
      </w:r>
    </w:p>
    <w:p w14:paraId="42127B75" w14:textId="77777777" w:rsidR="003451E7" w:rsidRPr="005533CA" w:rsidRDefault="005533CA">
      <w:pPr>
        <w:pStyle w:val="aformula"/>
        <w:rPr>
          <w:lang w:val="eu-ES"/>
        </w:rPr>
      </w:pPr>
      <w:r w:rsidRPr="005533CA">
        <w:rPr>
          <w:lang w:val="eu-ES"/>
        </w:rPr>
        <w:t>TALDE PARLAMENTARIOAK AURKEZTUA</w:t>
      </w:r>
    </w:p>
    <w:p w14:paraId="5A171649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Artikulu bakarraren 3. apartatua aldatzeko zuzenketa. Hona testua:</w:t>
      </w:r>
    </w:p>
    <w:p w14:paraId="7B412C6F" w14:textId="77777777" w:rsid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“Hiru. I. eranskin berri bat gehitzen da, testu honekin:</w:t>
      </w:r>
    </w:p>
    <w:p w14:paraId="172B0D6E" w14:textId="77777777" w:rsidR="005533CA" w:rsidRPr="005533CA" w:rsidRDefault="005533CA" w:rsidP="005533CA">
      <w:pPr>
        <w:ind w:left="567" w:right="707"/>
        <w:jc w:val="center"/>
        <w:rPr>
          <w:rFonts w:cstheme="minorHAnsi"/>
          <w:lang w:val="es-ES"/>
        </w:rPr>
      </w:pPr>
      <w:r w:rsidRPr="005533CA">
        <w:rPr>
          <w:lang w:val="es-ES"/>
        </w:rPr>
        <w:t>I. ERANSKINA</w:t>
      </w:r>
    </w:p>
    <w:p w14:paraId="69AEEB95" w14:textId="77777777" w:rsidR="005533CA" w:rsidRPr="005533CA" w:rsidRDefault="005533CA" w:rsidP="005533CA">
      <w:pPr>
        <w:ind w:left="567" w:right="707"/>
        <w:jc w:val="center"/>
        <w:rPr>
          <w:rFonts w:cstheme="minorHAnsi"/>
          <w:lang w:val="es-ES"/>
        </w:rPr>
      </w:pPr>
      <w:r w:rsidRPr="005533CA">
        <w:rPr>
          <w:lang w:val="es-ES"/>
        </w:rPr>
        <w:t>Abeltegien gehienezko ekoizpen-ahalmena (AzLU edo toki kopuruaren arabera)</w:t>
      </w: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673"/>
        <w:gridCol w:w="2693"/>
      </w:tblGrid>
      <w:tr w:rsidR="005533CA" w:rsidRPr="00B25C94" w14:paraId="6B046E60" w14:textId="77777777" w:rsidTr="001E6304">
        <w:tc>
          <w:tcPr>
            <w:tcW w:w="4673" w:type="dxa"/>
            <w:vAlign w:val="center"/>
          </w:tcPr>
          <w:p w14:paraId="76909CED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Ustiategiaren neurria </w:t>
            </w:r>
          </w:p>
        </w:tc>
        <w:tc>
          <w:tcPr>
            <w:tcW w:w="2693" w:type="dxa"/>
            <w:vAlign w:val="center"/>
          </w:tcPr>
          <w:p w14:paraId="24E11C39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AzLU (1) / tokiak</w:t>
            </w:r>
          </w:p>
        </w:tc>
      </w:tr>
      <w:tr w:rsidR="005533CA" w:rsidRPr="00B25C94" w14:paraId="51AC519D" w14:textId="77777777" w:rsidTr="001E6304">
        <w:tc>
          <w:tcPr>
            <w:tcW w:w="4673" w:type="dxa"/>
            <w:vAlign w:val="center"/>
          </w:tcPr>
          <w:p w14:paraId="240B5781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Txerri-azienda</w:t>
            </w:r>
          </w:p>
        </w:tc>
        <w:tc>
          <w:tcPr>
            <w:tcW w:w="2693" w:type="dxa"/>
            <w:vAlign w:val="center"/>
          </w:tcPr>
          <w:p w14:paraId="6228C8CD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Azienda larriko 720 unitate</w:t>
            </w:r>
          </w:p>
        </w:tc>
      </w:tr>
      <w:tr w:rsidR="005533CA" w:rsidRPr="00B25C94" w14:paraId="4DBE4E39" w14:textId="77777777" w:rsidTr="001E6304">
        <w:tc>
          <w:tcPr>
            <w:tcW w:w="4673" w:type="dxa"/>
            <w:vAlign w:val="center"/>
          </w:tcPr>
          <w:p w14:paraId="5AC3D883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Broiler oilaskoak eta hegaztiak oro har</w:t>
            </w:r>
          </w:p>
        </w:tc>
        <w:tc>
          <w:tcPr>
            <w:tcW w:w="2693" w:type="dxa"/>
            <w:vAlign w:val="center"/>
          </w:tcPr>
          <w:p w14:paraId="265609AF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204.000 toki</w:t>
            </w:r>
          </w:p>
        </w:tc>
      </w:tr>
      <w:tr w:rsidR="005533CA" w:rsidRPr="00B25C94" w14:paraId="26CB2A19" w14:textId="77777777" w:rsidTr="001E6304">
        <w:tc>
          <w:tcPr>
            <w:tcW w:w="4673" w:type="dxa"/>
            <w:vAlign w:val="center"/>
          </w:tcPr>
          <w:p w14:paraId="18CBBDC5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Arrautzetarako eta hazteko oiloak</w:t>
            </w:r>
          </w:p>
        </w:tc>
        <w:tc>
          <w:tcPr>
            <w:tcW w:w="2693" w:type="dxa"/>
            <w:vAlign w:val="center"/>
          </w:tcPr>
          <w:p w14:paraId="5B3BF8F8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204.000 toki</w:t>
            </w:r>
          </w:p>
        </w:tc>
      </w:tr>
      <w:tr w:rsidR="005533CA" w:rsidRPr="00B25C94" w14:paraId="6F4BB597" w14:textId="77777777" w:rsidTr="001E6304">
        <w:tc>
          <w:tcPr>
            <w:tcW w:w="4673" w:type="dxa"/>
            <w:vAlign w:val="center"/>
          </w:tcPr>
          <w:p w14:paraId="5B1AB90D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Ugalketarako oiloak eta haiek haztea</w:t>
            </w:r>
          </w:p>
        </w:tc>
        <w:tc>
          <w:tcPr>
            <w:tcW w:w="2693" w:type="dxa"/>
            <w:vAlign w:val="center"/>
          </w:tcPr>
          <w:p w14:paraId="2B3A1BDD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40.800 toki</w:t>
            </w:r>
          </w:p>
        </w:tc>
      </w:tr>
      <w:tr w:rsidR="005533CA" w:rsidRPr="00B25C94" w14:paraId="51D7CFC7" w14:textId="77777777" w:rsidTr="001E6304">
        <w:tc>
          <w:tcPr>
            <w:tcW w:w="4673" w:type="dxa"/>
            <w:vAlign w:val="center"/>
          </w:tcPr>
          <w:p w14:paraId="4682468F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Kanpora irteten diren hegaztiak</w:t>
            </w:r>
          </w:p>
        </w:tc>
        <w:tc>
          <w:tcPr>
            <w:tcW w:w="2693" w:type="dxa"/>
            <w:vAlign w:val="center"/>
          </w:tcPr>
          <w:p w14:paraId="0ED9BA96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34.000 toki</w:t>
            </w:r>
          </w:p>
        </w:tc>
      </w:tr>
      <w:tr w:rsidR="005533CA" w:rsidRPr="00B25C94" w14:paraId="0EABD63B" w14:textId="77777777" w:rsidTr="001E6304">
        <w:tc>
          <w:tcPr>
            <w:tcW w:w="4673" w:type="dxa"/>
            <w:vAlign w:val="center"/>
          </w:tcPr>
          <w:p w14:paraId="5F4AE37A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Galeperrak</w:t>
            </w:r>
          </w:p>
        </w:tc>
        <w:tc>
          <w:tcPr>
            <w:tcW w:w="2693" w:type="dxa"/>
            <w:vAlign w:val="center"/>
          </w:tcPr>
          <w:p w14:paraId="5705A585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408.000 toki</w:t>
            </w:r>
          </w:p>
        </w:tc>
      </w:tr>
      <w:tr w:rsidR="005533CA" w:rsidRPr="00B25C94" w14:paraId="43D0A821" w14:textId="77777777" w:rsidTr="001E6304">
        <w:tc>
          <w:tcPr>
            <w:tcW w:w="4673" w:type="dxa"/>
            <w:vAlign w:val="center"/>
          </w:tcPr>
          <w:p w14:paraId="71465306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Esnetarako behiak</w:t>
            </w:r>
          </w:p>
        </w:tc>
        <w:tc>
          <w:tcPr>
            <w:tcW w:w="2693" w:type="dxa"/>
            <w:vAlign w:val="center"/>
          </w:tcPr>
          <w:p w14:paraId="31EBF2DC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850 AzLU</w:t>
            </w:r>
          </w:p>
        </w:tc>
      </w:tr>
      <w:tr w:rsidR="005533CA" w:rsidRPr="00B25C94" w14:paraId="41902949" w14:textId="77777777" w:rsidTr="001E6304">
        <w:tc>
          <w:tcPr>
            <w:tcW w:w="4673" w:type="dxa"/>
            <w:vAlign w:val="center"/>
          </w:tcPr>
          <w:p w14:paraId="36CEDB65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Haragitarako behiak (2)</w:t>
            </w:r>
          </w:p>
        </w:tc>
        <w:tc>
          <w:tcPr>
            <w:tcW w:w="2693" w:type="dxa"/>
            <w:vAlign w:val="center"/>
          </w:tcPr>
          <w:p w14:paraId="38C390A0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850 AzLU</w:t>
            </w:r>
          </w:p>
        </w:tc>
      </w:tr>
      <w:tr w:rsidR="005533CA" w:rsidRPr="00B25C94" w14:paraId="5CD625D2" w14:textId="77777777" w:rsidTr="001E6304">
        <w:tc>
          <w:tcPr>
            <w:tcW w:w="4673" w:type="dxa"/>
            <w:vAlign w:val="center"/>
          </w:tcPr>
          <w:p w14:paraId="528CA338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Esnetarako ardi eta ahuntzak</w:t>
            </w:r>
          </w:p>
        </w:tc>
        <w:tc>
          <w:tcPr>
            <w:tcW w:w="2693" w:type="dxa"/>
            <w:vAlign w:val="center"/>
          </w:tcPr>
          <w:p w14:paraId="785E830B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6.000 ugaltze-abere</w:t>
            </w:r>
          </w:p>
        </w:tc>
      </w:tr>
      <w:tr w:rsidR="005533CA" w:rsidRPr="00B25C94" w14:paraId="4479F039" w14:textId="77777777" w:rsidTr="001E6304">
        <w:tc>
          <w:tcPr>
            <w:tcW w:w="4673" w:type="dxa"/>
            <w:vAlign w:val="center"/>
          </w:tcPr>
          <w:p w14:paraId="1E75C7A0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Haragitarako ardi eta ahuntzak</w:t>
            </w:r>
          </w:p>
        </w:tc>
        <w:tc>
          <w:tcPr>
            <w:tcW w:w="2693" w:type="dxa"/>
            <w:vAlign w:val="center"/>
          </w:tcPr>
          <w:p w14:paraId="277812E7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8.000 ugaltze-abere</w:t>
            </w:r>
          </w:p>
        </w:tc>
      </w:tr>
      <w:tr w:rsidR="005533CA" w:rsidRPr="00B25C94" w14:paraId="051384F2" w14:textId="77777777" w:rsidTr="001E6304">
        <w:tc>
          <w:tcPr>
            <w:tcW w:w="4673" w:type="dxa"/>
            <w:vAlign w:val="center"/>
          </w:tcPr>
          <w:p w14:paraId="15019F6A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Zaldiak</w:t>
            </w:r>
          </w:p>
        </w:tc>
        <w:tc>
          <w:tcPr>
            <w:tcW w:w="2693" w:type="dxa"/>
            <w:vAlign w:val="center"/>
          </w:tcPr>
          <w:p w14:paraId="7A4D5DC7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850 AzLU</w:t>
            </w:r>
          </w:p>
        </w:tc>
      </w:tr>
      <w:tr w:rsidR="005533CA" w:rsidRPr="00B25C94" w14:paraId="5A8A03D4" w14:textId="77777777" w:rsidTr="001E6304">
        <w:tc>
          <w:tcPr>
            <w:tcW w:w="4673" w:type="dxa"/>
            <w:vAlign w:val="center"/>
          </w:tcPr>
          <w:p w14:paraId="58DFEFE2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Untxiak</w:t>
            </w:r>
          </w:p>
        </w:tc>
        <w:tc>
          <w:tcPr>
            <w:tcW w:w="2693" w:type="dxa"/>
            <w:vAlign w:val="center"/>
          </w:tcPr>
          <w:p w14:paraId="2202A53E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408 AzLU</w:t>
            </w:r>
          </w:p>
        </w:tc>
      </w:tr>
      <w:tr w:rsidR="005533CA" w:rsidRPr="00B25C94" w14:paraId="6F75FF0B" w14:textId="77777777" w:rsidTr="001E6304">
        <w:tc>
          <w:tcPr>
            <w:tcW w:w="4673" w:type="dxa"/>
            <w:vAlign w:val="center"/>
          </w:tcPr>
          <w:p w14:paraId="7BC1C0B7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Erleen kokalekua (3)</w:t>
            </w:r>
          </w:p>
        </w:tc>
        <w:tc>
          <w:tcPr>
            <w:tcW w:w="2693" w:type="dxa"/>
            <w:vAlign w:val="center"/>
          </w:tcPr>
          <w:p w14:paraId="530B317A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200 erlauntza</w:t>
            </w:r>
          </w:p>
        </w:tc>
      </w:tr>
      <w:tr w:rsidR="005533CA" w:rsidRPr="00B25C94" w14:paraId="6C561A20" w14:textId="77777777" w:rsidTr="001E6304">
        <w:tc>
          <w:tcPr>
            <w:tcW w:w="4673" w:type="dxa"/>
            <w:vAlign w:val="center"/>
          </w:tcPr>
          <w:p w14:paraId="1CC62E27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Espezie bat baino gehiago dituzten ustiategiak</w:t>
            </w:r>
          </w:p>
        </w:tc>
        <w:tc>
          <w:tcPr>
            <w:tcW w:w="2693" w:type="dxa"/>
            <w:vAlign w:val="center"/>
          </w:tcPr>
          <w:p w14:paraId="79E54A08" w14:textId="77777777" w:rsidR="005533CA" w:rsidRPr="00B25C94" w:rsidRDefault="005533CA" w:rsidP="001E6304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850 AzLU</w:t>
            </w:r>
          </w:p>
        </w:tc>
      </w:tr>
    </w:tbl>
    <w:p w14:paraId="3E353C54" w14:textId="77777777" w:rsidR="005533CA" w:rsidRPr="00B25C94" w:rsidRDefault="005533CA" w:rsidP="005533CA">
      <w:pPr>
        <w:spacing w:before="40" w:after="0" w:line="240" w:lineRule="auto"/>
        <w:ind w:left="425" w:right="851"/>
        <w:rPr>
          <w:rFonts w:cstheme="minorHAnsi"/>
          <w:sz w:val="17"/>
          <w:szCs w:val="17"/>
        </w:rPr>
      </w:pPr>
      <w:r>
        <w:rPr>
          <w:sz w:val="17"/>
          <w:szCs w:val="17"/>
        </w:rPr>
        <w:t>(1) AzLU. Koadro honetako AzLUak kalkulatzeko, aintzat hartuko dira 31/2019 Foru Dekretuaren 1. eranskineko AzLUen baliokidetzak.</w:t>
      </w:r>
    </w:p>
    <w:p w14:paraId="1B58425A" w14:textId="77777777" w:rsidR="005533CA" w:rsidRPr="00B25C94" w:rsidRDefault="005533CA" w:rsidP="005533CA">
      <w:pPr>
        <w:spacing w:after="0" w:line="240" w:lineRule="auto"/>
        <w:ind w:left="426" w:right="849"/>
        <w:rPr>
          <w:rFonts w:cstheme="minorHAnsi"/>
          <w:sz w:val="17"/>
          <w:szCs w:val="17"/>
        </w:rPr>
      </w:pPr>
      <w:r>
        <w:rPr>
          <w:sz w:val="17"/>
          <w:szCs w:val="17"/>
        </w:rPr>
        <w:t>(2) Zezenketetarako aziendaren ustiategiak barne.</w:t>
      </w:r>
    </w:p>
    <w:p w14:paraId="23F63663" w14:textId="77777777" w:rsidR="005533CA" w:rsidRPr="00B25C94" w:rsidRDefault="005533CA" w:rsidP="005533CA">
      <w:pPr>
        <w:spacing w:after="0" w:line="240" w:lineRule="auto"/>
        <w:ind w:left="426" w:right="849"/>
        <w:rPr>
          <w:rFonts w:cstheme="minorHAnsi"/>
          <w:sz w:val="17"/>
          <w:szCs w:val="17"/>
        </w:rPr>
      </w:pPr>
      <w:r>
        <w:rPr>
          <w:sz w:val="17"/>
          <w:szCs w:val="17"/>
        </w:rPr>
        <w:t>(3) Gehieneko neurriak erleen kokalekuenak dira, baina ustiategi batek berak kokaleku bat baino gehiago izan ditzake.</w:t>
      </w:r>
    </w:p>
    <w:p w14:paraId="37913694" w14:textId="77777777" w:rsidR="005533CA" w:rsidRPr="00B25C94" w:rsidRDefault="005533CA" w:rsidP="005533CA">
      <w:pPr>
        <w:spacing w:after="200" w:line="320" w:lineRule="exact"/>
        <w:rPr>
          <w:rFonts w:ascii="Calibri" w:hAnsi="Calibri" w:cs="Calibri"/>
          <w:sz w:val="28"/>
        </w:rPr>
      </w:pPr>
    </w:p>
    <w:p w14:paraId="308E6FC1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Zioak: Uste dugu egokiagoa dela abeltegien gehienezko ekoizpen-ahalmena mugatzea, halako moduz non legearen aldaketa baliatuko bait</w:t>
      </w:r>
      <w:r w:rsidRPr="005533CA">
        <w:rPr>
          <w:rStyle w:val="Normal1"/>
          <w:lang w:val="eu-ES"/>
        </w:rPr>
        <w:t>a abeltegi guztien gehienezko muga zehazteko Nafarroan.</w:t>
      </w:r>
    </w:p>
    <w:p w14:paraId="6361FFB3" w14:textId="77777777" w:rsidR="003451E7" w:rsidRPr="005533CA" w:rsidRDefault="005533CA">
      <w:pPr>
        <w:pStyle w:val="aemnum"/>
        <w:rPr>
          <w:lang w:val="eu-ES"/>
        </w:rPr>
      </w:pPr>
      <w:r w:rsidRPr="005533CA">
        <w:rPr>
          <w:lang w:val="eu-ES"/>
        </w:rPr>
        <w:t>6. zuzenketa</w:t>
      </w:r>
    </w:p>
    <w:p w14:paraId="419B65E5" w14:textId="77777777" w:rsidR="003451E7" w:rsidRPr="005533CA" w:rsidRDefault="005533CA">
      <w:pPr>
        <w:pStyle w:val="agrupo"/>
        <w:rPr>
          <w:lang w:val="eu-ES"/>
        </w:rPr>
      </w:pPr>
      <w:r w:rsidRPr="005533CA">
        <w:rPr>
          <w:lang w:val="eu-ES"/>
        </w:rPr>
        <w:t>EH BILDU NAFARROA</w:t>
      </w:r>
    </w:p>
    <w:p w14:paraId="01A0E34D" w14:textId="77777777" w:rsidR="003451E7" w:rsidRPr="005533CA" w:rsidRDefault="005533CA">
      <w:pPr>
        <w:pStyle w:val="aformula"/>
        <w:rPr>
          <w:lang w:val="eu-ES"/>
        </w:rPr>
      </w:pPr>
      <w:r w:rsidRPr="005533CA">
        <w:rPr>
          <w:lang w:val="eu-ES"/>
        </w:rPr>
        <w:t>TALDE PARLAMENTARIOAK AURKEZTUA</w:t>
      </w:r>
    </w:p>
    <w:p w14:paraId="143CC409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Artikulu bakarraren 4. apartatua kentzeko zuzenketa.</w:t>
      </w:r>
    </w:p>
    <w:p w14:paraId="7A39568C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Zioak: 1. Apartatuari hirugarren paragrafo bat gehitzea baino hobeto iruditzen zaigu</w:t>
      </w:r>
      <w:r w:rsidRPr="005533CA">
        <w:rPr>
          <w:rStyle w:val="Normal1"/>
          <w:lang w:val="eu-ES"/>
        </w:rPr>
        <w:t>, testuaren idazketa hobetzen du, baita bere kokapen sistematikoa ere; izan ere, ekoizpen-ahalmena areagotzea dakarten handitzeek edo ekoizpen-norabidearen aldaketek ezin izanen dituzte gainditu I. eranskineko mugak, kasuko zuzenketan adierazten den moduan</w:t>
      </w:r>
      <w:r w:rsidRPr="005533CA">
        <w:rPr>
          <w:rStyle w:val="Normal1"/>
          <w:lang w:val="eu-ES"/>
        </w:rPr>
        <w:t>.</w:t>
      </w:r>
    </w:p>
    <w:p w14:paraId="04BA36EE" w14:textId="77777777" w:rsidR="003451E7" w:rsidRPr="005533CA" w:rsidRDefault="005533CA">
      <w:pPr>
        <w:pStyle w:val="aemnum"/>
        <w:rPr>
          <w:lang w:val="eu-ES"/>
        </w:rPr>
      </w:pPr>
      <w:r w:rsidRPr="005533CA">
        <w:rPr>
          <w:lang w:val="eu-ES"/>
        </w:rPr>
        <w:t>7. zuzenketa</w:t>
      </w:r>
    </w:p>
    <w:p w14:paraId="76DA0048" w14:textId="77777777" w:rsidR="003451E7" w:rsidRPr="005533CA" w:rsidRDefault="005533CA">
      <w:pPr>
        <w:pStyle w:val="agrupo"/>
        <w:rPr>
          <w:lang w:val="eu-ES"/>
        </w:rPr>
      </w:pPr>
      <w:r w:rsidRPr="005533CA">
        <w:rPr>
          <w:lang w:val="eu-ES"/>
        </w:rPr>
        <w:t>EH BILDU NAFARROA</w:t>
      </w:r>
    </w:p>
    <w:p w14:paraId="2449B05C" w14:textId="77777777" w:rsidR="003451E7" w:rsidRPr="005533CA" w:rsidRDefault="005533CA">
      <w:pPr>
        <w:pStyle w:val="aformula"/>
        <w:rPr>
          <w:lang w:val="eu-ES"/>
        </w:rPr>
      </w:pPr>
      <w:r w:rsidRPr="005533CA">
        <w:rPr>
          <w:lang w:val="eu-ES"/>
        </w:rPr>
        <w:t>TALDE PARLAMENTARIOAK AURKEZTUA</w:t>
      </w:r>
    </w:p>
    <w:p w14:paraId="39FF89F8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t>Artikulu bakarreko 5. apartatua kentzeko zuzenketa.</w:t>
      </w:r>
    </w:p>
    <w:p w14:paraId="1B5CD30D" w14:textId="77777777" w:rsidR="003451E7" w:rsidRPr="005533CA" w:rsidRDefault="005533CA">
      <w:pPr>
        <w:rPr>
          <w:rStyle w:val="Normal1"/>
          <w:lang w:val="eu-ES"/>
        </w:rPr>
      </w:pPr>
      <w:r w:rsidRPr="005533CA">
        <w:rPr>
          <w:rStyle w:val="Normal1"/>
          <w:lang w:val="eu-ES"/>
        </w:rPr>
        <w:lastRenderedPageBreak/>
        <w:t>Zioak: Arau iragankor honek ez du zentzurik foru lege hau onetsi ondoren abeltegien gehienezko ekoizpen-ahalmena mugatu behar bada –horrega</w:t>
      </w:r>
      <w:r w:rsidRPr="005533CA">
        <w:rPr>
          <w:rStyle w:val="Normal1"/>
          <w:lang w:val="eu-ES"/>
        </w:rPr>
        <w:t>tik onetsi zen, hain zuzen, maiatzaren 10eko 8/2021 Foru Legea–, eta, zehazki, behi-aziendaren kasuan, foru lege proiektuaren arabera inoiz ezin izanen dira 1.250 AzLU baino gehiago izan, lehendik horretarako baimena eman den kasuetan izan ezik, eta gure z</w:t>
      </w:r>
      <w:r w:rsidRPr="005533CA">
        <w:rPr>
          <w:rStyle w:val="Normal1"/>
          <w:lang w:val="eu-ES"/>
        </w:rPr>
        <w:t>uzenketa bat onetsiko balitz, ezin izanen dira 850 baino gehiago izan.</w:t>
      </w:r>
    </w:p>
    <w:sectPr w:rsidR="003451E7" w:rsidRPr="00553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1E7"/>
    <w:rsid w:val="003451E7"/>
    <w:rsid w:val="0055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9AC5"/>
  <w15:docId w15:val="{41A0C60A-291C-453D-86AB-E8C1FDD3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mnum">
    <w:name w:val="a:emnum"/>
    <w:qFormat/>
    <w:pPr>
      <w:keepNext/>
      <w:keepLines/>
      <w:spacing w:before="226" w:after="170" w:line="230" w:lineRule="exact"/>
      <w:jc w:val="both"/>
    </w:pPr>
    <w:rPr>
      <w:rFonts w:ascii="Helvetica LT Std" w:eastAsia="Helvetica LT Std" w:hAnsi="Helvetica LT Std" w:cs="Helvetica LT Std"/>
      <w:b/>
      <w:caps/>
      <w:sz w:val="19"/>
      <w:lang w:val="es-ES" w:eastAsia="es-ES" w:bidi="es-ES"/>
    </w:rPr>
  </w:style>
  <w:style w:type="paragraph" w:customStyle="1" w:styleId="aformula">
    <w:name w:val="a:formula"/>
    <w:basedOn w:val="aemnum"/>
    <w:qFormat/>
    <w:pPr>
      <w:spacing w:before="0"/>
      <w:jc w:val="center"/>
    </w:pPr>
  </w:style>
  <w:style w:type="paragraph" w:customStyle="1" w:styleId="agrupo">
    <w:name w:val="a:grupo"/>
    <w:basedOn w:val="aformula"/>
    <w:qFormat/>
    <w:pPr>
      <w:spacing w:after="28"/>
    </w:p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styleId="Tablaconcuadrcula">
    <w:name w:val="Table Grid"/>
    <w:basedOn w:val="Tablanormal"/>
    <w:uiPriority w:val="39"/>
    <w:rsid w:val="005533CA"/>
    <w:pPr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eu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2022-02-17T11:49:00Z</dcterms:created>
  <dcterms:modified xsi:type="dcterms:W3CDTF">2022-02-17T11:50:00Z</dcterms:modified>
</cp:coreProperties>
</file>