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t xml:space="preserve">tza</w:t>
        <w:softHyphen/>
        <w:t xml:space="preserve">rrak, 2022ko otsailaren 28an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honako adi</w:t>
        <w:softHyphen/>
        <w:t xml:space="preserve">e</w:t>
        <w:softHyphen/>
        <w:t xml:space="preserve">raz</w:t>
        <w:softHyphen/>
        <w:t xml:space="preserve">pe</w:t>
        <w:softHyphen/>
        <w:t xml:space="preserve">n hau one</w:t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berretsi, baliozkotu eta aldeztu egiten du 45. EUCOCOren amai-adierazpena, joan den abenduaren 11n Las Palmas Kanaria Handikoan onetsia”. (10-22/DEC-00012).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