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otsailaren 28an egindako bilkuran, Eledunen Ba</w:t>
        <w:softHyphen/>
        <w:softHyphen/>
        <w:softHyphen/>
        <w:softHyphen/>
        <w:t xml:space="preserve">tzarrari en</w:t>
        <w:softHyphen/>
        <w:softHyphen/>
        <w:softHyphen/>
        <w:softHyphen/>
        <w:t xml:space="preserve">tzun ondoren, erabaki hau hartu zuen, besteak beste:</w:t>
      </w:r>
    </w:p>
    <w:p>
      <w:pPr>
        <w:pStyle w:val="0"/>
        <w:suppressAutoHyphens w:val="false"/>
        <w:rPr>
          <w:rStyle w:val="1"/>
        </w:rPr>
      </w:pPr>
      <w:r>
        <w:rPr>
          <w:rStyle w:val="1"/>
          <w:b w:val="true"/>
        </w:rPr>
        <w:t xml:space="preserve">1. </w:t>
      </w:r>
      <w:r>
        <w:rPr>
          <w:rStyle w:val="1"/>
        </w:rPr>
        <w:t xml:space="preserve">Izapide</w:t>
        <w:softHyphen/>
        <w:softHyphen/>
        <w:softHyphen/>
        <w:softHyphen/>
        <w:t xml:space="preserve">tzeko onar</w:t>
        <w:softHyphen/>
        <w:softHyphen/>
        <w:softHyphen/>
        <w:softHyphen/>
        <w:t xml:space="preserve">tzea María Aranzazu Biurrun Urpegui andreak aurkeztutako galdera, Nafarroako Gobernuak babes ofizialeko etxebizitzak erosteari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w:t>
        <w:softHyphen/>
        <w:softHyphen/>
        <w:softHyphen/>
        <w:softHyphen/>
        <w:t xml:space="preserve">tzea.</w:t>
      </w:r>
    </w:p>
    <w:p>
      <w:pPr>
        <w:pStyle w:val="0"/>
        <w:suppressAutoHyphens w:val="false"/>
        <w:rPr>
          <w:rStyle w:val="1"/>
        </w:rPr>
      </w:pPr>
      <w:r>
        <w:rPr>
          <w:rStyle w:val="1"/>
          <w:b w:val="true"/>
        </w:rPr>
        <w:t xml:space="preserve">3.</w:t>
      </w:r>
      <w:r>
        <w:rPr>
          <w:rStyle w:val="1"/>
        </w:rPr>
        <w:t xml:space="preserve"> Lurralde Antolamenduko, Etxebizitzako, Paisaiako eta Proiektu Estrategikoetako Batzordean izapide</w:t>
        <w:softHyphen/>
        <w:softHyphen/>
        <w:softHyphen/>
        <w:softHyphen/>
        <w:t xml:space="preserve">tzea.</w:t>
      </w:r>
    </w:p>
    <w:p>
      <w:pPr>
        <w:pStyle w:val="0"/>
        <w:suppressAutoHyphens w:val="false"/>
        <w:rPr>
          <w:rStyle w:val="1"/>
        </w:rPr>
      </w:pPr>
      <w:r>
        <w:rPr>
          <w:rStyle w:val="1"/>
        </w:rPr>
        <w:t xml:space="preserve">Iruñean, 2022ko otsailaren 28an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atxikitako Arantza Biurrun Urpegui andreak, Legebiltzarreko Erregelamenduan ezartzen denaren babesean, honako galdera hau egiten dio Lurralde Antolamenduko, Etxebizitzako, Paisaiako eta Proiektu Estrategikoetako kontseilariari, Lurralde Antolamenduko, Etxebizitzako, Paisaiako eta Proiektu Estrategikoetako Batzordean ahoz erantzun dezan:</w:t>
      </w:r>
    </w:p>
    <w:p>
      <w:pPr>
        <w:pStyle w:val="0"/>
        <w:suppressAutoHyphens w:val="false"/>
        <w:rPr>
          <w:rStyle w:val="1"/>
        </w:rPr>
      </w:pPr>
      <w:r>
        <w:rPr>
          <w:rStyle w:val="1"/>
        </w:rPr>
        <w:t xml:space="preserve">Nola baliatu du Nafarroako Gobernuak bere lehentasunezko eskubidea, babes ofizialeko etxebizitzak erostekoa, eta zer eragin izan du Etxebizitza Sozialeko Funtsean?</w:t>
      </w:r>
    </w:p>
    <w:p>
      <w:pPr>
        <w:pStyle w:val="0"/>
        <w:suppressAutoHyphens w:val="false"/>
        <w:rPr>
          <w:rStyle w:val="1"/>
        </w:rPr>
      </w:pPr>
      <w:r>
        <w:rPr>
          <w:rStyle w:val="1"/>
        </w:rPr>
        <w:t xml:space="preserve">Iruñean, 2022ko otsailaren 22an</w:t>
      </w:r>
    </w:p>
    <w:p>
      <w:pPr>
        <w:pStyle w:val="0"/>
        <w:suppressAutoHyphens w:val="false"/>
        <w:rPr>
          <w:rStyle w:val="1"/>
        </w:rPr>
      </w:pPr>
      <w:r>
        <w:rPr>
          <w:rStyle w:val="1"/>
        </w:rPr>
        <w:t xml:space="preserve">Foru parlamentaria: Arantza Biurrun Urpegui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