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mayo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Navarra Suma ha presentado la proposición de Ley Foral de modificación parcial de la Ley Foral 19/2019, de 4 de abril, de protección de los animales de compañía en Navarra, solicitando su tramitación en lectura única (10-22/PRO-00009).</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modificación parcial de la Ley Foral 19/2019, de 4 de abril, de protección de los animales de compañía en Navarra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b w:val="true"/>
        </w:rPr>
        <w:t xml:space="preserve">3.º </w:t>
      </w:r>
      <w:r>
        <w:rPr>
          <w:rStyle w:val="1"/>
        </w:rPr>
        <w:t xml:space="preserve">Tramitar la referida proposición de ley foral por el procedimiento de lectura única.</w:t>
      </w:r>
    </w:p>
    <w:p>
      <w:pPr>
        <w:pStyle w:val="0"/>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 de mayo de 2022</w:t>
      </w:r>
    </w:p>
    <w:p>
      <w:pPr>
        <w:pStyle w:val="0"/>
        <w:suppressAutoHyphens w:val="false"/>
        <w:rPr>
          <w:rStyle w:val="1"/>
        </w:rPr>
      </w:pPr>
      <w:r>
        <w:rPr>
          <w:rStyle w:val="1"/>
        </w:rPr>
        <w:t xml:space="preserve">El Presidente: Unai Hualde Iglesias</w:t>
      </w:r>
    </w:p>
    <w:p>
      <w:pPr>
        <w:pStyle w:val="2"/>
        <w:suppressAutoHyphens w:val="false"/>
        <w:rPr>
          <w:spacing w:val="-2.399"/>
        </w:rPr>
      </w:pPr>
      <w:r>
        <w:rPr>
          <w:spacing w:val="-2.399"/>
        </w:rPr>
        <w:t xml:space="preserve">Proposición de Ley Foral de </w:t>
        <w:br w:type="textWrapping"/>
        <w:t xml:space="preserve">modificación parcial de la Ley Foral 19/2019, de 4 de abril, de protección de los animales de compañía en Navarra</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La realidad social y funcional del empleo de animales de trabajo, auxiliares o con función social encuentra graves problemas para su sostenibilidad y desarrollo al englobarse de forma genérica en las normativas de protección de animales de compañía (animales que, según Convenio Europeo sobre protección de animales de compañía, ratificado por España el 23 de junio de 2017, serían aquellos que sean tenidos o estén destinados a ser tenidos por el hombre, en particular en su propia vivienda, para que le sirva de esparcimiento y le haga compañía”), cuya principal actividad no es la de hacer compañía ni suelen residir en el hogar. </w:t>
      </w:r>
    </w:p>
    <w:p>
      <w:pPr>
        <w:pStyle w:val="0"/>
        <w:suppressAutoHyphens w:val="false"/>
        <w:rPr>
          <w:rStyle w:val="1"/>
        </w:rPr>
      </w:pPr>
      <w:r>
        <w:rPr>
          <w:rStyle w:val="1"/>
        </w:rPr>
        <w:t xml:space="preserve">Además, muchas de las actividades en las que se emplean los animales de trabajo, auxiliares o con función social ya disponen de una profusa normativa sectorial (como en el caso de animales que participan en espectáculos taurinos que ya fueron excepcionados en el texto inicial). </w:t>
      </w:r>
    </w:p>
    <w:p>
      <w:pPr>
        <w:pStyle w:val="0"/>
        <w:suppressAutoHyphens w:val="false"/>
        <w:rPr>
          <w:rStyle w:val="1"/>
        </w:rPr>
      </w:pPr>
      <w:r>
        <w:rPr>
          <w:rStyle w:val="1"/>
          <w:b w:val="true"/>
        </w:rPr>
        <w:t xml:space="preserve">Artículo único.</w:t>
      </w:r>
      <w:r>
        <w:rPr>
          <w:rStyle w:val="1"/>
        </w:rPr>
        <w:t xml:space="preserve"> Modificación de los artículos 4 y 5.3 de la Ley Foral 11/2000, de 16 de noviembre, de Sanidad Animal de Navarra.</w:t>
      </w:r>
    </w:p>
    <w:p>
      <w:pPr>
        <w:pStyle w:val="0"/>
        <w:suppressAutoHyphens w:val="false"/>
        <w:rPr>
          <w:rStyle w:val="1"/>
        </w:rPr>
      </w:pPr>
      <w:r>
        <w:rPr>
          <w:rStyle w:val="1"/>
          <w:u w:val="single"/>
        </w:rPr>
        <w:t xml:space="preserve">Uno</w:t>
      </w:r>
      <w:r>
        <w:rPr>
          <w:rStyle w:val="1"/>
        </w:rPr>
        <w:t xml:space="preserve">. El artículo 4 quedará redactado del siguiente modo: </w:t>
      </w:r>
    </w:p>
    <w:p>
      <w:pPr>
        <w:pStyle w:val="0"/>
        <w:suppressAutoHyphens w:val="false"/>
        <w:rPr>
          <w:rStyle w:val="1"/>
        </w:rPr>
      </w:pPr>
      <w:r>
        <w:rPr>
          <w:rStyle w:val="1"/>
        </w:rPr>
        <w:t xml:space="preserve">«Artículo 4. Exclusiones de aplicación. </w:t>
      </w:r>
    </w:p>
    <w:p>
      <w:pPr>
        <w:pStyle w:val="0"/>
        <w:suppressAutoHyphens w:val="false"/>
        <w:rPr>
          <w:rStyle w:val="1"/>
        </w:rPr>
      </w:pPr>
      <w:r>
        <w:rPr>
          <w:rStyle w:val="1"/>
        </w:rPr>
        <w:t xml:space="preserve">Se excluyen del ámbito de aplicación de esta ley foral: </w:t>
      </w:r>
    </w:p>
    <w:p>
      <w:pPr>
        <w:pStyle w:val="0"/>
        <w:suppressAutoHyphens w:val="false"/>
        <w:rPr>
          <w:rStyle w:val="1"/>
        </w:rPr>
      </w:pPr>
      <w:r>
        <w:rPr>
          <w:rStyle w:val="1"/>
        </w:rPr>
        <w:t xml:space="preserve">1. Los animales de producción, sin perjuicio de lo establecido en la disposición adicional primera de esta ley foral. </w:t>
      </w:r>
    </w:p>
    <w:p>
      <w:pPr>
        <w:pStyle w:val="0"/>
        <w:suppressAutoHyphens w:val="false"/>
        <w:rPr>
          <w:rStyle w:val="1"/>
        </w:rPr>
      </w:pPr>
      <w:r>
        <w:rPr>
          <w:rStyle w:val="1"/>
        </w:rPr>
        <w:t xml:space="preserve">2. Los animales de la fauna silvestre, incluidas las especies, subespecies y poblaciones de fauna silvestre consideradas piezas de caza; y la actividad cinegética reglada. </w:t>
      </w:r>
    </w:p>
    <w:p>
      <w:pPr>
        <w:pStyle w:val="0"/>
        <w:suppressAutoHyphens w:val="false"/>
        <w:rPr>
          <w:rStyle w:val="1"/>
        </w:rPr>
      </w:pPr>
      <w:r>
        <w:rPr>
          <w:rStyle w:val="1"/>
        </w:rPr>
        <w:t xml:space="preserve">3. Los animales utilizados en espectáculos taurinos. </w:t>
      </w:r>
    </w:p>
    <w:p>
      <w:pPr>
        <w:pStyle w:val="0"/>
        <w:suppressAutoHyphens w:val="false"/>
        <w:rPr>
          <w:rStyle w:val="1"/>
        </w:rPr>
      </w:pPr>
      <w:r>
        <w:rPr>
          <w:rStyle w:val="1"/>
        </w:rPr>
        <w:t xml:space="preserve">4. Los animales utilizados para experimentación y otros fines científicos. </w:t>
      </w:r>
    </w:p>
    <w:p>
      <w:pPr>
        <w:pStyle w:val="0"/>
        <w:suppressAutoHyphens w:val="false"/>
        <w:rPr>
          <w:rStyle w:val="1"/>
        </w:rPr>
      </w:pPr>
      <w:r>
        <w:rPr>
          <w:rStyle w:val="1"/>
        </w:rPr>
        <w:t xml:space="preserve">5. Los animales existentes en los parques zoológicos. </w:t>
      </w:r>
    </w:p>
    <w:p>
      <w:pPr>
        <w:pStyle w:val="0"/>
        <w:suppressAutoHyphens w:val="false"/>
        <w:rPr>
          <w:rStyle w:val="1"/>
        </w:rPr>
      </w:pPr>
      <w:r>
        <w:rPr>
          <w:rStyle w:val="1"/>
        </w:rPr>
        <w:t xml:space="preserve">6. Los animales de trabajo, auxiliares o con función social». </w:t>
      </w:r>
    </w:p>
    <w:p>
      <w:pPr>
        <w:pStyle w:val="0"/>
        <w:suppressAutoHyphens w:val="false"/>
        <w:rPr>
          <w:rStyle w:val="1"/>
        </w:rPr>
      </w:pPr>
      <w:r>
        <w:rPr>
          <w:rStyle w:val="1"/>
          <w:u w:val="single"/>
        </w:rPr>
        <w:t xml:space="preserve">Dos</w:t>
      </w:r>
      <w:r>
        <w:rPr>
          <w:rStyle w:val="1"/>
        </w:rPr>
        <w:t xml:space="preserve">. El artículo 5.3 quedará redactado del siguiente modo: </w:t>
      </w:r>
    </w:p>
    <w:p>
      <w:pPr>
        <w:pStyle w:val="0"/>
        <w:suppressAutoHyphens w:val="false"/>
        <w:rPr>
          <w:rStyle w:val="1"/>
        </w:rPr>
      </w:pPr>
      <w:r>
        <w:rPr>
          <w:rStyle w:val="1"/>
        </w:rPr>
        <w:t xml:space="preserve">«3. Animales de trabajo, auxiliares o con función social: aquellos animales que se dedican a una actividad o cometido concreto del ámbito social (que no tiene por qué ser relacionado con una actividad económica), como los perros de guarda, perros pastores, perros de asistencia, perros y hurones de caza, perros recolectores (de setas, trufa…), perros de rescate, perros utilizados por las Fuerzas y Cuerpos de Seguridad, aves de cetrería, aves de silvestrismo, perdices y otras aves de reclamo, palomas de colombicultura y colombofilia, otros animales dedicados a actividades deportivas federadas, etc.».</w:t>
      </w:r>
    </w:p>
    <w:p>
      <w:pPr>
        <w:pStyle w:val="0"/>
        <w:suppressAutoHyphens w:val="false"/>
        <w:rPr>
          <w:rStyle w:val="1"/>
        </w:rPr>
      </w:pPr>
      <w:r>
        <w:rPr>
          <w:rStyle w:val="1"/>
          <w:b w:val="true"/>
        </w:rPr>
        <w:t xml:space="preserve">Disposición final única. </w:t>
      </w: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