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al Gobierno de Navarra a atender las peticiones de los lugares de Almandoz y de Arizkun-Elbete en orden a la paralización de la autorización de los sondeos, aprobada por la Comisión de Cohesión Territorial del Parlamento de Navarra en sesión celebrada el día 25 de mayo de 2022, cuyo texto se inserta a continuación:</w:t>
      </w:r>
    </w:p>
    <w:p>
      <w:pPr>
        <w:pStyle w:val="0"/>
        <w:suppressAutoHyphens w:val="false"/>
        <w:rPr>
          <w:rStyle w:val="1"/>
        </w:rPr>
      </w:pPr>
      <w:r>
        <w:rPr>
          <w:rStyle w:val="1"/>
        </w:rPr>
        <w:t xml:space="preserve">“El Parlamento de Navarra insta al Gobierno de Navarra para que sean atendidas las peticiones de los lugares de Almandoz y de Arizkun-Elbete en orden a la paralización de la autorización de los sondeos”.</w:t>
      </w:r>
    </w:p>
    <w:p>
      <w:pPr>
        <w:pStyle w:val="0"/>
        <w:suppressAutoHyphens w:val="false"/>
        <w:rPr>
          <w:rStyle w:val="1"/>
        </w:rPr>
      </w:pPr>
      <w:r>
        <w:rPr>
          <w:rStyle w:val="1"/>
        </w:rPr>
        <w:t xml:space="preserve">Pamplona, 26 de mayo de 2022</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