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trafikoaren arloko eskumenaren transferentzia sinatzeari buruzkoa (10-22/POR-00205).</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 lehendakariorde eta Lehendakaritzako, Berdintasuneko, Funtzio Publikoko eta Barneko kontseilariak Osoko Bilkuran ahoz erantzun diezaion:</w:t>
      </w:r>
    </w:p>
    <w:p>
      <w:pPr>
        <w:pStyle w:val="0"/>
        <w:suppressAutoHyphens w:val="false"/>
        <w:rPr>
          <w:rStyle w:val="1"/>
        </w:rPr>
      </w:pPr>
      <w:r>
        <w:rPr>
          <w:rStyle w:val="1"/>
        </w:rPr>
        <w:t xml:space="preserve">Lurralde Politikako ministro Isabel Rodríguez andreak trafikoaren arloko transferentziari buruz egindako azken adierazpenak direla-eta, honako galdera hau aurkezten dugu:</w:t>
      </w:r>
    </w:p>
    <w:p>
      <w:pPr>
        <w:pStyle w:val="0"/>
        <w:suppressAutoHyphens w:val="false"/>
        <w:rPr>
          <w:rStyle w:val="1"/>
        </w:rPr>
      </w:pPr>
      <w:r>
        <w:rPr>
          <w:rStyle w:val="1"/>
        </w:rPr>
        <w:t xml:space="preserve">Nafarroako Gobernuak datarik al du legegintzaldia amaitu baino lehen trafikoaren arloko eskumenaren transferentzia sinatzeko?</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