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junio de 2022,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Elegir como miembros del Patronato de la Fundación Caja Navarra que corresponde designar al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 José Ángel Andrés Gutiérrez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Pilar Aramburo González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Mercedes Ferro Montiu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 Javier Onieva Larrea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Juana García Santamaría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Departamento de Economía y Hacienda, en su condición de Protectorado de la Fundación, a los miembros elegidos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