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Eskuin muturreko taldeek edo funtzionario publikoek eragindako motibazio politikoko ekintzen biktimei errekonozimendua eta ordaina emateko martxoaren 26ko 16/2019 Foru Legea aldatzeko Foru Lege proposamenari aurkezturiko zuzenketak. Proposamen hori 2022ko maiatzaren 6ko 57. Nafarroako Parlamentuko Aldizkari Ofizialean argitaratu zen.</w:t>
      </w:r>
    </w:p>
    <w:p>
      <w:pPr>
        <w:pStyle w:val="0"/>
        <w:suppressAutoHyphens w:val="false"/>
        <w:rPr>
          <w:rStyle w:val="1"/>
        </w:rPr>
      </w:pPr>
      <w:r>
        <w:rPr>
          <w:rStyle w:val="1"/>
        </w:rPr>
        <w:t xml:space="preserve">Iruñean, 2022ko ekainaren 13an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pacing w:after="0" w:before="0" w:line="230" w:lineRule="exact"/>
        <w:suppressAutoHyphens w:val="false"/>
        <w:rPr/>
      </w:pPr>
      <w:r>
        <w:rPr/>
        <w:t xml:space="preserve">nafarroako alderdi sozialista</w:t>
        <w:br w:type="textWrapping"/>
      </w:r>
      <w:r>
        <w:rPr>
          <w:b w:val="false"/>
        </w:rPr>
        <w:t xml:space="preserve">eta </w:t>
      </w:r>
      <w:r>
        <w:rPr/>
        <w:t xml:space="preserve">geroa bai</w:t>
      </w:r>
    </w:p>
    <w:p>
      <w:pPr>
        <w:pStyle w:val="4"/>
        <w:spacing w:after="0" w:before="0" w:line="230" w:lineRule="exact"/>
        <w:suppressAutoHyphens w:val="false"/>
        <w:rPr/>
      </w:pPr>
      <w:r>
        <w:rPr/>
        <w:t xml:space="preserve">talde parlamentarioek</w:t>
      </w:r>
    </w:p>
    <w:p>
      <w:pPr>
        <w:pStyle w:val="3"/>
        <w:spacing w:after="0" w:before="0" w:line="230" w:lineRule="exact"/>
        <w:suppressAutoHyphens w:val="false"/>
        <w:rPr/>
      </w:pPr>
      <w:r>
        <w:rPr>
          <w:b w:val="false"/>
        </w:rPr>
        <w:t xml:space="preserve">eta</w:t>
      </w:r>
      <w:r>
        <w:rPr/>
        <w:t xml:space="preserve"> 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Artikulu bakarraren laugarren apartatua aldatzeko zuzenketa, zeinaren bidez 12. artikulua aldatzen baita, oraingo 5.c) apartatuaren ondotik 6. apartatu berri bat gehituta, honakoa:</w:t>
      </w:r>
    </w:p>
    <w:p>
      <w:pPr>
        <w:pStyle w:val="0"/>
        <w:suppressAutoHyphens w:val="false"/>
        <w:rPr>
          <w:rStyle w:val="1"/>
        </w:rPr>
      </w:pPr>
      <w:r>
        <w:rPr>
          <w:rStyle w:val="1"/>
        </w:rPr>
        <w:t xml:space="preserve">“6. Aurreko apartatuan aurreikusitako kasuetako batean elkarrekin suertatzen badira zenbait onuradun, kalte-ordainketari dagokion zenbatekoaren banaketa honela eginen da:</w:t>
      </w:r>
    </w:p>
    <w:p>
      <w:pPr>
        <w:pStyle w:val="0"/>
        <w:suppressAutoHyphens w:val="false"/>
        <w:rPr>
          <w:rStyle w:val="1"/>
        </w:rPr>
      </w:pPr>
      <w:r>
        <w:rPr>
          <w:rStyle w:val="1"/>
        </w:rPr>
        <w:t xml:space="preserve">a) Kasua bada 5.a) apartatuan jasotzen dena, kopurua erdibanatu eginen da, erdi bat dagokiola legalki banandu gabeko ezkontideari edo elkarbizitza-partaideari, eta bestea seme-alabei. Azken erdi hori zati berdinetan banatuko da.</w:t>
      </w:r>
    </w:p>
    <w:p>
      <w:pPr>
        <w:pStyle w:val="0"/>
        <w:suppressAutoHyphens w:val="false"/>
        <w:rPr>
          <w:rStyle w:val="1"/>
        </w:rPr>
      </w:pPr>
      <w:r>
        <w:rPr>
          <w:rStyle w:val="1"/>
        </w:rPr>
        <w:t xml:space="preserve">b) Kasua bada 5. b) apartatuan jasotzen dena, kopurua zati berdinetan banatuko da ahaidetasun-lotura bereko pertsonen artean.</w:t>
      </w:r>
    </w:p>
    <w:p>
      <w:pPr>
        <w:pStyle w:val="0"/>
        <w:suppressAutoHyphens w:val="false"/>
        <w:rPr>
          <w:rStyle w:val="1"/>
        </w:rPr>
      </w:pPr>
      <w:r>
        <w:rPr>
          <w:rStyle w:val="1"/>
        </w:rPr>
        <w:t xml:space="preserve">c) Kasua bada 5.c) apartatuan jasotzen dena, kopurua zati berdinetan banatuko da batera suertatzen diren onuradunen artean”.</w:t>
      </w:r>
    </w:p>
    <w:p>
      <w:pPr>
        <w:pStyle w:val="0"/>
        <w:suppressAutoHyphens w:val="false"/>
        <w:rPr>
          <w:rStyle w:val="1"/>
        </w:rPr>
      </w:pPr>
      <w:r>
        <w:rPr>
          <w:rStyle w:val="1"/>
        </w:rPr>
        <w:t xml:space="preserve">Zioak: Hobekuntza teknikoa.</w:t>
      </w:r>
    </w:p>
    <w:p>
      <w:pPr>
        <w:pStyle w:val="2"/>
        <w:suppressAutoHyphens w:val="false"/>
        <w:rPr/>
      </w:pPr>
      <w:r>
        <w:rPr/>
        <w:t xml:space="preserve">2. zuzenketa</w:t>
      </w:r>
    </w:p>
    <w:p>
      <w:pPr>
        <w:pStyle w:val="3"/>
        <w:spacing w:after="0" w:before="0" w:line="230" w:lineRule="exact"/>
        <w:suppressAutoHyphens w:val="false"/>
        <w:rPr/>
      </w:pPr>
      <w:r>
        <w:rPr/>
        <w:t xml:space="preserve">nafarroako alderdi sozialista</w:t>
        <w:br w:type="textWrapping"/>
      </w:r>
      <w:r>
        <w:rPr>
          <w:b w:val="false"/>
        </w:rPr>
        <w:t xml:space="preserve">eta </w:t>
      </w:r>
      <w:r>
        <w:rPr/>
        <w:t xml:space="preserve">geroa bai</w:t>
      </w:r>
    </w:p>
    <w:p>
      <w:pPr>
        <w:pStyle w:val="4"/>
        <w:spacing w:after="0" w:before="0" w:line="230" w:lineRule="exact"/>
        <w:suppressAutoHyphens w:val="false"/>
        <w:rPr/>
      </w:pPr>
      <w:r>
        <w:rPr/>
        <w:t xml:space="preserve">talde parlamentarioek</w:t>
      </w:r>
    </w:p>
    <w:p>
      <w:pPr>
        <w:pStyle w:val="3"/>
        <w:spacing w:after="0" w:before="0" w:line="230" w:lineRule="exact"/>
        <w:suppressAutoHyphens w:val="false"/>
        <w:rPr/>
      </w:pPr>
      <w:r>
        <w:rPr>
          <w:b w:val="false"/>
        </w:rPr>
        <w:t xml:space="preserve">eta</w:t>
      </w:r>
      <w:r>
        <w:rPr/>
        <w:t xml:space="preserve"> 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Artikulu bakarraren laugarren apartatua aldatzeko zuzenketa, zeinaren bidez 12. artikulua aldatzen baita.</w:t>
      </w:r>
    </w:p>
    <w:p>
      <w:pPr>
        <w:pStyle w:val="0"/>
        <w:suppressAutoHyphens w:val="false"/>
        <w:rPr>
          <w:rStyle w:val="1"/>
        </w:rPr>
      </w:pPr>
      <w:r>
        <w:rPr>
          <w:rStyle w:val="1"/>
        </w:rPr>
        <w:t xml:space="preserve">“7. Artikulu honen ondorioetarako, pertsona batek zenduarekiko mendekotasun ekonomikoa duela ulertuko da heriotza-unean horren kontura bizi bazen osoki nahiz partzialki eta ez zuen eskuratzen, urteko kontaketan, une hartan indarrean zegoen errenta-adierazle publikoak urteko kontaketan ere zeukan zenbatekoaren ehuneko 150 baino gehiagoko edozein izaeratako errenta edo diru-sarrerarik”.</w:t>
      </w:r>
    </w:p>
    <w:p>
      <w:pPr>
        <w:pStyle w:val="0"/>
        <w:suppressAutoHyphens w:val="false"/>
        <w:rPr>
          <w:rStyle w:val="1"/>
        </w:rPr>
      </w:pPr>
      <w:r>
        <w:rPr>
          <w:rStyle w:val="1"/>
        </w:rPr>
        <w:t xml:space="preserve">Zioak: Orain arte 12. artikuluko 6. apartatua zenaren zenbakia aldatu eta 7. apartatua izatera igarotzen da, edukiaren bestelako aldaketarik gabe.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