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8C295" w14:textId="77777777" w:rsidR="00B61BA4" w:rsidRPr="001B4297" w:rsidRDefault="001B4297">
      <w:pPr>
        <w:rPr>
          <w:rStyle w:val="Normal1"/>
          <w:lang w:val="eu-ES"/>
        </w:rPr>
      </w:pPr>
      <w:r w:rsidRPr="001B4297">
        <w:rPr>
          <w:rStyle w:val="Normal1"/>
          <w:lang w:val="eu-ES"/>
        </w:rPr>
        <w:t>Nafarroako Parlamentuko Mahaiak, 2022ko irailaren 19an egindako bilkuran, Eledunen Batzarrari entzun ondoren, erabaki hau hartu zuen, besteak beste:</w:t>
      </w:r>
    </w:p>
    <w:p w14:paraId="101DB8FB" w14:textId="77777777" w:rsidR="00B61BA4" w:rsidRPr="001B4297" w:rsidRDefault="001B4297">
      <w:pPr>
        <w:rPr>
          <w:rStyle w:val="Normal1"/>
          <w:lang w:val="eu-ES"/>
        </w:rPr>
      </w:pPr>
      <w:r w:rsidRPr="001B4297">
        <w:rPr>
          <w:rStyle w:val="Normal1"/>
          <w:b/>
          <w:lang w:val="eu-ES"/>
        </w:rPr>
        <w:t xml:space="preserve">1. </w:t>
      </w:r>
      <w:r w:rsidRPr="001B4297">
        <w:rPr>
          <w:rStyle w:val="Normal1"/>
          <w:lang w:val="eu-ES"/>
        </w:rPr>
        <w:t xml:space="preserve">Izapidetzeko onartzea Adolfo Araiz </w:t>
      </w:r>
      <w:proofErr w:type="spellStart"/>
      <w:r w:rsidRPr="001B4297">
        <w:rPr>
          <w:rStyle w:val="Normal1"/>
          <w:lang w:val="eu-ES"/>
        </w:rPr>
        <w:t>Flamarique</w:t>
      </w:r>
      <w:proofErr w:type="spellEnd"/>
      <w:r w:rsidRPr="001B4297">
        <w:rPr>
          <w:rStyle w:val="Normal1"/>
          <w:lang w:val="eu-ES"/>
        </w:rPr>
        <w:t xml:space="preserve"> jaunak aurkezturiko galdera, </w:t>
      </w:r>
      <w:proofErr w:type="spellStart"/>
      <w:r w:rsidRPr="001B4297">
        <w:rPr>
          <w:rStyle w:val="Normal1"/>
          <w:lang w:val="eu-ES"/>
        </w:rPr>
        <w:t>Palacio</w:t>
      </w:r>
      <w:proofErr w:type="spellEnd"/>
      <w:r w:rsidRPr="001B4297">
        <w:rPr>
          <w:rStyle w:val="Normal1"/>
          <w:lang w:val="eu-ES"/>
        </w:rPr>
        <w:t xml:space="preserve"> de </w:t>
      </w:r>
      <w:proofErr w:type="spellStart"/>
      <w:r w:rsidRPr="001B4297">
        <w:rPr>
          <w:rStyle w:val="Normal1"/>
          <w:lang w:val="eu-ES"/>
        </w:rPr>
        <w:t>Arozteguia</w:t>
      </w:r>
      <w:proofErr w:type="spellEnd"/>
      <w:r w:rsidRPr="001B4297">
        <w:rPr>
          <w:rStyle w:val="Normal1"/>
          <w:lang w:val="eu-ES"/>
        </w:rPr>
        <w:t xml:space="preserve"> SL eta </w:t>
      </w:r>
      <w:r w:rsidRPr="001B4297">
        <w:rPr>
          <w:rStyle w:val="Normal1"/>
          <w:lang w:val="eu-ES"/>
        </w:rPr>
        <w:t xml:space="preserve">Hotel </w:t>
      </w:r>
      <w:proofErr w:type="spellStart"/>
      <w:r w:rsidRPr="001B4297">
        <w:rPr>
          <w:rStyle w:val="Normal1"/>
          <w:lang w:val="eu-ES"/>
        </w:rPr>
        <w:t>Palacio</w:t>
      </w:r>
      <w:proofErr w:type="spellEnd"/>
      <w:r w:rsidRPr="001B4297">
        <w:rPr>
          <w:rStyle w:val="Normal1"/>
          <w:lang w:val="eu-ES"/>
        </w:rPr>
        <w:t xml:space="preserve"> </w:t>
      </w:r>
      <w:proofErr w:type="spellStart"/>
      <w:r w:rsidRPr="001B4297">
        <w:rPr>
          <w:rStyle w:val="Normal1"/>
          <w:lang w:val="eu-ES"/>
        </w:rPr>
        <w:t>Arozteguia</w:t>
      </w:r>
      <w:proofErr w:type="spellEnd"/>
      <w:r w:rsidRPr="001B4297">
        <w:rPr>
          <w:rStyle w:val="Normal1"/>
          <w:lang w:val="eu-ES"/>
        </w:rPr>
        <w:t xml:space="preserve"> S.L merkataritza-enpresek eta Aroztegia Udalez gaindiko Plan Sektorialaren Konpentsazio Batzordeak aurkeztutako ondare-erantzukizuneko erreklamazioari buruzkoa.</w:t>
      </w:r>
    </w:p>
    <w:p w14:paraId="5F4E2968" w14:textId="77777777" w:rsidR="00B61BA4" w:rsidRPr="001B4297" w:rsidRDefault="001B4297">
      <w:pPr>
        <w:rPr>
          <w:rStyle w:val="Normal1"/>
          <w:lang w:val="eu-ES"/>
        </w:rPr>
      </w:pPr>
      <w:r w:rsidRPr="001B4297">
        <w:rPr>
          <w:rStyle w:val="Normal1"/>
          <w:b/>
          <w:lang w:val="eu-ES"/>
        </w:rPr>
        <w:t>2.</w:t>
      </w:r>
      <w:r w:rsidRPr="001B4297">
        <w:rPr>
          <w:rStyle w:val="Normal1"/>
          <w:lang w:val="eu-ES"/>
        </w:rPr>
        <w:t xml:space="preserve"> Nafarroako Parlamentuko Aldizkari Ofizialean argitara dadin agintze</w:t>
      </w:r>
      <w:r w:rsidRPr="001B4297">
        <w:rPr>
          <w:rStyle w:val="Normal1"/>
          <w:lang w:val="eu-ES"/>
        </w:rPr>
        <w:t>a.</w:t>
      </w:r>
    </w:p>
    <w:p w14:paraId="54976BC6" w14:textId="77777777" w:rsidR="00B61BA4" w:rsidRPr="001B4297" w:rsidRDefault="001B4297">
      <w:pPr>
        <w:rPr>
          <w:rStyle w:val="Normal1"/>
          <w:lang w:val="eu-ES"/>
        </w:rPr>
      </w:pPr>
      <w:r w:rsidRPr="001B4297">
        <w:rPr>
          <w:rStyle w:val="Normal1"/>
          <w:b/>
          <w:lang w:val="eu-ES"/>
        </w:rPr>
        <w:t>3.</w:t>
      </w:r>
      <w:r w:rsidRPr="001B4297">
        <w:rPr>
          <w:rStyle w:val="Normal1"/>
          <w:lang w:val="eu-ES"/>
        </w:rPr>
        <w:t xml:space="preserve"> Nafarroako Gobernuari igortzea, Legebiltzarreko Erregelamenduko 194. artikuluak agindutakoari jarraikiz, idatzizko erantzuna bidal dezan.</w:t>
      </w:r>
    </w:p>
    <w:p w14:paraId="500E6179" w14:textId="77777777" w:rsidR="00B61BA4" w:rsidRPr="001B4297" w:rsidRDefault="001B4297">
      <w:pPr>
        <w:rPr>
          <w:rStyle w:val="Normal1"/>
          <w:lang w:val="eu-ES"/>
        </w:rPr>
      </w:pPr>
      <w:r w:rsidRPr="001B4297">
        <w:rPr>
          <w:rStyle w:val="Normal1"/>
          <w:lang w:val="eu-ES"/>
        </w:rPr>
        <w:t>Iruñean, 2022ko irailaren 19an</w:t>
      </w:r>
    </w:p>
    <w:p w14:paraId="52BE30EE" w14:textId="77777777" w:rsidR="00B61BA4" w:rsidRPr="001B4297" w:rsidRDefault="001B4297">
      <w:pPr>
        <w:rPr>
          <w:rStyle w:val="Normal1"/>
          <w:lang w:val="eu-ES"/>
        </w:rPr>
      </w:pPr>
      <w:r w:rsidRPr="001B4297">
        <w:rPr>
          <w:rStyle w:val="Normal1"/>
          <w:lang w:val="eu-ES"/>
        </w:rPr>
        <w:t xml:space="preserve">Jarduneko lehendakaria: María </w:t>
      </w:r>
      <w:proofErr w:type="spellStart"/>
      <w:r w:rsidRPr="001B4297">
        <w:rPr>
          <w:rStyle w:val="Normal1"/>
          <w:lang w:val="eu-ES"/>
        </w:rPr>
        <w:t>Inmaculada</w:t>
      </w:r>
      <w:proofErr w:type="spellEnd"/>
      <w:r w:rsidRPr="001B4297">
        <w:rPr>
          <w:rStyle w:val="Normal1"/>
          <w:lang w:val="eu-ES"/>
        </w:rPr>
        <w:t xml:space="preserve"> </w:t>
      </w:r>
      <w:proofErr w:type="spellStart"/>
      <w:r w:rsidRPr="001B4297">
        <w:rPr>
          <w:rStyle w:val="Normal1"/>
          <w:lang w:val="eu-ES"/>
        </w:rPr>
        <w:t>Jurío</w:t>
      </w:r>
      <w:proofErr w:type="spellEnd"/>
      <w:r w:rsidRPr="001B4297">
        <w:rPr>
          <w:rStyle w:val="Normal1"/>
          <w:lang w:val="eu-ES"/>
        </w:rPr>
        <w:t xml:space="preserve"> </w:t>
      </w:r>
      <w:proofErr w:type="spellStart"/>
      <w:r w:rsidRPr="001B4297">
        <w:rPr>
          <w:rStyle w:val="Normal1"/>
          <w:lang w:val="eu-ES"/>
        </w:rPr>
        <w:t>Macaya</w:t>
      </w:r>
      <w:proofErr w:type="spellEnd"/>
    </w:p>
    <w:p w14:paraId="6567E95C" w14:textId="77777777" w:rsidR="00B61BA4" w:rsidRPr="001B4297" w:rsidRDefault="001B4297">
      <w:pPr>
        <w:pStyle w:val="Lcaptulo"/>
        <w:rPr>
          <w:lang w:val="eu-ES"/>
        </w:rPr>
      </w:pPr>
      <w:r w:rsidRPr="001B4297">
        <w:rPr>
          <w:lang w:val="eu-ES"/>
        </w:rPr>
        <w:t>GALDERAREN TESTUA</w:t>
      </w:r>
    </w:p>
    <w:p w14:paraId="5E705286" w14:textId="77777777" w:rsidR="00B61BA4" w:rsidRPr="001B4297" w:rsidRDefault="001B4297">
      <w:pPr>
        <w:rPr>
          <w:rStyle w:val="Normal1"/>
          <w:lang w:val="eu-ES"/>
        </w:rPr>
      </w:pPr>
      <w:r w:rsidRPr="001B4297">
        <w:rPr>
          <w:rStyle w:val="Normal1"/>
          <w:lang w:val="eu-ES"/>
        </w:rPr>
        <w:t xml:space="preserve">EH Bildu </w:t>
      </w:r>
      <w:r w:rsidRPr="001B4297">
        <w:rPr>
          <w:rStyle w:val="Normal1"/>
          <w:lang w:val="eu-ES"/>
        </w:rPr>
        <w:t xml:space="preserve">Nafarroa talde parlamentarioko Adolfo Araiz </w:t>
      </w:r>
      <w:proofErr w:type="spellStart"/>
      <w:r w:rsidRPr="001B4297">
        <w:rPr>
          <w:rStyle w:val="Normal1"/>
          <w:lang w:val="eu-ES"/>
        </w:rPr>
        <w:t>Flamarique</w:t>
      </w:r>
      <w:proofErr w:type="spellEnd"/>
      <w:r w:rsidRPr="001B4297">
        <w:rPr>
          <w:rStyle w:val="Normal1"/>
          <w:lang w:val="eu-ES"/>
        </w:rPr>
        <w:t xml:space="preserve"> jaunak galdera hauek aurkezten dizkio Legebiltzarreko Mahaiari, izapidetu daitezen eta Lehendakaritzako, Berdintasuneko, Funtzio Publikoko eta Barneko Departamentuak idatziz erantzun ditzan:</w:t>
      </w:r>
    </w:p>
    <w:p w14:paraId="161AD24C" w14:textId="77777777" w:rsidR="00B61BA4" w:rsidRPr="001B4297" w:rsidRDefault="001B4297">
      <w:pPr>
        <w:rPr>
          <w:rStyle w:val="Normal1"/>
          <w:lang w:val="eu-ES"/>
        </w:rPr>
      </w:pPr>
      <w:r w:rsidRPr="001B4297">
        <w:rPr>
          <w:rStyle w:val="Normal1"/>
          <w:lang w:val="eu-ES"/>
        </w:rPr>
        <w:t>2021eko ab</w:t>
      </w:r>
      <w:r w:rsidRPr="001B4297">
        <w:rPr>
          <w:rStyle w:val="Normal1"/>
          <w:lang w:val="eu-ES"/>
        </w:rPr>
        <w:t xml:space="preserve">uztuaren 6an, idazki bana aurkeztu zuten Salvador Urbistondo Arotzarena jaunak, </w:t>
      </w:r>
      <w:proofErr w:type="spellStart"/>
      <w:r w:rsidRPr="001B4297">
        <w:rPr>
          <w:rStyle w:val="Normal1"/>
          <w:lang w:val="eu-ES"/>
        </w:rPr>
        <w:t>Palacio</w:t>
      </w:r>
      <w:proofErr w:type="spellEnd"/>
      <w:r w:rsidRPr="001B4297">
        <w:rPr>
          <w:rStyle w:val="Normal1"/>
          <w:lang w:val="eu-ES"/>
        </w:rPr>
        <w:t xml:space="preserve"> </w:t>
      </w:r>
      <w:proofErr w:type="spellStart"/>
      <w:r w:rsidRPr="001B4297">
        <w:rPr>
          <w:rStyle w:val="Normal1"/>
          <w:lang w:val="eu-ES"/>
        </w:rPr>
        <w:t>Arozteguia</w:t>
      </w:r>
      <w:proofErr w:type="spellEnd"/>
      <w:r w:rsidRPr="001B4297">
        <w:rPr>
          <w:rStyle w:val="Normal1"/>
          <w:lang w:val="eu-ES"/>
        </w:rPr>
        <w:t xml:space="preserve"> SL eta Hotel </w:t>
      </w:r>
      <w:proofErr w:type="spellStart"/>
      <w:r w:rsidRPr="001B4297">
        <w:rPr>
          <w:rStyle w:val="Normal1"/>
          <w:lang w:val="eu-ES"/>
        </w:rPr>
        <w:t>Palacio</w:t>
      </w:r>
      <w:proofErr w:type="spellEnd"/>
      <w:r w:rsidRPr="001B4297">
        <w:rPr>
          <w:rStyle w:val="Normal1"/>
          <w:lang w:val="eu-ES"/>
        </w:rPr>
        <w:t xml:space="preserve"> de </w:t>
      </w:r>
      <w:proofErr w:type="spellStart"/>
      <w:r w:rsidRPr="001B4297">
        <w:rPr>
          <w:rStyle w:val="Normal1"/>
          <w:lang w:val="eu-ES"/>
        </w:rPr>
        <w:t>Arozteguia</w:t>
      </w:r>
      <w:proofErr w:type="spellEnd"/>
      <w:r w:rsidRPr="001B4297">
        <w:rPr>
          <w:rStyle w:val="Normal1"/>
          <w:lang w:val="eu-ES"/>
        </w:rPr>
        <w:t xml:space="preserve"> SL merkataritza-sozietateen izenean, eta Aroztegia Jauregiaren inguruan sustatutako turismo-, hotel-, kirol- eta egoitza-e</w:t>
      </w:r>
      <w:r w:rsidRPr="001B4297">
        <w:rPr>
          <w:rStyle w:val="Normal1"/>
          <w:lang w:val="eu-ES"/>
        </w:rPr>
        <w:t xml:space="preserve">remuaren Udalez gaindiko Plan Sektorialaren Konpentsazio Batzordeak. Idazki horien bitartez eskatzen zen hasiera eman zekiola ondare-erantzukizuneko espedienteari, zeinaren bidez Foru Komunitateko Administrazioaren eta Estatukoaren erantzukizun solidarioa </w:t>
      </w:r>
      <w:r w:rsidRPr="001B4297">
        <w:rPr>
          <w:rStyle w:val="Normal1"/>
          <w:lang w:val="eu-ES"/>
        </w:rPr>
        <w:t>eskatzen baitzen.</w:t>
      </w:r>
    </w:p>
    <w:p w14:paraId="1E026B81" w14:textId="5555B4B6" w:rsidR="00B61BA4" w:rsidRPr="001B4297" w:rsidRDefault="001B4297">
      <w:pPr>
        <w:rPr>
          <w:rStyle w:val="Normal1"/>
          <w:lang w:val="eu-ES"/>
        </w:rPr>
      </w:pPr>
      <w:r w:rsidRPr="001B4297">
        <w:rPr>
          <w:rStyle w:val="Normal1"/>
          <w:lang w:val="eu-ES"/>
        </w:rPr>
        <w:t>Merkataritza-sozietateek aurkeztutako erreklamazioak honako kopuruetan zehazten zuen ustezko ondare-kaltea:</w:t>
      </w:r>
    </w:p>
    <w:tbl>
      <w:tblPr>
        <w:tblStyle w:val="TableGrid"/>
        <w:tblW w:w="8494" w:type="dxa"/>
        <w:tblInd w:w="0" w:type="dxa"/>
        <w:tblCellMar>
          <w:top w:w="48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2770"/>
        <w:gridCol w:w="1520"/>
        <w:gridCol w:w="2103"/>
        <w:gridCol w:w="2101"/>
      </w:tblGrid>
      <w:tr w:rsidR="001B4297" w:rsidRPr="001B4297" w14:paraId="6D784F4F" w14:textId="77777777" w:rsidTr="001B4297">
        <w:trPr>
          <w:trHeight w:val="20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AA2A" w14:textId="77777777" w:rsidR="001B4297" w:rsidRPr="001B4297" w:rsidRDefault="001B4297" w:rsidP="00E07E74">
            <w:pPr>
              <w:spacing w:before="20" w:after="20" w:line="240" w:lineRule="auto"/>
              <w:ind w:left="142" w:firstLine="0"/>
              <w:jc w:val="left"/>
              <w:rPr>
                <w:rFonts w:ascii="Helvetica LT Std" w:hAnsi="Helvetica LT Std" w:cstheme="minorHAnsi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2F5EE" w14:textId="77777777" w:rsidR="001B4297" w:rsidRPr="001B4297" w:rsidRDefault="001B4297" w:rsidP="00E07E74">
            <w:pPr>
              <w:spacing w:before="20" w:after="20" w:line="240" w:lineRule="auto"/>
              <w:ind w:left="142" w:firstLine="0"/>
              <w:jc w:val="center"/>
              <w:rPr>
                <w:rFonts w:ascii="Helvetica LT Std" w:hAnsi="Helvetica LT Std" w:cstheme="minorHAnsi"/>
                <w:sz w:val="19"/>
                <w:szCs w:val="19"/>
              </w:rPr>
            </w:pPr>
            <w:r w:rsidRPr="001B4297">
              <w:rPr>
                <w:rFonts w:ascii="Helvetica LT Std" w:hAnsi="Helvetica LT Std" w:cstheme="minorHAnsi"/>
                <w:sz w:val="19"/>
                <w:szCs w:val="19"/>
              </w:rPr>
              <w:t>Sortutako kaltea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1A225" w14:textId="77777777" w:rsidR="001B4297" w:rsidRPr="001B4297" w:rsidRDefault="001B4297" w:rsidP="00E07E74">
            <w:pPr>
              <w:spacing w:before="20" w:after="20" w:line="240" w:lineRule="auto"/>
              <w:ind w:left="142" w:right="55" w:firstLine="0"/>
              <w:jc w:val="center"/>
              <w:rPr>
                <w:rFonts w:ascii="Helvetica LT Std" w:hAnsi="Helvetica LT Std" w:cstheme="minorHAnsi"/>
                <w:sz w:val="19"/>
                <w:szCs w:val="19"/>
              </w:rPr>
            </w:pPr>
            <w:r w:rsidRPr="001B4297">
              <w:rPr>
                <w:rFonts w:ascii="Helvetica LT Std" w:hAnsi="Helvetica LT Std" w:cstheme="minorHAnsi"/>
                <w:sz w:val="19"/>
                <w:szCs w:val="19"/>
              </w:rPr>
              <w:t>Lortu gabeko irabazia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65ADB" w14:textId="77777777" w:rsidR="001B4297" w:rsidRPr="001B4297" w:rsidRDefault="001B4297" w:rsidP="00E07E74">
            <w:pPr>
              <w:spacing w:before="20" w:after="20" w:line="240" w:lineRule="auto"/>
              <w:ind w:left="142" w:right="56" w:firstLine="0"/>
              <w:jc w:val="center"/>
              <w:rPr>
                <w:rFonts w:ascii="Helvetica LT Std" w:hAnsi="Helvetica LT Std" w:cstheme="minorHAnsi"/>
                <w:sz w:val="19"/>
                <w:szCs w:val="19"/>
              </w:rPr>
            </w:pPr>
            <w:r w:rsidRPr="001B4297">
              <w:rPr>
                <w:rFonts w:ascii="Helvetica LT Std" w:hAnsi="Helvetica LT Std" w:cstheme="minorHAnsi"/>
                <w:sz w:val="19"/>
                <w:szCs w:val="19"/>
              </w:rPr>
              <w:t>Guztira</w:t>
            </w:r>
          </w:p>
        </w:tc>
      </w:tr>
      <w:tr w:rsidR="001B4297" w:rsidRPr="001B4297" w14:paraId="5734D26E" w14:textId="77777777" w:rsidTr="001B4297">
        <w:trPr>
          <w:trHeight w:val="20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7C0A" w14:textId="77777777" w:rsidR="001B4297" w:rsidRPr="001B4297" w:rsidRDefault="001B4297" w:rsidP="00E07E74">
            <w:pPr>
              <w:spacing w:before="20" w:after="20" w:line="240" w:lineRule="auto"/>
              <w:ind w:left="142" w:firstLine="0"/>
              <w:jc w:val="left"/>
              <w:rPr>
                <w:rFonts w:ascii="Helvetica LT Std" w:hAnsi="Helvetica LT Std" w:cstheme="minorHAnsi"/>
                <w:sz w:val="19"/>
                <w:szCs w:val="19"/>
              </w:rPr>
            </w:pPr>
            <w:proofErr w:type="spellStart"/>
            <w:r w:rsidRPr="001B4297">
              <w:rPr>
                <w:rFonts w:ascii="Helvetica LT Std" w:hAnsi="Helvetica LT Std" w:cstheme="minorHAnsi"/>
                <w:sz w:val="19"/>
                <w:szCs w:val="19"/>
              </w:rPr>
              <w:t>Palacio</w:t>
            </w:r>
            <w:proofErr w:type="spellEnd"/>
            <w:r w:rsidRPr="001B4297">
              <w:rPr>
                <w:rFonts w:ascii="Helvetica LT Std" w:hAnsi="Helvetica LT Std" w:cstheme="minorHAnsi"/>
                <w:sz w:val="19"/>
                <w:szCs w:val="19"/>
              </w:rPr>
              <w:t xml:space="preserve"> </w:t>
            </w:r>
            <w:proofErr w:type="spellStart"/>
            <w:r w:rsidRPr="001B4297">
              <w:rPr>
                <w:rFonts w:ascii="Helvetica LT Std" w:hAnsi="Helvetica LT Std" w:cstheme="minorHAnsi"/>
                <w:sz w:val="19"/>
                <w:szCs w:val="19"/>
              </w:rPr>
              <w:t>Arozteguia</w:t>
            </w:r>
            <w:proofErr w:type="spellEnd"/>
            <w:r w:rsidRPr="001B4297">
              <w:rPr>
                <w:rFonts w:ascii="Helvetica LT Std" w:hAnsi="Helvetica LT Std" w:cstheme="minorHAnsi"/>
                <w:sz w:val="19"/>
                <w:szCs w:val="19"/>
              </w:rPr>
              <w:t xml:space="preserve"> SL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6CAA" w14:textId="77777777" w:rsidR="001B4297" w:rsidRPr="001B4297" w:rsidRDefault="001B4297" w:rsidP="00E07E74">
            <w:pPr>
              <w:spacing w:before="20" w:after="20" w:line="240" w:lineRule="auto"/>
              <w:ind w:left="142" w:firstLine="0"/>
              <w:jc w:val="center"/>
              <w:rPr>
                <w:rFonts w:ascii="Helvetica LT Std" w:hAnsi="Helvetica LT Std" w:cstheme="minorHAnsi"/>
                <w:sz w:val="19"/>
                <w:szCs w:val="19"/>
              </w:rPr>
            </w:pPr>
            <w:r w:rsidRPr="001B4297">
              <w:rPr>
                <w:rFonts w:ascii="Helvetica LT Std" w:hAnsi="Helvetica LT Std" w:cstheme="minorHAnsi"/>
                <w:sz w:val="19"/>
                <w:szCs w:val="19"/>
              </w:rPr>
              <w:t>12.072.612,54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9836" w14:textId="77777777" w:rsidR="001B4297" w:rsidRPr="001B4297" w:rsidRDefault="001B4297" w:rsidP="00E07E74">
            <w:pPr>
              <w:spacing w:before="20" w:after="20" w:line="240" w:lineRule="auto"/>
              <w:ind w:left="142" w:right="55" w:firstLine="0"/>
              <w:jc w:val="center"/>
              <w:rPr>
                <w:rFonts w:ascii="Helvetica LT Std" w:hAnsi="Helvetica LT Std" w:cstheme="minorHAnsi"/>
                <w:sz w:val="19"/>
                <w:szCs w:val="19"/>
              </w:rPr>
            </w:pPr>
            <w:r w:rsidRPr="001B4297">
              <w:rPr>
                <w:rFonts w:ascii="Helvetica LT Std" w:hAnsi="Helvetica LT Std" w:cstheme="minorHAnsi"/>
                <w:sz w:val="19"/>
                <w:szCs w:val="19"/>
              </w:rPr>
              <w:t>6.859.823,72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4361" w14:textId="77777777" w:rsidR="001B4297" w:rsidRPr="001B4297" w:rsidRDefault="001B4297" w:rsidP="00E07E74">
            <w:pPr>
              <w:spacing w:before="20" w:after="20" w:line="240" w:lineRule="auto"/>
              <w:ind w:left="142" w:right="52" w:firstLine="0"/>
              <w:jc w:val="center"/>
              <w:rPr>
                <w:rFonts w:ascii="Helvetica LT Std" w:hAnsi="Helvetica LT Std" w:cstheme="minorHAnsi"/>
                <w:sz w:val="19"/>
                <w:szCs w:val="19"/>
              </w:rPr>
            </w:pPr>
            <w:r w:rsidRPr="001B4297">
              <w:rPr>
                <w:rFonts w:ascii="Helvetica LT Std" w:hAnsi="Helvetica LT Std" w:cstheme="minorHAnsi"/>
                <w:sz w:val="19"/>
                <w:szCs w:val="19"/>
              </w:rPr>
              <w:t>18.932.436,26</w:t>
            </w:r>
          </w:p>
        </w:tc>
      </w:tr>
      <w:tr w:rsidR="001B4297" w:rsidRPr="001B4297" w14:paraId="4940B9FC" w14:textId="77777777" w:rsidTr="001B4297">
        <w:trPr>
          <w:trHeight w:val="20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98E9" w14:textId="77777777" w:rsidR="001B4297" w:rsidRPr="001B4297" w:rsidRDefault="001B4297" w:rsidP="00E07E74">
            <w:pPr>
              <w:spacing w:before="20" w:after="20" w:line="240" w:lineRule="auto"/>
              <w:ind w:left="142" w:right="1" w:firstLine="0"/>
              <w:jc w:val="left"/>
              <w:rPr>
                <w:rFonts w:ascii="Helvetica LT Std" w:hAnsi="Helvetica LT Std" w:cstheme="minorHAnsi"/>
                <w:sz w:val="19"/>
                <w:szCs w:val="19"/>
              </w:rPr>
            </w:pPr>
            <w:r w:rsidRPr="001B4297">
              <w:rPr>
                <w:rFonts w:ascii="Helvetica LT Std" w:hAnsi="Helvetica LT Std" w:cstheme="minorHAnsi"/>
                <w:sz w:val="19"/>
                <w:szCs w:val="19"/>
              </w:rPr>
              <w:t xml:space="preserve">Hotel </w:t>
            </w:r>
            <w:proofErr w:type="spellStart"/>
            <w:r w:rsidRPr="001B4297">
              <w:rPr>
                <w:rFonts w:ascii="Helvetica LT Std" w:hAnsi="Helvetica LT Std" w:cstheme="minorHAnsi"/>
                <w:sz w:val="19"/>
                <w:szCs w:val="19"/>
              </w:rPr>
              <w:t>Palacio</w:t>
            </w:r>
            <w:proofErr w:type="spellEnd"/>
            <w:r w:rsidRPr="001B4297">
              <w:rPr>
                <w:rFonts w:ascii="Helvetica LT Std" w:hAnsi="Helvetica LT Std" w:cstheme="minorHAnsi"/>
                <w:sz w:val="19"/>
                <w:szCs w:val="19"/>
              </w:rPr>
              <w:t xml:space="preserve"> </w:t>
            </w:r>
            <w:proofErr w:type="spellStart"/>
            <w:r w:rsidRPr="001B4297">
              <w:rPr>
                <w:rFonts w:ascii="Helvetica LT Std" w:hAnsi="Helvetica LT Std" w:cstheme="minorHAnsi"/>
                <w:sz w:val="19"/>
                <w:szCs w:val="19"/>
              </w:rPr>
              <w:t>Arozteguia</w:t>
            </w:r>
            <w:proofErr w:type="spellEnd"/>
            <w:r w:rsidRPr="001B4297">
              <w:rPr>
                <w:rFonts w:ascii="Helvetica LT Std" w:hAnsi="Helvetica LT Std" w:cstheme="minorHAnsi"/>
                <w:sz w:val="19"/>
                <w:szCs w:val="19"/>
              </w:rPr>
              <w:t xml:space="preserve"> SL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D90A" w14:textId="77777777" w:rsidR="001B4297" w:rsidRPr="001B4297" w:rsidRDefault="001B4297" w:rsidP="00E07E74">
            <w:pPr>
              <w:spacing w:before="20" w:after="20" w:line="240" w:lineRule="auto"/>
              <w:ind w:left="142" w:right="55" w:firstLine="0"/>
              <w:jc w:val="center"/>
              <w:rPr>
                <w:rFonts w:ascii="Helvetica LT Std" w:hAnsi="Helvetica LT Std" w:cstheme="minorHAnsi"/>
                <w:sz w:val="19"/>
                <w:szCs w:val="19"/>
              </w:rPr>
            </w:pPr>
            <w:r w:rsidRPr="001B4297">
              <w:rPr>
                <w:rFonts w:ascii="Helvetica LT Std" w:hAnsi="Helvetica LT Std" w:cstheme="minorHAnsi"/>
                <w:sz w:val="19"/>
                <w:szCs w:val="19"/>
              </w:rPr>
              <w:t>6.830.400,59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4FE4" w14:textId="77777777" w:rsidR="001B4297" w:rsidRPr="001B4297" w:rsidRDefault="001B4297" w:rsidP="00E07E74">
            <w:pPr>
              <w:spacing w:before="20" w:after="20" w:line="240" w:lineRule="auto"/>
              <w:ind w:left="142" w:right="54" w:firstLine="0"/>
              <w:jc w:val="center"/>
              <w:rPr>
                <w:rFonts w:ascii="Helvetica LT Std" w:hAnsi="Helvetica LT Std" w:cstheme="minorHAnsi"/>
                <w:sz w:val="19"/>
                <w:szCs w:val="19"/>
              </w:rPr>
            </w:pPr>
            <w:r w:rsidRPr="001B4297">
              <w:rPr>
                <w:rFonts w:ascii="Helvetica LT Std" w:hAnsi="Helvetica LT Std" w:cstheme="minorHAnsi"/>
                <w:sz w:val="19"/>
                <w:szCs w:val="19"/>
              </w:rPr>
              <w:t>17.897.539,47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B007" w14:textId="77777777" w:rsidR="001B4297" w:rsidRPr="001B4297" w:rsidRDefault="001B4297" w:rsidP="00E07E74">
            <w:pPr>
              <w:spacing w:before="20" w:after="20" w:line="240" w:lineRule="auto"/>
              <w:ind w:left="142" w:right="52" w:firstLine="0"/>
              <w:jc w:val="center"/>
              <w:rPr>
                <w:rFonts w:ascii="Helvetica LT Std" w:hAnsi="Helvetica LT Std" w:cstheme="minorHAnsi"/>
                <w:sz w:val="19"/>
                <w:szCs w:val="19"/>
              </w:rPr>
            </w:pPr>
            <w:r w:rsidRPr="001B4297">
              <w:rPr>
                <w:rFonts w:ascii="Helvetica LT Std" w:hAnsi="Helvetica LT Std" w:cstheme="minorHAnsi"/>
                <w:sz w:val="19"/>
                <w:szCs w:val="19"/>
              </w:rPr>
              <w:t>24.727.940,06</w:t>
            </w:r>
          </w:p>
        </w:tc>
      </w:tr>
      <w:tr w:rsidR="001B4297" w:rsidRPr="001B4297" w14:paraId="35095831" w14:textId="77777777" w:rsidTr="001B4297">
        <w:trPr>
          <w:trHeight w:val="20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D049" w14:textId="77777777" w:rsidR="001B4297" w:rsidRPr="001B4297" w:rsidRDefault="001B4297" w:rsidP="00E07E74">
            <w:pPr>
              <w:spacing w:before="20" w:after="20" w:line="240" w:lineRule="auto"/>
              <w:ind w:left="142" w:firstLine="0"/>
              <w:jc w:val="left"/>
              <w:rPr>
                <w:rFonts w:ascii="Helvetica LT Std" w:hAnsi="Helvetica LT Std" w:cstheme="minorHAnsi"/>
                <w:sz w:val="19"/>
                <w:szCs w:val="19"/>
              </w:rPr>
            </w:pPr>
            <w:r w:rsidRPr="001B4297">
              <w:rPr>
                <w:rFonts w:ascii="Helvetica LT Std" w:hAnsi="Helvetica LT Std" w:cstheme="minorHAnsi"/>
                <w:sz w:val="19"/>
                <w:szCs w:val="19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7542" w14:textId="77777777" w:rsidR="001B4297" w:rsidRPr="001B4297" w:rsidRDefault="001B4297" w:rsidP="00E07E74">
            <w:pPr>
              <w:spacing w:before="20" w:after="20" w:line="240" w:lineRule="auto"/>
              <w:ind w:left="142" w:firstLine="0"/>
              <w:jc w:val="center"/>
              <w:rPr>
                <w:rFonts w:ascii="Helvetica LT Std" w:hAnsi="Helvetica LT Std" w:cstheme="minorHAnsi"/>
                <w:sz w:val="19"/>
                <w:szCs w:val="19"/>
              </w:rPr>
            </w:pPr>
            <w:r w:rsidRPr="001B4297">
              <w:rPr>
                <w:rFonts w:ascii="Helvetica LT Std" w:hAnsi="Helvetica LT Std" w:cstheme="minorHAnsi"/>
                <w:sz w:val="19"/>
                <w:szCs w:val="19"/>
              </w:rPr>
              <w:t>18.903.013,13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3EAA" w14:textId="77777777" w:rsidR="001B4297" w:rsidRPr="001B4297" w:rsidRDefault="001B4297" w:rsidP="00E07E74">
            <w:pPr>
              <w:spacing w:before="20" w:after="20" w:line="240" w:lineRule="auto"/>
              <w:ind w:left="142" w:right="55" w:firstLine="0"/>
              <w:jc w:val="center"/>
              <w:rPr>
                <w:rFonts w:ascii="Helvetica LT Std" w:hAnsi="Helvetica LT Std" w:cstheme="minorHAnsi"/>
                <w:sz w:val="19"/>
                <w:szCs w:val="19"/>
              </w:rPr>
            </w:pPr>
            <w:r w:rsidRPr="001B4297">
              <w:rPr>
                <w:rFonts w:ascii="Helvetica LT Std" w:hAnsi="Helvetica LT Std" w:cstheme="minorHAnsi"/>
                <w:sz w:val="19"/>
                <w:szCs w:val="19"/>
              </w:rPr>
              <w:t>24.757.363,19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5E9DB" w14:textId="77777777" w:rsidR="001B4297" w:rsidRPr="001B4297" w:rsidRDefault="001B4297" w:rsidP="00E07E74">
            <w:pPr>
              <w:spacing w:before="20" w:after="20" w:line="240" w:lineRule="auto"/>
              <w:ind w:left="142" w:right="52" w:firstLine="0"/>
              <w:jc w:val="center"/>
              <w:rPr>
                <w:rFonts w:ascii="Helvetica LT Std" w:hAnsi="Helvetica LT Std" w:cstheme="minorHAnsi"/>
                <w:sz w:val="19"/>
                <w:szCs w:val="19"/>
              </w:rPr>
            </w:pPr>
            <w:r w:rsidRPr="001B4297">
              <w:rPr>
                <w:rFonts w:ascii="Helvetica LT Std" w:hAnsi="Helvetica LT Std" w:cstheme="minorHAnsi"/>
                <w:sz w:val="19"/>
                <w:szCs w:val="19"/>
              </w:rPr>
              <w:t>43.660.376,32</w:t>
            </w:r>
          </w:p>
        </w:tc>
      </w:tr>
    </w:tbl>
    <w:p w14:paraId="5402859B" w14:textId="77777777" w:rsidR="001B4297" w:rsidRPr="001B4297" w:rsidRDefault="001B4297">
      <w:pPr>
        <w:rPr>
          <w:rStyle w:val="Normal1"/>
          <w:lang w:val="eu-ES"/>
        </w:rPr>
      </w:pPr>
    </w:p>
    <w:p w14:paraId="5DE2E8B0" w14:textId="77777777" w:rsidR="00B61BA4" w:rsidRPr="001B4297" w:rsidRDefault="001B4297">
      <w:pPr>
        <w:rPr>
          <w:rStyle w:val="Normal1"/>
          <w:lang w:val="eu-ES"/>
        </w:rPr>
      </w:pPr>
      <w:r w:rsidRPr="001B4297">
        <w:rPr>
          <w:rStyle w:val="Normal1"/>
          <w:lang w:val="eu-ES"/>
        </w:rPr>
        <w:t xml:space="preserve">Bestalde, Aroztegiko Udalez gaindiko Plan Sektorialaren Konpentsazio Batzordeak </w:t>
      </w:r>
      <w:proofErr w:type="spellStart"/>
      <w:r w:rsidRPr="001B4297">
        <w:rPr>
          <w:rStyle w:val="Normal1"/>
          <w:lang w:val="eu-ES"/>
        </w:rPr>
        <w:t>aurkezturikoan</w:t>
      </w:r>
      <w:proofErr w:type="spellEnd"/>
      <w:r w:rsidRPr="001B4297">
        <w:rPr>
          <w:rStyle w:val="Normal1"/>
          <w:lang w:val="eu-ES"/>
        </w:rPr>
        <w:t>, sortutako kaltea 735.477,81 euroko</w:t>
      </w:r>
      <w:r w:rsidRPr="001B4297">
        <w:rPr>
          <w:rStyle w:val="Normal1"/>
          <w:lang w:val="eu-ES"/>
        </w:rPr>
        <w:t>a zela esaten zen.</w:t>
      </w:r>
    </w:p>
    <w:p w14:paraId="650583F3" w14:textId="77777777" w:rsidR="00B61BA4" w:rsidRPr="001B4297" w:rsidRDefault="001B4297">
      <w:pPr>
        <w:rPr>
          <w:rStyle w:val="Normal1"/>
          <w:lang w:val="eu-ES"/>
        </w:rPr>
      </w:pPr>
      <w:r w:rsidRPr="001B4297">
        <w:rPr>
          <w:rStyle w:val="Normal1"/>
          <w:lang w:val="eu-ES"/>
        </w:rPr>
        <w:t>Administrazio Publikoen Administrazio Prozedura Erkideari buruzko urriaren 1eko 39/2015 Legeko 91.3 artikuluak honako hau ezartzen du:</w:t>
      </w:r>
    </w:p>
    <w:p w14:paraId="1FA3DD37" w14:textId="77777777" w:rsidR="00B61BA4" w:rsidRPr="001B4297" w:rsidRDefault="001B4297">
      <w:pPr>
        <w:rPr>
          <w:rStyle w:val="Normal1"/>
          <w:lang w:val="eu-ES"/>
        </w:rPr>
      </w:pPr>
      <w:r w:rsidRPr="001B4297">
        <w:rPr>
          <w:rStyle w:val="Normal1"/>
          <w:lang w:val="eu-ES"/>
        </w:rPr>
        <w:t>“Prozedura hasten denetik sei hilabete igarotzen badira esanbidezko ebazpenik eman eta jakinarazi gabe</w:t>
      </w:r>
      <w:r w:rsidRPr="001B4297">
        <w:rPr>
          <w:rStyle w:val="Normal1"/>
          <w:lang w:val="eu-ES"/>
        </w:rPr>
        <w:t xml:space="preserve"> edo, kasua bada, akordiorik lortu gabe, ulertu ahalko da ebazpena partikularrari kalte-ordaina ematearen aurkakoa dela”.</w:t>
      </w:r>
    </w:p>
    <w:p w14:paraId="6C6A5BF2" w14:textId="77777777" w:rsidR="00B61BA4" w:rsidRPr="001B4297" w:rsidRDefault="001B4297">
      <w:pPr>
        <w:rPr>
          <w:rStyle w:val="Normal1"/>
          <w:lang w:val="eu-ES"/>
        </w:rPr>
      </w:pPr>
      <w:r w:rsidRPr="001B4297">
        <w:rPr>
          <w:rStyle w:val="Normal1"/>
          <w:lang w:val="eu-ES"/>
        </w:rPr>
        <w:t>Nafarroako Kontseiluari buruzko ekainaren 9ko 8/2016 Foru Legearen 14.1.i) artikuluak honako hau xedatzen du:</w:t>
      </w:r>
    </w:p>
    <w:p w14:paraId="4756525E" w14:textId="77777777" w:rsidR="00B61BA4" w:rsidRPr="001B4297" w:rsidRDefault="001B4297">
      <w:pPr>
        <w:rPr>
          <w:rStyle w:val="Normal1"/>
          <w:lang w:val="eu-ES"/>
        </w:rPr>
      </w:pPr>
      <w:r w:rsidRPr="001B4297">
        <w:rPr>
          <w:rStyle w:val="Normal1"/>
          <w:lang w:val="eu-ES"/>
        </w:rPr>
        <w:t>“1.- Honako afera haueta</w:t>
      </w:r>
      <w:r w:rsidRPr="001B4297">
        <w:rPr>
          <w:rStyle w:val="Normal1"/>
          <w:lang w:val="eu-ES"/>
        </w:rPr>
        <w:t>n Nafarroako Kontseiluaren aholkua nahitaez eskatu beharko da:</w:t>
      </w:r>
    </w:p>
    <w:p w14:paraId="55A2B8F0" w14:textId="77777777" w:rsidR="00B61BA4" w:rsidRPr="001B4297" w:rsidRDefault="001B4297">
      <w:pPr>
        <w:rPr>
          <w:rStyle w:val="Normal1"/>
          <w:lang w:val="eu-ES"/>
        </w:rPr>
      </w:pPr>
      <w:r w:rsidRPr="001B4297">
        <w:rPr>
          <w:rStyle w:val="Normal1"/>
          <w:lang w:val="eu-ES"/>
        </w:rPr>
        <w:t>(...) i) Ondare-erantzukizuneko erreklamazioak, zeinetan hirurehun mila euroko edo gehiagoko kalte-ordaina eskatzen den”.</w:t>
      </w:r>
    </w:p>
    <w:p w14:paraId="5E9DB264" w14:textId="77777777" w:rsidR="00B61BA4" w:rsidRPr="001B4297" w:rsidRDefault="001B4297">
      <w:pPr>
        <w:rPr>
          <w:rStyle w:val="Normal1"/>
          <w:lang w:val="eu-ES"/>
        </w:rPr>
      </w:pPr>
      <w:r w:rsidRPr="001B4297">
        <w:rPr>
          <w:rStyle w:val="Normal1"/>
          <w:lang w:val="eu-ES"/>
        </w:rPr>
        <w:t>Horrenbestez, honako galdera hauek aurkezten ditut, idatziz erantzun da</w:t>
      </w:r>
      <w:r w:rsidRPr="001B4297">
        <w:rPr>
          <w:rStyle w:val="Normal1"/>
          <w:lang w:val="eu-ES"/>
        </w:rPr>
        <w:t>kien:</w:t>
      </w:r>
    </w:p>
    <w:p w14:paraId="62D1930C" w14:textId="77777777" w:rsidR="00B61BA4" w:rsidRPr="001B4297" w:rsidRDefault="001B4297">
      <w:pPr>
        <w:rPr>
          <w:rStyle w:val="Normal1"/>
          <w:lang w:val="eu-ES"/>
        </w:rPr>
      </w:pPr>
      <w:r w:rsidRPr="001B4297">
        <w:rPr>
          <w:rStyle w:val="Normal1"/>
          <w:lang w:val="eu-ES"/>
        </w:rPr>
        <w:t xml:space="preserve">1.- Burututa al daude </w:t>
      </w:r>
      <w:proofErr w:type="spellStart"/>
      <w:r w:rsidRPr="001B4297">
        <w:rPr>
          <w:rStyle w:val="Normal1"/>
          <w:lang w:val="eu-ES"/>
        </w:rPr>
        <w:t>Palacio</w:t>
      </w:r>
      <w:proofErr w:type="spellEnd"/>
      <w:r w:rsidRPr="001B4297">
        <w:rPr>
          <w:rStyle w:val="Normal1"/>
          <w:lang w:val="eu-ES"/>
        </w:rPr>
        <w:t xml:space="preserve"> </w:t>
      </w:r>
      <w:proofErr w:type="spellStart"/>
      <w:r w:rsidRPr="001B4297">
        <w:rPr>
          <w:rStyle w:val="Normal1"/>
          <w:lang w:val="eu-ES"/>
        </w:rPr>
        <w:t>Arozteguia</w:t>
      </w:r>
      <w:proofErr w:type="spellEnd"/>
      <w:r w:rsidRPr="001B4297">
        <w:rPr>
          <w:rStyle w:val="Normal1"/>
          <w:lang w:val="eu-ES"/>
        </w:rPr>
        <w:t xml:space="preserve"> SL eta Hotel </w:t>
      </w:r>
      <w:proofErr w:type="spellStart"/>
      <w:r w:rsidRPr="001B4297">
        <w:rPr>
          <w:rStyle w:val="Normal1"/>
          <w:lang w:val="eu-ES"/>
        </w:rPr>
        <w:t>Palacio</w:t>
      </w:r>
      <w:proofErr w:type="spellEnd"/>
      <w:r w:rsidRPr="001B4297">
        <w:rPr>
          <w:rStyle w:val="Normal1"/>
          <w:lang w:val="eu-ES"/>
        </w:rPr>
        <w:t xml:space="preserve"> </w:t>
      </w:r>
      <w:proofErr w:type="spellStart"/>
      <w:r w:rsidRPr="001B4297">
        <w:rPr>
          <w:rStyle w:val="Normal1"/>
          <w:lang w:val="eu-ES"/>
        </w:rPr>
        <w:t>Arozteguia</w:t>
      </w:r>
      <w:proofErr w:type="spellEnd"/>
      <w:r w:rsidRPr="001B4297">
        <w:rPr>
          <w:rStyle w:val="Normal1"/>
          <w:lang w:val="eu-ES"/>
        </w:rPr>
        <w:t xml:space="preserve"> SL merkataritza-sozietateek eta Aroztegia Jauregiko Konpentsazio Batzordeak abiarazitako ondare-erreklamazioko prozedurak?</w:t>
      </w:r>
    </w:p>
    <w:p w14:paraId="1D0322B5" w14:textId="77777777" w:rsidR="00B61BA4" w:rsidRPr="001B4297" w:rsidRDefault="001B4297">
      <w:pPr>
        <w:rPr>
          <w:rStyle w:val="Normal1"/>
          <w:lang w:val="eu-ES"/>
        </w:rPr>
      </w:pPr>
      <w:r w:rsidRPr="001B4297">
        <w:rPr>
          <w:rStyle w:val="Normal1"/>
          <w:lang w:val="eu-ES"/>
        </w:rPr>
        <w:t>2.- Zer datatan amaitzen zen prozedura horiek burutzek</w:t>
      </w:r>
      <w:r w:rsidRPr="001B4297">
        <w:rPr>
          <w:rStyle w:val="Normal1"/>
          <w:lang w:val="eu-ES"/>
        </w:rPr>
        <w:t>o epea? Administrazio-isiltasun bidez ezetsiak izan al dira?</w:t>
      </w:r>
    </w:p>
    <w:p w14:paraId="1C572A16" w14:textId="77777777" w:rsidR="00B61BA4" w:rsidRPr="001B4297" w:rsidRDefault="001B4297">
      <w:pPr>
        <w:rPr>
          <w:rStyle w:val="Normal1"/>
          <w:lang w:val="eu-ES"/>
        </w:rPr>
      </w:pPr>
      <w:r w:rsidRPr="001B4297">
        <w:rPr>
          <w:rStyle w:val="Normal1"/>
          <w:lang w:val="eu-ES"/>
        </w:rPr>
        <w:lastRenderedPageBreak/>
        <w:t xml:space="preserve">3.- Eskatu al zaio Nafarroako Kontseiluari ondare-erantzukizuneko erreklamazio horiei buruz nahitaezkoa den irizpena jaulki dezan? Zer egunetan jaulki zuen irizpena? Zer konklusiotara iritsi zen </w:t>
      </w:r>
      <w:r w:rsidRPr="001B4297">
        <w:rPr>
          <w:rStyle w:val="Normal1"/>
          <w:lang w:val="eu-ES"/>
        </w:rPr>
        <w:t>erreklamazio horiek baiesteaz edo ez baiesteaz?</w:t>
      </w:r>
    </w:p>
    <w:p w14:paraId="56F64789" w14:textId="77777777" w:rsidR="00B61BA4" w:rsidRPr="001B4297" w:rsidRDefault="001B4297">
      <w:pPr>
        <w:rPr>
          <w:rStyle w:val="Normal1"/>
          <w:lang w:val="eu-ES"/>
        </w:rPr>
      </w:pPr>
      <w:r w:rsidRPr="001B4297">
        <w:rPr>
          <w:rStyle w:val="Normal1"/>
          <w:lang w:val="eu-ES"/>
        </w:rPr>
        <w:t xml:space="preserve">4.- Baldin eta espedienteak burututa badaude, nola amaitu dira? Erreklamatzen den horren guztizko edo aldezko baiespenarekin, ala osoko ezespenarekin, </w:t>
      </w:r>
      <w:proofErr w:type="spellStart"/>
      <w:r w:rsidRPr="001B4297">
        <w:rPr>
          <w:rStyle w:val="Normal1"/>
          <w:lang w:val="eu-ES"/>
        </w:rPr>
        <w:t>irizteagatik</w:t>
      </w:r>
      <w:proofErr w:type="spellEnd"/>
      <w:r w:rsidRPr="001B4297">
        <w:rPr>
          <w:rStyle w:val="Normal1"/>
          <w:lang w:val="eu-ES"/>
        </w:rPr>
        <w:t xml:space="preserve"> ezen ez zela </w:t>
      </w:r>
      <w:proofErr w:type="spellStart"/>
      <w:r w:rsidRPr="001B4297">
        <w:rPr>
          <w:rStyle w:val="Normal1"/>
          <w:lang w:val="eu-ES"/>
        </w:rPr>
        <w:t>erreklamaziogileei</w:t>
      </w:r>
      <w:proofErr w:type="spellEnd"/>
      <w:r w:rsidRPr="001B4297">
        <w:rPr>
          <w:rStyle w:val="Normal1"/>
          <w:lang w:val="eu-ES"/>
        </w:rPr>
        <w:t xml:space="preserve"> egozteko mod</w:t>
      </w:r>
      <w:r w:rsidRPr="001B4297">
        <w:rPr>
          <w:rStyle w:val="Normal1"/>
          <w:lang w:val="eu-ES"/>
        </w:rPr>
        <w:t>uko kalterik izan, zerbitzu publikoen –kasu honetan, segurtasunekoen– funtzionamendu normal nahiz anormalaren ondoriozkorik?</w:t>
      </w:r>
    </w:p>
    <w:p w14:paraId="41233FCA" w14:textId="77777777" w:rsidR="00B61BA4" w:rsidRPr="001B4297" w:rsidRDefault="001B4297">
      <w:pPr>
        <w:rPr>
          <w:rStyle w:val="Normal1"/>
          <w:lang w:val="eu-ES"/>
        </w:rPr>
      </w:pPr>
      <w:r w:rsidRPr="001B4297">
        <w:rPr>
          <w:rStyle w:val="Normal1"/>
          <w:lang w:val="eu-ES"/>
        </w:rPr>
        <w:t>Iruñean, 2022ko irailaren 13an</w:t>
      </w:r>
    </w:p>
    <w:p w14:paraId="00530D3E" w14:textId="77777777" w:rsidR="00B61BA4" w:rsidRPr="001B4297" w:rsidRDefault="001B4297">
      <w:pPr>
        <w:rPr>
          <w:rStyle w:val="Normal1"/>
          <w:lang w:val="eu-ES"/>
        </w:rPr>
      </w:pPr>
      <w:r w:rsidRPr="001B4297">
        <w:rPr>
          <w:rStyle w:val="Normal1"/>
          <w:lang w:val="eu-ES"/>
        </w:rPr>
        <w:t xml:space="preserve">Foru parlamentaria: Adolfo Araiz </w:t>
      </w:r>
      <w:proofErr w:type="spellStart"/>
      <w:r w:rsidRPr="001B4297">
        <w:rPr>
          <w:rStyle w:val="Normal1"/>
          <w:lang w:val="eu-ES"/>
        </w:rPr>
        <w:t>Flamarique</w:t>
      </w:r>
      <w:proofErr w:type="spellEnd"/>
    </w:p>
    <w:sectPr w:rsidR="00B61BA4" w:rsidRPr="001B42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BA4"/>
    <w:rsid w:val="001B4297"/>
    <w:rsid w:val="00B6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B2E8E"/>
  <w15:docId w15:val="{A95E0CAE-2309-49E6-B49D-A97FF3E2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10000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captulo">
    <w:name w:val="Lcapítulo"/>
    <w:basedOn w:val="Normal"/>
    <w:qFormat/>
    <w:pPr>
      <w:keepNext/>
      <w:spacing w:before="170"/>
      <w:ind w:firstLine="0"/>
      <w:jc w:val="center"/>
    </w:pPr>
    <w:rPr>
      <w:rFonts w:ascii="Helvetica LT Std" w:eastAsia="Helvetica LT Std" w:hAnsi="Helvetica LT Std" w:cs="Helvetica LT Std"/>
      <w:b/>
    </w:rPr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  <w:style w:type="table" w:customStyle="1" w:styleId="TableGrid">
    <w:name w:val="TableGrid"/>
    <w:rsid w:val="001B4297"/>
    <w:pPr>
      <w:textAlignment w:val="auto"/>
    </w:pPr>
    <w:rPr>
      <w:rFonts w:asciiTheme="minorHAnsi" w:eastAsiaTheme="minorEastAsia" w:hAnsiTheme="minorHAnsi" w:cstheme="minorBidi"/>
      <w:color w:val="auto"/>
      <w:sz w:val="22"/>
      <w:szCs w:val="22"/>
      <w:lang w:val="eu-ES" w:eastAsia="es-ES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Santiago, Iñaki</cp:lastModifiedBy>
  <cp:revision>2</cp:revision>
  <dcterms:created xsi:type="dcterms:W3CDTF">2022-09-22T10:43:00Z</dcterms:created>
  <dcterms:modified xsi:type="dcterms:W3CDTF">2022-09-22T10:45:00Z</dcterms:modified>
</cp:coreProperties>
</file>