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realización de segundos informes de Intervención General tras un reparo suspensivo de la intervención delegada,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Economía y Hacienda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Número de ocasiones en esta legislatura en los que existiendo elaborado y firmado un informe de Intervención General tras un reparo suspensivo de la intervención delegada, se ha realizado un segundo informe de Intervención General.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