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26 de septiembre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las iniciativas del Gobierno en relación a la protección de la biodiversidad local de especies autóctonas como factor de resiliencia, formulada por el Ilmo. Sr. D. Jorge Esparza Garrido.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26 de septiembre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Esparza Garrido, miembro de las Cortes de Navarra, adscrito al Grupo Parlamentario Navarra Suma (NA+), al amparo de lo dispuesto en el Reglamento de la Cámara, realiza la siguiente pregunta escrita:</w:t>
      </w:r>
    </w:p>
    <w:p>
      <w:pPr>
        <w:pStyle w:val="0"/>
        <w:suppressAutoHyphens w:val="false"/>
        <w:rPr>
          <w:rStyle w:val="1"/>
        </w:rPr>
      </w:pPr>
      <w:r>
        <w:rPr>
          <w:rStyle w:val="1"/>
        </w:rPr>
        <w:t xml:space="preserve">¿Qué iniciativas ha desarrollado el Ejecutivo en relación con la protección de la biodiversidad local de especies autóctonas como factor de resiliencia (bancos de semillas, germoplasma, viveros públicos de especies autóctonas, etc.)?</w:t>
      </w:r>
    </w:p>
    <w:p>
      <w:pPr>
        <w:pStyle w:val="0"/>
        <w:suppressAutoHyphens w:val="false"/>
        <w:rPr>
          <w:rStyle w:val="1"/>
        </w:rPr>
      </w:pPr>
      <w:r>
        <w:rPr>
          <w:rStyle w:val="1"/>
        </w:rPr>
        <w:t xml:space="preserve">Pamplona, 20 de septiembre de 2022</w:t>
      </w:r>
    </w:p>
    <w:p>
      <w:pPr>
        <w:pStyle w:val="0"/>
        <w:suppressAutoHyphens w:val="false"/>
        <w:rPr>
          <w:rStyle w:val="1"/>
        </w:rPr>
      </w:pPr>
      <w:r>
        <w:rPr>
          <w:rStyle w:val="1"/>
        </w:rPr>
        <w:t xml:space="preserve">El Parlamentario Foral: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