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urriaren 17an egindako bilkuran, honao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Kon</w:t>
        <w:softHyphen/>
        <w:softHyphen/>
        <w:t xml:space="preserve">tsumi</w:t>
        <w:softHyphen/>
        <w:softHyphen/>
        <w:t xml:space="preserve">tzaile eta erabil</w:t>
        <w:softHyphen/>
        <w:softHyphen/>
        <w:t xml:space="preserve">tzaileen estatutua arau</w:t>
        <w:softHyphen/>
        <w:softHyphen/>
        <w:t xml:space="preserve">tzen duen Foru Lege proiektuari zuzenketak aurkezteko epea </w:t>
      </w:r>
      <w:r>
        <w:rPr>
          <w:rStyle w:val="1"/>
          <w:b w:val="true"/>
        </w:rPr>
        <w:t xml:space="preserve">2022ko azaroaren 4ko eguerdiko hamabiak arte</w:t>
      </w:r>
      <w:r>
        <w:rPr>
          <w:rStyle w:val="1"/>
        </w:rPr>
        <w:t xml:space="preserve"> luza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t xml:space="preserve">tzea. Aipatu foru lege proiektua 2022ko irailaren 23ko 104. Nafarroako Parlamentuko Aldizkari Ofizialean argitaratu zen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