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ejecución de lo dispuesto en el Reglamento de la Cámara, se ordena la publicación en el Boletín Oficial del Parlamento de Navarra de las resoluciones aprobadas por el Pleno del Parlamento de Navarra, en sesión celebrada el día 11 de noviembre de 2022, con motivo del debate de política general sobre el estado de la Comunidad.</w:t>
      </w:r>
    </w:p>
    <w:p>
      <w:pPr>
        <w:pStyle w:val="0"/>
        <w:suppressAutoHyphens w:val="false"/>
        <w:rPr>
          <w:rStyle w:val="1"/>
        </w:rPr>
      </w:pPr>
      <w:r>
        <w:rPr>
          <w:rStyle w:val="1"/>
        </w:rPr>
        <w:t xml:space="preserve">Pamplona, 14 de noviembre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Resoluciones aprobadas por el Pleno en sesión celebrada el día 11 de noviembre de 2022, con motivo del debate de política general sobre el Estado de la Comunidad</w:t>
      </w:r>
    </w:p>
    <w:p>
      <w:pPr>
        <w:pStyle w:val="0"/>
        <w:suppressAutoHyphens w:val="false"/>
        <w:rPr>
          <w:rStyle w:val="1"/>
          <w:b w:val="true"/>
        </w:rPr>
      </w:pPr>
      <w:r>
        <w:rPr>
          <w:rStyle w:val="1"/>
          <w:b w:val="true"/>
        </w:rPr>
        <w:t xml:space="preserve">Primera.</w:t>
      </w:r>
    </w:p>
    <w:p>
      <w:pPr>
        <w:pStyle w:val="0"/>
        <w:suppressAutoHyphens w:val="false"/>
        <w:rPr>
          <w:rStyle w:val="1"/>
        </w:rPr>
      </w:pPr>
      <w:r>
        <w:rPr>
          <w:rStyle w:val="1"/>
        </w:rPr>
        <w:t xml:space="preserve">El Parlamento de Navarra insta al Gobierno de Navarra a abordar con urgencia y disponer los recursos necesarios al objeto de dar respuesta a las necesidades de la ciudadanía navarra en los siguientes ámbitos para:</w:t>
      </w:r>
    </w:p>
    <w:p>
      <w:pPr>
        <w:pStyle w:val="0"/>
        <w:suppressAutoHyphens w:val="false"/>
        <w:rPr>
          <w:rStyle w:val="1"/>
        </w:rPr>
      </w:pPr>
      <w:r>
        <w:rPr>
          <w:rStyle w:val="1"/>
        </w:rPr>
        <w:t xml:space="preserve">– La elaboración de un plan urgente y participado que permita hacer frente a los retos de la sanidad pública Navarra, reforzando de forma importante la recuperación del sistema público de salud en nuestra Comunidad, tanto en recursos humanos (eliminando la temporalidad y dimensionando las plantillas a las necesidades de salud de la población navarra) como en equipamientos, fundamentalmente de la atención primaria que se encuentra en una situación excesivamente precaria.</w:t>
      </w:r>
    </w:p>
    <w:p>
      <w:pPr>
        <w:pStyle w:val="0"/>
        <w:suppressAutoHyphens w:val="false"/>
        <w:rPr>
          <w:rStyle w:val="1"/>
        </w:rPr>
      </w:pPr>
      <w:r>
        <w:rPr>
          <w:rStyle w:val="1"/>
        </w:rPr>
        <w:t xml:space="preserve">– Hacer un estudio urgente de los datos de la pobreza de la actual situación económica en Navarra e identificar los nuevos perfiles de personas que debido a la inflación y a la nueva situación socioeconómica están en riesgo de sufrir o están sufriendo pobreza. El objeto de dicho estudio debe servir para poder planificar una modificación de la renta garantizada que responda a las nuevas necesidades y realidades de pobreza.</w:t>
      </w:r>
    </w:p>
    <w:p>
      <w:pPr>
        <w:pStyle w:val="0"/>
        <w:suppressAutoHyphens w:val="false"/>
        <w:rPr>
          <w:rStyle w:val="1"/>
        </w:rPr>
      </w:pPr>
      <w:r>
        <w:rPr>
          <w:rStyle w:val="1"/>
        </w:rPr>
        <w:t xml:space="preserve">– Hacer una apuesta decidida por una educación de calidad desde los 0 hasta los 18 años, que garantice la igualdad de oportunidades y que aborde de manera estructural la segregación escolar y las medidas necesarias para la compensación educativa.</w:t>
      </w:r>
    </w:p>
    <w:p>
      <w:pPr>
        <w:pStyle w:val="0"/>
        <w:suppressAutoHyphens w:val="false"/>
        <w:rPr>
          <w:rStyle w:val="1"/>
        </w:rPr>
      </w:pPr>
      <w:r>
        <w:rPr>
          <w:rStyle w:val="1"/>
        </w:rPr>
        <w:t xml:space="preserve">– En el ámbito de la vivienda protegida, más allá de la nueva construcción, seguir impulsando el parque y la bolsa pública de vivienda de alquiler y la rehabilitación, así como defender la necesidad de topar de manera efectiva los precios del alquiler en el mercado privado.</w:t>
      </w:r>
    </w:p>
    <w:p>
      <w:pPr>
        <w:pStyle w:val="0"/>
        <w:suppressAutoHyphens w:val="false"/>
        <w:rPr>
          <w:rStyle w:val="1"/>
        </w:rPr>
      </w:pPr>
      <w:r>
        <w:rPr>
          <w:rStyle w:val="1"/>
        </w:rPr>
        <w:t xml:space="preserve">– Planificar el proceso de ejecución de lo recogido en el pacto de los cuidados desde todos los departamentos, que establezca a corto y largo plazo los recursos económicos y materiales necesarios para:</w:t>
      </w:r>
    </w:p>
    <w:p>
      <w:pPr>
        <w:pStyle w:val="0"/>
        <w:suppressAutoHyphens w:val="false"/>
        <w:rPr>
          <w:rStyle w:val="1"/>
        </w:rPr>
      </w:pPr>
      <w:r>
        <w:rPr>
          <w:rStyle w:val="1"/>
        </w:rPr>
        <w:t xml:space="preserve">1.º Materializar los compromisos asumidos en el pacto de cuidados.</w:t>
      </w:r>
    </w:p>
    <w:p>
      <w:pPr>
        <w:pStyle w:val="0"/>
        <w:suppressAutoHyphens w:val="false"/>
        <w:rPr>
          <w:rStyle w:val="1"/>
        </w:rPr>
      </w:pPr>
      <w:r>
        <w:rPr>
          <w:rStyle w:val="1"/>
        </w:rPr>
        <w:t xml:space="preserve">2.º Dignificar el trabajo de las profesionales que se dedican a los cuidados mejorando sus condiciones laborales, especialmente las condiciones de las personas que trabajan en el sector de la tercera edad.</w:t>
      </w:r>
    </w:p>
    <w:p>
      <w:pPr>
        <w:pStyle w:val="0"/>
        <w:suppressAutoHyphens w:val="false"/>
        <w:rPr>
          <w:rStyle w:val="1"/>
        </w:rPr>
      </w:pPr>
      <w:r>
        <w:rPr>
          <w:rStyle w:val="1"/>
        </w:rPr>
        <w:t xml:space="preserve">3.º Implementar nuevos servicios públicos que tengan como objeto el mantenimiento de las personas mayores y/o dependientes en sus entornos más cercanos en todas las zonas de Navarra.</w:t>
      </w:r>
    </w:p>
    <w:p>
      <w:pPr>
        <w:pStyle w:val="0"/>
        <w:suppressAutoHyphens w:val="false"/>
      </w:pPr>
      <w:r>
        <w:rPr>
          <w:rStyle w:val="1"/>
        </w:rPr>
        <w:t xml:space="preserve">4.º Aumentar la oferta de servicios públicos creando otros modelos de vivienda para las personas mayores y/o dependientes, como son los apartamentos tutelados, casas hogares, vivienda pública o cohousing.</w:t>
        <w:br w:type="column"/>
      </w:r>
    </w:p>
    <w:p>
      <w:pPr>
        <w:pStyle w:val="0"/>
        <w:suppressAutoHyphens w:val="false"/>
        <w:rPr>
          <w:rStyle w:val="1"/>
          <w:b w:val="true"/>
        </w:rPr>
      </w:pPr>
      <w:r>
        <w:rPr>
          <w:rStyle w:val="1"/>
          <w:b w:val="true"/>
        </w:rPr>
        <w:t xml:space="preserve">Segunda.</w:t>
      </w:r>
    </w:p>
    <w:p>
      <w:pPr>
        <w:pStyle w:val="0"/>
        <w:suppressAutoHyphens w:val="false"/>
        <w:rPr>
          <w:rStyle w:val="1"/>
        </w:rPr>
      </w:pPr>
      <w:r>
        <w:rPr>
          <w:rStyle w:val="1"/>
        </w:rPr>
        <w:t xml:space="preserve">– El Parlamento de Navarra manifiesta su voluntad de que el próximo Gobierno de Navarra se conforme con base en la pluralidad existente en nuestra Comunidad, y sea un gobierno de carácter progresista, social, feminista, ecologista y europeísta, cuya acción política se centre en las personas y el avance de la Comunidad Foral de Navarra ante los grandes retos globales.</w:t>
      </w:r>
    </w:p>
    <w:p>
      <w:pPr>
        <w:pStyle w:val="0"/>
        <w:suppressAutoHyphens w:val="false"/>
        <w:rPr>
          <w:rStyle w:val="1"/>
        </w:rPr>
      </w:pPr>
      <w:r>
        <w:rPr>
          <w:rStyle w:val="1"/>
        </w:rPr>
        <w:t xml:space="preserve">– Para ello el Parlamento de Navarra considera imprescindible un modelo de fiscalidad progresivo y redistributivo, donde hagan mayor esfuerzo fiscal las personas y empresas con mayores beneficios y se ayude a quien más lo necesite, y que, con base en nuestro autogobierno, garantice la suficiencia de los recursos públicos para el fortalecimiento del sistema de bienestar como herramienta de igualdad de oportunidades.</w:t>
      </w:r>
    </w:p>
    <w:p>
      <w:pPr>
        <w:pStyle w:val="0"/>
        <w:suppressAutoHyphens w:val="false"/>
        <w:rPr>
          <w:rStyle w:val="1"/>
          <w:b w:val="true"/>
        </w:rPr>
      </w:pPr>
      <w:r>
        <w:rPr>
          <w:rStyle w:val="1"/>
          <w:b w:val="true"/>
        </w:rPr>
        <w:t xml:space="preserve">Tercera.</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 Impulsar la descarbonización mediante renovables y eficiencia energética en todos los entornos, colaborando con las entidades locales en la puesta en marcha de medidas de ahorro y eficiencia energética y en la apuesta por las energías renovables.</w:t>
      </w:r>
    </w:p>
    <w:p>
      <w:pPr>
        <w:pStyle w:val="0"/>
        <w:suppressAutoHyphens w:val="false"/>
        <w:rPr>
          <w:rStyle w:val="1"/>
        </w:rPr>
      </w:pPr>
      <w:r>
        <w:rPr>
          <w:rStyle w:val="1"/>
        </w:rPr>
        <w:t xml:space="preserve">– Impulsar el almacenamiento y energías alternativas como el hidrógeno.</w:t>
      </w:r>
    </w:p>
    <w:p>
      <w:pPr>
        <w:pStyle w:val="0"/>
        <w:suppressAutoHyphens w:val="false"/>
        <w:rPr>
          <w:rStyle w:val="1"/>
        </w:rPr>
      </w:pPr>
      <w:r>
        <w:rPr>
          <w:rStyle w:val="1"/>
        </w:rPr>
        <w:t xml:space="preserve">– Priorizar el tránsito a un modelo sostenible de economía circular con el objetivo de residuo cero y basada en las cuatro R: Reducir, Reutilizar, Reparar y Reciclar.</w:t>
      </w:r>
    </w:p>
    <w:p>
      <w:pPr>
        <w:pStyle w:val="0"/>
        <w:suppressAutoHyphens w:val="false"/>
        <w:rPr>
          <w:rStyle w:val="1"/>
        </w:rPr>
      </w:pPr>
      <w:r>
        <w:rPr>
          <w:rStyle w:val="1"/>
        </w:rPr>
        <w:t xml:space="preserve">– Apostar por la rehabilitación energética de edificios, la regeneración urbana para recuperar la ciudad consolidada, barrios y pueblos y la nueva edificación sostenible en procesos industrializados para contribuir a revolucionar los procesos constructivos.</w:t>
      </w:r>
    </w:p>
    <w:p>
      <w:pPr>
        <w:pStyle w:val="0"/>
        <w:suppressAutoHyphens w:val="false"/>
        <w:rPr>
          <w:rStyle w:val="1"/>
        </w:rPr>
      </w:pPr>
      <w:r>
        <w:rPr>
          <w:rStyle w:val="1"/>
        </w:rPr>
        <w:t xml:space="preserve">– Reforzar la protección del medio ambiente y la biodiversidad para garantizar la preservación de todos los ecosistemas y todas las especies que habitan en ellos, y también como factor para minimizar las consecuencias del impacto del cambio climático.</w:t>
      </w:r>
    </w:p>
    <w:p>
      <w:pPr>
        <w:pStyle w:val="0"/>
        <w:suppressAutoHyphens w:val="false"/>
        <w:rPr>
          <w:rStyle w:val="1"/>
        </w:rPr>
      </w:pPr>
      <w:r>
        <w:rPr>
          <w:rStyle w:val="1"/>
        </w:rPr>
        <w:t xml:space="preserve">– Trabajar junto al sector primario potenciando la agricultura ecológica, así como la protección de nuestros productores locales y el bienestar animal en el camino hacia la consecución del equilibrio, con la mirada puesta en la soberanía alimentaria.</w:t>
      </w:r>
    </w:p>
    <w:p>
      <w:pPr>
        <w:pStyle w:val="0"/>
        <w:suppressAutoHyphens w:val="false"/>
        <w:rPr>
          <w:rStyle w:val="1"/>
        </w:rPr>
      </w:pPr>
      <w:r>
        <w:rPr>
          <w:rStyle w:val="1"/>
        </w:rPr>
        <w:t xml:space="preserve">– Impulsar la digitalización y la innovación rural como ejes estratégicos para combatir el despoblamiento de las zonas rurales y garantizar una calidad de vida digna en el entorno rural.</w:t>
      </w:r>
    </w:p>
    <w:p>
      <w:pPr>
        <w:pStyle w:val="0"/>
        <w:suppressAutoHyphens w:val="false"/>
        <w:rPr>
          <w:rStyle w:val="1"/>
        </w:rPr>
      </w:pPr>
      <w:r>
        <w:rPr>
          <w:rStyle w:val="1"/>
        </w:rPr>
        <w:t xml:space="preserve">– Impulsar un modelo de movilidad más sostenible, primando el transporte público y los medios de transporte menos contaminantes.</w:t>
      </w:r>
    </w:p>
    <w:p>
      <w:pPr>
        <w:pStyle w:val="0"/>
        <w:suppressAutoHyphens w:val="false"/>
        <w:rPr>
          <w:rStyle w:val="1"/>
        </w:rPr>
      </w:pPr>
      <w:r>
        <w:rPr>
          <w:rStyle w:val="1"/>
        </w:rPr>
        <w:t xml:space="preserve">Precisamente, durante estos días se está celebrando en Egipto la 27 Convención sobre el Cambio Climático (COP27) en el Marco de las Naciones Unidas, que ha inaugurado el Secretario General de la ONU, António Guterres, haciendo un llamamiento a “responder a la señal de socorro del planeta con un plan de acción climática ambicioso, creíble e inaplazable”.</w:t>
      </w:r>
    </w:p>
    <w:p>
      <w:pPr>
        <w:pStyle w:val="0"/>
        <w:suppressAutoHyphens w:val="false"/>
        <w:rPr>
          <w:rStyle w:val="1"/>
        </w:rPr>
      </w:pPr>
      <w:r>
        <w:rPr>
          <w:rStyle w:val="1"/>
        </w:rPr>
        <w:t xml:space="preserve">En ese sentido, uno de los objetivos de la Administración foral ha sido contribuir a ese fin procurando una digitalización sostenible y en igualdad. Para ello, se han establecido tres pilares básicos de conectividad, inclusión digital e infraestructura tecnológica, englobando en este último punto, además, todo lo relativo a computación y datos.</w:t>
      </w:r>
    </w:p>
    <w:p>
      <w:pPr>
        <w:pStyle w:val="0"/>
        <w:suppressAutoHyphens w:val="false"/>
        <w:rPr>
          <w:rStyle w:val="1"/>
        </w:rPr>
      </w:pPr>
      <w:r>
        <w:rPr>
          <w:rStyle w:val="1"/>
        </w:rPr>
        <w:t xml:space="preserve">Siguiendo las directrices del Plan de Banda Ancha II, se ha completado la conexión en alta velocidad de más del 97 por ciento de la población de Navarra, con lo que esto supone para avanzar en educación, salud, empleabilidad, crecimiento empresarial y ocio de las personas, administraciones, empresas y organismos de la Comunidad Foral de Navarra.</w:t>
      </w:r>
    </w:p>
    <w:p>
      <w:pPr>
        <w:pStyle w:val="0"/>
        <w:suppressAutoHyphens w:val="false"/>
        <w:rPr>
          <w:rStyle w:val="1"/>
        </w:rPr>
      </w:pPr>
      <w:r>
        <w:rPr>
          <w:rStyle w:val="1"/>
        </w:rPr>
        <w:t xml:space="preserve">Así mismo, y para que esa conectividad pueda ser explotada por toda la ciudadanía de nuestro territorio, se desarrolló el Plan de Inclusión y Capacitación Digital, que desde su presentación ha formado en materia de digitalización a colectivos como el de la mujer rural, inmigrantes, mayores y otras que de una u otra forma necesitaban, y necesitan, formarse en competencias digitales desde lo más básico a temáticas más avanzadas.</w:t>
      </w:r>
    </w:p>
    <w:p>
      <w:pPr>
        <w:pStyle w:val="0"/>
        <w:suppressAutoHyphens w:val="false"/>
        <w:rPr>
          <w:rStyle w:val="1"/>
        </w:rPr>
      </w:pPr>
      <w:r>
        <w:rPr>
          <w:rStyle w:val="1"/>
        </w:rPr>
        <w:t xml:space="preserve">Igualmente, las infraestructuras tecnológicas, tanto físicas como virtuales, de desarrollo o evolutivas, se han significado de manera determinante para dar servicios a la ciudadanía. Todo ello construido con un especial énfasis en sostenibilidad, adoptando fórmulas respetuosas con el medioambiente. En lo que se refiere a la infraestructura física, se cifra que un 1 por ciento de la producción mundial de energía es la que necesitan los centros de procesos del globo para dar servicios IT. Desde Navarra somos parte de ello, y entendemos que podemos aportar asumiendo que nuestro consumo eléctrico puede ser reducido y la eficiencia mejorada, sirviendo de ejemplo para el resto de las empresas de nuestra Comunidad y para otras administraciones.</w:t>
      </w:r>
    </w:p>
    <w:p>
      <w:pPr>
        <w:pStyle w:val="0"/>
        <w:suppressAutoHyphens w:val="false"/>
        <w:rPr>
          <w:rStyle w:val="1"/>
        </w:rPr>
      </w:pPr>
      <w:r>
        <w:rPr>
          <w:rStyle w:val="1"/>
        </w:rPr>
        <w:t xml:space="preserve">Por todo ello, de igual modo instamos al Gobierno de Navarra a:</w:t>
      </w:r>
    </w:p>
    <w:p>
      <w:pPr>
        <w:pStyle w:val="0"/>
        <w:suppressAutoHyphens w:val="false"/>
        <w:rPr>
          <w:rStyle w:val="1"/>
        </w:rPr>
      </w:pPr>
      <w:r>
        <w:rPr>
          <w:rStyle w:val="1"/>
        </w:rPr>
        <w:t xml:space="preserve">– Finalizar lo establecido en el Plan de Banda y llegar con la banda ancha al cien por cien de la población de Navarra, adelantando los plazos que se establecieron al principio de legislatura, ofreciendo a la población la conectividad necesaria con independencia del lugar en el que se encuentre en nuestro territorio, facilitándoles así el acceso igualitario al trabajo, la sanidad, la educación, el ocio y tantas otras cosas.</w:t>
      </w:r>
    </w:p>
    <w:p>
      <w:pPr>
        <w:pStyle w:val="0"/>
        <w:suppressAutoHyphens w:val="false"/>
        <w:rPr>
          <w:rStyle w:val="1"/>
        </w:rPr>
      </w:pPr>
      <w:r>
        <w:rPr>
          <w:rStyle w:val="1"/>
        </w:rPr>
        <w:t xml:space="preserve">– Proseguir con lo establecido en la Plan de Inclusión y Capacitación, acogiendo a toda la población que lo pueda requerir, fomentando su conocimiento y expansión, colaborando con los diferentes departamentos del Gobierno de Navarra para detectar todos y cada uno de los casos que pudieran darse, dándoles así solución.</w:t>
      </w:r>
    </w:p>
    <w:p>
      <w:pPr>
        <w:pStyle w:val="0"/>
        <w:suppressAutoHyphens w:val="false"/>
        <w:rPr>
          <w:rStyle w:val="1"/>
        </w:rPr>
      </w:pPr>
      <w:r>
        <w:rPr>
          <w:rStyle w:val="1"/>
        </w:rPr>
        <w:t xml:space="preserve">– Continuar con la evolución tecnológica basada en datos que se incluye en la Estrategia Digital Navarra 2030, tratando de alcanzar la máxima de “decisiones basadas en datos” y fomentando la explotación de la parametrización y uso de la inteligencia artificial, dando forma a la colaboración de todo el Gobierno de Navarra entorno a la Oficina del Dato y al Centro Internacional de Investigación en Inteligencia Artificial de nuestra Comunidad.</w:t>
      </w:r>
    </w:p>
    <w:p>
      <w:pPr>
        <w:pStyle w:val="0"/>
        <w:suppressAutoHyphens w:val="false"/>
        <w:rPr>
          <w:rStyle w:val="1"/>
        </w:rPr>
      </w:pPr>
      <w:r>
        <w:rPr>
          <w:rStyle w:val="1"/>
        </w:rPr>
        <w:t xml:space="preserve">– Elaborar una estrategia “green’” del uso de toda la infraestructura TIC del Gobierno de Navarra, construyendo un eje medioambientalmente favorable, utilizando infraestructura tecnológica verde, respetuosa, eficiente energéticamente y con todas las garantías europeas y de la ONU en esta materia, incluyendo infraestructuras públicas de la toda la Comunidad Foral de Navarra, incluyendo gobierno, entidades locales, empresas públicas, centros de investigación, universidades. Una de las claves es el consumo energético, que se cifra en un 1 por ciento de la producción mundial la que necesitan los centros de procesos del globo para dar servicio IT. Desde Navarra somos parte de ello, y entendemos que podemos aportar asumiendo que nuestro consumo eléctrico puede ser reducido y la eficiencia mejorada, sirviendo de ejemplo para el resto de las empresas de nuestra Comunidad y para otras administraciones.</w:t>
      </w:r>
    </w:p>
    <w:p>
      <w:pPr>
        <w:pStyle w:val="0"/>
        <w:suppressAutoHyphens w:val="false"/>
        <w:rPr>
          <w:rStyle w:val="1"/>
        </w:rPr>
      </w:pPr>
      <w:r>
        <w:rPr>
          <w:rStyle w:val="1"/>
        </w:rPr>
        <w:t xml:space="preserve">– Generar el gemelo digital de edificios públicos del Gobierno de Navarra y extenderlo a las entidades locales, para mejorar de manera notable la eficiencia energética de esos espacios. Un gemelo digital es un modelo digital de datos gracias al que se pueden simular procesos sin necesidad de implementarlos, lo cual ayuda a la planificación y gestión mediante la simulación en un entorno virtual. Dado que el gemelo digital puede ser escalable y contando con la Plataforma de Gestión SIE se puede determinar en qué emplazamientos es prioritario poner EERR, o crear aislamientos, etc. Hoy por hoy, Navarra dispone ya del espacio y la unidad técnica donde gestionar y desarrollar el gemelo digital: el Polo de Innovación Digital, de la mano de la Dirección General de Energía. Será desde allí desde donde se deberá optimizar, por lo tanto, la gestión energética de los edificios públicos.</w:t>
      </w:r>
    </w:p>
    <w:p>
      <w:pPr>
        <w:pStyle w:val="0"/>
        <w:suppressAutoHyphens w:val="false"/>
        <w:rPr>
          <w:rStyle w:val="1"/>
          <w:b w:val="true"/>
        </w:rPr>
      </w:pPr>
      <w:r>
        <w:rPr>
          <w:rStyle w:val="1"/>
          <w:b w:val="true"/>
        </w:rPr>
        <w:t xml:space="preserve">Cuarta.</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 Desarrollar y completar las estrategias y planes para Atención Primaria iniciadas y evaluar el impacto que están teniendo y la necesidad de profundizar en ellas o cambiarlas.</w:t>
      </w:r>
    </w:p>
    <w:p>
      <w:pPr>
        <w:pStyle w:val="0"/>
        <w:suppressAutoHyphens w:val="false"/>
        <w:rPr>
          <w:rStyle w:val="1"/>
        </w:rPr>
      </w:pPr>
      <w:r>
        <w:rPr>
          <w:rStyle w:val="1"/>
        </w:rPr>
        <w:t xml:space="preserve">– Adoptar medidas extraordinarias y coyunturales enfocadas a mitigar de forma urgente las listas de espera que tras la pandemia de la covid-19 se han exacerbado y precisan de un plan con medidas a corto y a medio plazo, priorizando aquellas patologías y circuitos clínicamente más relevantes.</w:t>
      </w:r>
    </w:p>
    <w:p>
      <w:pPr>
        <w:pStyle w:val="0"/>
        <w:suppressAutoHyphens w:val="false"/>
        <w:rPr>
          <w:rStyle w:val="1"/>
        </w:rPr>
      </w:pPr>
      <w:r>
        <w:rPr>
          <w:rStyle w:val="1"/>
        </w:rPr>
        <w:t xml:space="preserve">– Comenzar los trabajos para la realización de una nueva Ley Foral de Salud que pueda ver la luz a principios del año 2024, y que más allá de los principios generales de universalidad, garantice el acceso equitativo a la asistencia, profundice en la atención primaria, con mirada comunitaria, lleve la salud a todas las políticas, con especial énfasis en los determinantes sociales de la salud, y dé solución a los siguientes objetivos:</w:t>
      </w:r>
    </w:p>
    <w:p>
      <w:pPr>
        <w:pStyle w:val="0"/>
        <w:suppressAutoHyphens w:val="false"/>
        <w:rPr>
          <w:rStyle w:val="1"/>
        </w:rPr>
      </w:pPr>
      <w:r>
        <w:rPr>
          <w:rStyle w:val="1"/>
        </w:rPr>
        <w:t xml:space="preserve">1.º Una visión propia dentro de la política de función pública del Gobierno de Navarra en el SNS-O para dar mejor respuesta a los retos de salud del siglo XXI.</w:t>
      </w:r>
    </w:p>
    <w:p>
      <w:pPr>
        <w:pStyle w:val="0"/>
        <w:suppressAutoHyphens w:val="false"/>
        <w:rPr>
          <w:rStyle w:val="1"/>
        </w:rPr>
      </w:pPr>
      <w:r>
        <w:rPr>
          <w:rStyle w:val="1"/>
        </w:rPr>
        <w:t xml:space="preserve">2.º Reconversión y adecuación de funcionarios a estatutarios o convenio con el Estado.</w:t>
      </w:r>
    </w:p>
    <w:p>
      <w:pPr>
        <w:pStyle w:val="0"/>
        <w:suppressAutoHyphens w:val="false"/>
        <w:rPr>
          <w:rStyle w:val="1"/>
        </w:rPr>
      </w:pPr>
      <w:r>
        <w:rPr>
          <w:rStyle w:val="1"/>
        </w:rPr>
        <w:t xml:space="preserve">3.º Creación de un área única de salud y una mejor ordenación del trabajo de especialidades.</w:t>
      </w:r>
    </w:p>
    <w:p>
      <w:pPr>
        <w:pStyle w:val="0"/>
        <w:suppressAutoHyphens w:val="false"/>
        <w:rPr>
          <w:rStyle w:val="1"/>
        </w:rPr>
      </w:pPr>
      <w:r>
        <w:rPr>
          <w:rStyle w:val="1"/>
        </w:rPr>
        <w:t xml:space="preserve">4.º Establecimiento de criterios y límites en la colaboración público-privada en materia de salud.</w:t>
      </w:r>
    </w:p>
    <w:p>
      <w:pPr>
        <w:pStyle w:val="0"/>
        <w:suppressAutoHyphens w:val="false"/>
        <w:rPr>
          <w:rStyle w:val="1"/>
        </w:rPr>
      </w:pPr>
      <w:r>
        <w:rPr>
          <w:rStyle w:val="1"/>
        </w:rPr>
        <w:t xml:space="preserve">5.º Salud en todas las políticas con una visión comunitaria e incorporar la salud medioambiental.</w:t>
      </w:r>
    </w:p>
    <w:p>
      <w:pPr>
        <w:pStyle w:val="0"/>
        <w:suppressAutoHyphens w:val="false"/>
        <w:rPr>
          <w:rStyle w:val="1"/>
        </w:rPr>
      </w:pPr>
      <w:r>
        <w:rPr>
          <w:rStyle w:val="1"/>
        </w:rPr>
        <w:t xml:space="preserve">6.º Un nuevo modelo de atención sanitaria que permita una redistribución de recursos humanos y económicos y que pivote sobre la Atención Primaria haciéndola más autónoma y empoderada.</w:t>
      </w:r>
    </w:p>
    <w:p>
      <w:pPr>
        <w:pStyle w:val="0"/>
        <w:suppressAutoHyphens w:val="false"/>
        <w:rPr>
          <w:rStyle w:val="1"/>
        </w:rPr>
      </w:pPr>
      <w:r>
        <w:rPr>
          <w:rStyle w:val="1"/>
        </w:rPr>
        <w:t xml:space="preserve">7.º Modernización de la atención sanitaria por medio de la digitalización, pero con una mayor humanización de la asistencia centrada en la persona.</w:t>
      </w:r>
    </w:p>
    <w:p>
      <w:pPr>
        <w:pStyle w:val="0"/>
        <w:suppressAutoHyphens w:val="false"/>
        <w:rPr>
          <w:rStyle w:val="1"/>
        </w:rPr>
      </w:pPr>
      <w:r>
        <w:rPr>
          <w:rStyle w:val="1"/>
        </w:rPr>
        <w:t xml:space="preserve">8.º En materia de personal se precisa de estabilización de plantillas, fidelización de plazas, flexibilización de jornadas laborales, redistribución de TIS y reconocimiento de las plazas de difícil cobertura.</w:t>
      </w:r>
    </w:p>
    <w:p>
      <w:pPr>
        <w:pStyle w:val="0"/>
        <w:suppressAutoHyphens w:val="false"/>
        <w:rPr>
          <w:rStyle w:val="1"/>
        </w:rPr>
      </w:pPr>
      <w:r>
        <w:rPr>
          <w:rStyle w:val="1"/>
        </w:rPr>
        <w:t xml:space="preserve">9.º Desarrollo y el reconocimiento de carreras profesionales de todos los profesionales sanitarios.</w:t>
      </w:r>
    </w:p>
    <w:p>
      <w:pPr>
        <w:pStyle w:val="0"/>
        <w:suppressAutoHyphens w:val="false"/>
        <w:rPr>
          <w:rStyle w:val="1"/>
        </w:rPr>
      </w:pPr>
      <w:r>
        <w:rPr>
          <w:rStyle w:val="1"/>
        </w:rPr>
        <w:t xml:space="preserve">– En relación con la salud mental, garantizar la asistencia y acompañamiento a las personas que demandan atención, abordando los determinantes sociales que están teniendo un efecto demoledor sobre las personas y potenciando aquellos elementos protectores que evitan el desarrollo de estas patologías.</w:t>
      </w:r>
    </w:p>
    <w:p>
      <w:pPr>
        <w:pStyle w:val="0"/>
        <w:suppressAutoHyphens w:val="false"/>
        <w:rPr>
          <w:rStyle w:val="1"/>
        </w:rPr>
      </w:pPr>
      <w:r>
        <w:rPr>
          <w:rStyle w:val="1"/>
        </w:rPr>
        <w:t xml:space="preserve">– Reforzar la salud pública ante los nuevos problemas de salud, emergencias sanitarias o epidemias desconocidas, que son previsibles ante el cambio climático.</w:t>
      </w:r>
    </w:p>
    <w:p>
      <w:pPr>
        <w:pStyle w:val="0"/>
        <w:suppressAutoHyphens w:val="false"/>
        <w:rPr>
          <w:rStyle w:val="1"/>
        </w:rPr>
      </w:pPr>
      <w:r>
        <w:rPr>
          <w:rStyle w:val="1"/>
        </w:rPr>
        <w:t xml:space="preserve">– Desarrollar y mejorar el espacio socio sanitario, reforzando la asistencia a domicilio de personas mayores, dependientes o con discapacidad y también los dispositivos de teleasistencia domiciliaria, de manera que se incremente la vigilancia de la población beneficiaria de este servicio, y fomentar las políticas para el envejecimiento activo.</w:t>
      </w:r>
    </w:p>
    <w:p>
      <w:pPr>
        <w:pStyle w:val="0"/>
        <w:suppressAutoHyphens w:val="false"/>
        <w:rPr>
          <w:rStyle w:val="1"/>
          <w:b w:val="true"/>
        </w:rPr>
      </w:pPr>
      <w:r>
        <w:rPr>
          <w:rStyle w:val="1"/>
          <w:b w:val="true"/>
        </w:rPr>
        <w:t xml:space="preserve">Quinta.</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 Romper con la dicotomía entre campo y ciudad como dos ámbitos o mundos separados que no tienen esa interconexión, y cerrar la brecha existente entre lo urbano y lo rural.</w:t>
      </w:r>
    </w:p>
    <w:p>
      <w:pPr>
        <w:pStyle w:val="0"/>
        <w:suppressAutoHyphens w:val="false"/>
        <w:rPr>
          <w:rStyle w:val="1"/>
        </w:rPr>
      </w:pPr>
      <w:r>
        <w:rPr>
          <w:rStyle w:val="1"/>
        </w:rPr>
        <w:t xml:space="preserve">– Impulsar la aprobación de la Ley de Reto Demográfico.</w:t>
      </w:r>
    </w:p>
    <w:p>
      <w:pPr>
        <w:pStyle w:val="0"/>
        <w:suppressAutoHyphens w:val="false"/>
        <w:rPr>
          <w:rStyle w:val="1"/>
        </w:rPr>
      </w:pPr>
      <w:r>
        <w:rPr>
          <w:rStyle w:val="1"/>
        </w:rPr>
        <w:t xml:space="preserve">– Seguir impulsando medidas que faciliten el desarrollo y la potenciación de la escuela rural como elemento vertebrador para la cohesión social. Para ello debemos trabajar para que los servicios complementarios educativos, como el servicio de comedor y el transporte, la mejora de la educación infantil continuando con la extensión de la gratuidad o la digitalización del sistema educativo, se conviertan en un verdadero elemento cohesionador y de desarrollo de estas escuelas.</w:t>
      </w:r>
    </w:p>
    <w:p>
      <w:pPr>
        <w:pStyle w:val="0"/>
        <w:suppressAutoHyphens w:val="false"/>
        <w:rPr>
          <w:rStyle w:val="1"/>
        </w:rPr>
      </w:pPr>
      <w:r>
        <w:rPr>
          <w:rStyle w:val="1"/>
        </w:rPr>
        <w:t xml:space="preserve">– Continuar potenciando y coordinando las políticas públicas de igualdad en el ámbito local, como políticas imprescindibles para el empoderamiento de las mujeres rurales, y dar respuesta a la doble discriminación que sufren y que provocan mayores dificultades para sus proyectos personales.</w:t>
      </w:r>
    </w:p>
    <w:p>
      <w:pPr>
        <w:pStyle w:val="0"/>
        <w:suppressAutoHyphens w:val="false"/>
        <w:rPr>
          <w:rStyle w:val="1"/>
        </w:rPr>
      </w:pPr>
      <w:r>
        <w:rPr>
          <w:rStyle w:val="1"/>
        </w:rPr>
        <w:t xml:space="preserve">– Desarrollar el transporte interurbano entre las diferentes localidades, de forma que se facilite el acceso a servicios sanitarios, educativos, culturales, etc., poniendo especial hincapié en el desarrollo y avance de la tarjeta única de transporte como elemento incentivador del uso del transporte público.</w:t>
      </w:r>
    </w:p>
    <w:p>
      <w:pPr>
        <w:pStyle w:val="0"/>
        <w:suppressAutoHyphens w:val="false"/>
        <w:rPr>
          <w:rStyle w:val="1"/>
        </w:rPr>
      </w:pPr>
      <w:r>
        <w:rPr>
          <w:rStyle w:val="1"/>
        </w:rPr>
        <w:t xml:space="preserve">– Desarrollar las políticas que permitan incrementar el parque público de vivienda, a través de la rehabilitación, la construcción de vivienda en alquiler o compra, así como la recuperación de los cascos históricos de los municipios, teniendo en cuenta siempre a las entidades locales afectadas.</w:t>
      </w:r>
    </w:p>
    <w:p>
      <w:pPr>
        <w:pStyle w:val="0"/>
        <w:suppressAutoHyphens w:val="false"/>
        <w:rPr>
          <w:rStyle w:val="1"/>
          <w:b w:val="true"/>
        </w:rPr>
      </w:pPr>
      <w:r>
        <w:rPr>
          <w:rStyle w:val="1"/>
          <w:b w:val="true"/>
        </w:rPr>
        <w:t xml:space="preserve">Sexta.</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 Identificar propuestas y ámbitos de incidencia y actuación para las mujeres rurales y las mujeres campesinas:</w:t>
      </w:r>
    </w:p>
    <w:p>
      <w:pPr>
        <w:pStyle w:val="0"/>
        <w:suppressAutoHyphens w:val="false"/>
        <w:rPr>
          <w:rStyle w:val="1"/>
        </w:rPr>
      </w:pPr>
      <w:r>
        <w:rPr>
          <w:rStyle w:val="1"/>
        </w:rPr>
        <w:t xml:space="preserve">1.º Incidencia en el ámbito familiar-privado.</w:t>
      </w:r>
    </w:p>
    <w:p>
      <w:pPr>
        <w:pStyle w:val="0"/>
        <w:suppressAutoHyphens w:val="false"/>
        <w:rPr>
          <w:rStyle w:val="1"/>
        </w:rPr>
      </w:pPr>
      <w:r>
        <w:rPr>
          <w:rStyle w:val="1"/>
        </w:rPr>
        <w:t xml:space="preserve">2.º Incidencia en el ámbito organizacional y gobernanza.</w:t>
      </w:r>
    </w:p>
    <w:p>
      <w:pPr>
        <w:pStyle w:val="0"/>
        <w:suppressAutoHyphens w:val="false"/>
        <w:rPr>
          <w:rStyle w:val="1"/>
        </w:rPr>
      </w:pPr>
      <w:r>
        <w:rPr>
          <w:rStyle w:val="1"/>
        </w:rPr>
        <w:t xml:space="preserve">3.º Incidencia en el ámbito institucional.</w:t>
      </w:r>
    </w:p>
    <w:p>
      <w:pPr>
        <w:pStyle w:val="0"/>
        <w:suppressAutoHyphens w:val="false"/>
        <w:rPr>
          <w:rStyle w:val="1"/>
        </w:rPr>
      </w:pPr>
      <w:r>
        <w:rPr>
          <w:rStyle w:val="1"/>
        </w:rPr>
        <w:t xml:space="preserve">– Consolidar el impulso de las políticas y acciones para una igualdad efectiva y real entre hombres y mujeres continuando la senda de incremento de presupuesto que materializa el compromiso para el desarrollo de la Ley Foral 14/2015, de 10 de abril, para actuar contra la violencia hacia las mujeres, Ley Foral 8/2017, de 19 de junio, para la igualdad social de las personas LGTBI+ y la Ley Foral 17/2019, de 4 de abril, de igualdad entre mujeres y hombres.</w:t>
      </w:r>
    </w:p>
    <w:p>
      <w:pPr>
        <w:pStyle w:val="0"/>
        <w:suppressAutoHyphens w:val="false"/>
        <w:rPr>
          <w:rStyle w:val="1"/>
        </w:rPr>
      </w:pPr>
      <w:r>
        <w:rPr>
          <w:rStyle w:val="1"/>
        </w:rPr>
        <w:t xml:space="preserve">– Continuar transitando en políticas interseccionales y transversales, consolidándolas en los diferentes departamentos de la mano de las unidades de igualdad y las diferentes comisiones intradepartamentales.</w:t>
      </w:r>
    </w:p>
    <w:p>
      <w:pPr>
        <w:pStyle w:val="0"/>
        <w:suppressAutoHyphens w:val="false"/>
        <w:rPr>
          <w:rStyle w:val="1"/>
        </w:rPr>
      </w:pPr>
      <w:r>
        <w:rPr>
          <w:rStyle w:val="1"/>
        </w:rPr>
        <w:t xml:space="preserve">– Mantener el acompañamiento y la coordinación con las entidades locales para el desarrollo de políticas públicas de igualdad, incidiendo en la elaboración del decreto foral para la creación de la Comisión para la Coordinación de la Administración de la Comunidad Foral de Navarra y las entidades locales de Navarra en materia de igualdad entre mujeres y hombres, recogido en la Ley Foral 17/2019, como órgano encargado de la coordinación de las políticas y programas que, en materia de igualdad de mujeres y hombres, desarrollen la administración autonómica y la local. Dicho proyecto de decreto foral pretende, asimismo, regular las funciones, composición y régimen de funcionamiento de la citada comisión para la coordinación.</w:t>
      </w:r>
    </w:p>
    <w:p>
      <w:pPr>
        <w:pStyle w:val="0"/>
        <w:suppressAutoHyphens w:val="false"/>
        <w:rPr>
          <w:rStyle w:val="1"/>
        </w:rPr>
      </w:pPr>
      <w:r>
        <w:rPr>
          <w:rStyle w:val="1"/>
        </w:rPr>
        <w:t xml:space="preserve">– Continuar garantizando los programas de empoderamiento y participación social y política de las mujeres, a través de la difusión y sensibilización de la sociedad navarra sobre la importancia de esta participación para la consecución de la igualdad real, así como la promoción de la presencia y participación de las mujeres en las organizaciones políticas y sindicales de la Comunidad Foral de Navarra y el apoyo y promoción de la presencia y participación de las mujeres en el tejido asociativo navarro.</w:t>
      </w:r>
    </w:p>
    <w:p>
      <w:pPr>
        <w:pStyle w:val="0"/>
        <w:suppressAutoHyphens w:val="false"/>
        <w:rPr>
          <w:rStyle w:val="1"/>
        </w:rPr>
      </w:pPr>
      <w:r>
        <w:rPr>
          <w:rStyle w:val="1"/>
        </w:rPr>
        <w:t xml:space="preserve">– Acompañar y asesorar a entidades locales para que transiten del Programa de Pactos Locales por la Conciliación, al Programa de Pactos Locales por los Cuidados con la suficiente financiación, así como acompañar y asesorar a todas aquellas entidades y organismos que se quieran adherir al Pacto Foral por los Cuidados.</w:t>
      </w:r>
    </w:p>
    <w:p>
      <w:pPr>
        <w:pStyle w:val="0"/>
        <w:suppressAutoHyphens w:val="false"/>
        <w:rPr>
          <w:rStyle w:val="1"/>
          <w:b w:val="true"/>
        </w:rPr>
      </w:pPr>
      <w:r>
        <w:rPr>
          <w:rStyle w:val="1"/>
          <w:b w:val="true"/>
        </w:rPr>
        <w:t xml:space="preserve">Séptima.</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 Impulsar a la mayor brevedad y de una manera decidida, la revisión pendiente de todos los homenajes, reconocimientos y condecoraciones dadas por las instituciones navarras a dirigentes y a todos aquellos que colaboraron y obtuvieron ventajas económicas significativas o de otra índole por sus apoyo o sostenimiento del régimen franquista.</w:t>
      </w:r>
    </w:p>
    <w:p>
      <w:pPr>
        <w:pStyle w:val="0"/>
        <w:suppressAutoHyphens w:val="false"/>
        <w:rPr>
          <w:rStyle w:val="1"/>
        </w:rPr>
      </w:pPr>
      <w:r>
        <w:rPr>
          <w:rStyle w:val="1"/>
        </w:rPr>
        <w:t xml:space="preserve">– Realizar cuantos movimientos políticos sean oportunos para que el Monumento a los Caídos, el segundo mayor monumento franquista del Estado, sea incluido dentro del inventario especificado en la Ley de Memoria Democrática para su descatalogación como monumento protegido.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