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noviembre 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manifiesta su firme compromiso y apoyo a la transferencia de tráfico enmarcada en la LORAFNA”.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noviembre 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