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  <w:spacing w:val="1.919"/>
        </w:rPr>
      </w:pPr>
      <w:r>
        <w:rPr>
          <w:b w:val="true"/>
          <w:rFonts w:ascii="Helvetica LT Std" w:cs="Helvetica LT Std" w:eastAsia="Helvetica LT Std" w:hAnsi="Helvetica LT Std"/>
          <w:spacing w:val="1.919"/>
        </w:rPr>
        <w:t xml:space="preserve">1.º</w:t>
      </w:r>
      <w:r>
        <w:rPr>
          <w:rFonts w:ascii="Helvetica LT Std" w:cs="Helvetica LT Std" w:eastAsia="Helvetica LT Std" w:hAnsi="Helvetica LT Std"/>
          <w:spacing w:val="1.919"/>
        </w:rPr>
        <w:t xml:space="preserve"> Admitir a trámite la pregunta sobre si, desde la aprobación del Plan de Discapacidad de Navarra 2019-2025, se han incrementado y repuesto los recursos técnicos y los productos de apoyo en el aula para el alumnado con necesidades específicas derivadas de una discapacidad,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 al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incrementado y repuesto los recursos técnicos y los productos de apoyo en el aula para el alumnado con necesidades específicas derivadas de una discapacidad?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12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