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creado algún protocolo o procedimiento de actuación específico para la prevención, intervención y seguimiento de los casos de </w:t>
      </w:r>
      <w:r>
        <w:rPr>
          <w:i w:val="true"/>
          <w:rFonts w:ascii="Helvetica LT Std" w:cs="Helvetica LT Std" w:eastAsia="Helvetica LT Std" w:hAnsi="Helvetica LT Std"/>
        </w:rPr>
        <w:t xml:space="preserve">bullying</w:t>
      </w:r>
      <w:r>
        <w:rPr>
          <w:rFonts w:ascii="Helvetica LT Std" w:cs="Helvetica LT Std" w:eastAsia="Helvetica LT Std" w:hAnsi="Helvetica LT Std"/>
        </w:rPr>
        <w:t xml:space="preserve"> y acoso escolar en el alumnado con necesidades educativas especiales derivadas de una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creado algún protocolo o procedimiento de actuación específico para la prevención, intervención y seguimiento de los casos de </w:t>
      </w:r>
      <w:r>
        <w:rPr>
          <w:rStyle w:val="1"/>
          <w:i w:val="true"/>
        </w:rPr>
        <w:t xml:space="preserve">bullying</w:t>
      </w:r>
      <w:r>
        <w:rPr>
          <w:rStyle w:val="1"/>
        </w:rPr>
        <w:t xml:space="preserve"> y acoso escolar en el alumnado con necesidades educativas especiales derivadas de una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De ser así, ¿se ha tenido en cuenta la situación diferenciada de las alumnas con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¿De qué manera?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