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</w:t>
        <w:softHyphen/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softHyphen/>
        <w:t xml:space="preserve">tzea Jorge Esparza Garrido jaunak aurkezturiko galdera, jakiteko ea, Nafarroako 2019-2025 Desgaitasun Plana one</w:t>
        <w:softHyphen/>
        <w:t xml:space="preserve">tsi zenetik, desgaitasun baten ondorioz HPBak dituzten ikasleendako prestakun</w:t>
        <w:softHyphen/>
        <w:t xml:space="preserve">tza eta orientazioko banakako ibilbideak garatu diren DBHn eta derrigorrezkoaren ondoko hezkun</w:t>
        <w:softHyphen/>
        <w:t xml:space="preserve">tzara iragatean, curriculum bereziko unitateak ahalik eta gehien murrizteko eta hezkun</w:t>
        <w:softHyphen/>
        <w:t xml:space="preserve">tza sisteman gera</w:t>
        <w:softHyphen/>
        <w:t xml:space="preserve">tzea berma</w:t>
        <w:softHyphen/>
        <w:t xml:space="preserve">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</w:t>
        <w:softHyphen/>
        <w:t xml:space="preserve">tzarraren Erregelamenduan ezarritakoaren babesean, galdera hauek aurkezten ditu, ida</w:t>
        <w:softHyphen/>
        <w:t xml:space="preserve">tziz eran</w:t>
        <w:softHyphen/>
        <w:t xml:space="preserve">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</w:t>
        <w:softHyphen/>
        <w:t xml:space="preserve">tsi zenetik, garatu al dira desgaitasun baten ondorioz HPBak dituzten ikasleendako prestakun</w:t>
        <w:softHyphen/>
        <w:t xml:space="preserve">tza eta orientazioko banakako ibilbideak garatu diren DBHn eta derrigorrezkoaren ondoko hezkun</w:t>
        <w:softHyphen/>
        <w:t xml:space="preserve">tzara iragatean, curriculum bereziko unitateak ahalik eta gehien murrizteko eta hezkun</w:t>
        <w:softHyphen/>
        <w:t xml:space="preserve">tza sisteman gera</w:t>
        <w:softHyphen/>
        <w:t xml:space="preserve">tzea berma</w:t>
        <w:softHyphen/>
        <w:t xml:space="preserve">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Zer emai</w:t>
        <w:softHyphen/>
        <w:t xml:space="preserve">tza izan dituzte ibilbide horiek?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