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desgaitasunak dituzten per</w:t>
        <w:softHyphen/>
        <w:t xml:space="preserve">tsonak kontrata</w:t>
        <w:softHyphen/>
        <w:t xml:space="preserve">tzeko pizgarriak berrikusi eta aztertu diren haien eragina azter</w:t>
        <w:softHyphen/>
        <w:t xml:space="preserve">tzeko, bereziki desgaitasun motaren, sexuaren eta adin-taldeen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tzarraren Erregelamenduan ezarritakoaren babesean, galdera hauek aurkezten ditu, ida</w:t>
        <w:softHyphen/>
        <w:t xml:space="preserve">tziz eran</w:t>
        <w:softHyphen/>
        <w:t xml:space="preserve">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berrikusi eta aztertu al dira desgaitasunak dituzten per</w:t>
        <w:softHyphen/>
        <w:t xml:space="preserve">tsonak kontrata</w:t>
        <w:softHyphen/>
        <w:t xml:space="preserve">tzeko pizgarriak, haien eragina azter</w:t>
        <w:softHyphen/>
        <w:t xml:space="preserve">tzeko, bereziki desgaitasun motaren, sexuaren eta adin-taldeen arabera? 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