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abiarazi den prestakun</w:t>
        <w:softHyphen/>
        <w:t xml:space="preserve">tza eta aholkulari</w:t>
        <w:softHyphen/>
        <w:t xml:space="preserve">tzarik hezkun</w:t>
        <w:softHyphen/>
        <w:t xml:space="preserve">tzako langileen</w:t>
        <w:softHyphen/>
        <w:t xml:space="preserve">tzat, desgaitasuna duten emakumeen eta nesken behar espezifikoei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</w:t>
        <w:softHyphen/>
        <w:t xml:space="preserve">tsi zenetik, abiarazi al da prestakun</w:t>
        <w:softHyphen/>
        <w:t xml:space="preserve">tza eta aholkulari</w:t>
        <w:softHyphen/>
        <w:t xml:space="preserve">tzarik hezkun</w:t>
        <w:softHyphen/>
        <w:t xml:space="preserve">tzako langileen</w:t>
        <w:softHyphen/>
        <w:t xml:space="preserve">tzat, desgaitasuna duten emakumeen eta nesken behar espezifikoei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