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desgaitasun baten ondorioz HPBak dituzten ikasleendako aniztasunaren detekzio eta arretaren jarduketa berezirik diseinatu den hezkun</w:t>
        <w:softHyphen/>
        <w:t xml:space="preserve">tzako maila guztietan.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tzarraren Erregelamenduan ezarritakoaren babesean, galdera hauek aurkezten ditu, ida</w:t>
        <w:softHyphen/>
        <w:t xml:space="preserve">tziz eran</w:t>
        <w:softHyphen/>
        <w:t xml:space="preserve">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diseinatu al da desgaitasun baten ondorioz HPBak dituzten ikasleendako lagun</w:t>
        <w:softHyphen/>
        <w:t xml:space="preserve">tza egoki</w:t>
        <w:softHyphen/>
        <w:t xml:space="preserve">tzeko eta hobe</w:t>
        <w:softHyphen/>
        <w:t xml:space="preserve">tzeko plan berezirik Bigarren Hezkun</w:t>
        <w:softHyphen/>
        <w:t xml:space="preserve">tzako institutu bakoi</w:t>
        <w:softHyphen/>
        <w:t xml:space="preserve">tzean?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