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  <w:spacing w:val="1.919"/>
        </w:rPr>
      </w:pPr>
      <w:r>
        <w:rPr>
          <w:b w:val="true"/>
          <w:rFonts w:ascii="Helvetica LT Std" w:cs="Helvetica LT Std" w:eastAsia="Helvetica LT Std" w:hAnsi="Helvetica LT Std"/>
          <w:spacing w:val="1.919"/>
        </w:rPr>
        <w:t xml:space="preserve">1.º</w:t>
      </w:r>
      <w:r>
        <w:rPr>
          <w:rFonts w:ascii="Helvetica LT Std" w:cs="Helvetica LT Std" w:eastAsia="Helvetica LT Std" w:hAnsi="Helvetica LT Std"/>
          <w:spacing w:val="1.919"/>
        </w:rPr>
        <w:t xml:space="preserve"> Admitir a trámite la pregunta sobre si, desde la aprobación del Plan de Discapacidad de Navarra 2019-2025, se han desarrollado programas de formación sobre cultura, deporte y ocio inclusivo para personal técnico, personal de centros culturales, museos, salas de exposiciones, bibliotecas, funcionariado del ámbito cultura, etc.,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desarrollado programas de formación sobre cultura, deporte y ocio inclusivo para personal técnico, personal de centros culturales, museos, salas de exposiciones, bibliotecas, funcionariado del ámbito cultura, etc.?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¿Cuáles, con qué presupuesto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