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A86A7" w14:textId="77777777" w:rsidR="00A71E9D" w:rsidRDefault="007C7DC3" w:rsidP="00393E9E">
      <w:pPr>
        <w:spacing w:after="0" w:line="276" w:lineRule="auto"/>
        <w:ind w:left="959" w:right="410"/>
      </w:pPr>
      <w:r>
        <w:t>En relación con la Pregunta escrita (PES-00265) realizada por la Ilma. Sra. D ª. Marta Álvarez Alonso, Parlamentaria Foral adscrito al Grupo Parlamentario de Navarra Suma, en la que se solicita al Gobierno de</w:t>
      </w:r>
    </w:p>
    <w:p w14:paraId="3B41CF66" w14:textId="77777777" w:rsidR="00393E9E" w:rsidRDefault="007C7DC3" w:rsidP="00393E9E">
      <w:pPr>
        <w:spacing w:line="276" w:lineRule="auto"/>
        <w:ind w:left="959" w:right="410"/>
      </w:pPr>
      <w:r>
        <w:t>Navarra la siguiente información:</w:t>
      </w:r>
    </w:p>
    <w:p w14:paraId="280D55A1" w14:textId="1E3D931F" w:rsidR="00A71E9D" w:rsidRDefault="007C7DC3" w:rsidP="00393E9E">
      <w:pPr>
        <w:numPr>
          <w:ilvl w:val="0"/>
          <w:numId w:val="1"/>
        </w:numPr>
        <w:spacing w:after="355" w:line="276" w:lineRule="auto"/>
        <w:ind w:right="0"/>
        <w:jc w:val="left"/>
      </w:pPr>
      <w:r>
        <w:rPr>
          <w:b/>
          <w:sz w:val="20"/>
        </w:rPr>
        <w:t>¿Ha realiza</w:t>
      </w:r>
      <w:r>
        <w:rPr>
          <w:b/>
          <w:sz w:val="20"/>
        </w:rPr>
        <w:t xml:space="preserve">do el Gobierno de Navarra algún informe sobre la </w:t>
      </w:r>
      <w:proofErr w:type="spellStart"/>
      <w:r>
        <w:rPr>
          <w:b/>
          <w:sz w:val="20"/>
        </w:rPr>
        <w:t>brechasalarial</w:t>
      </w:r>
      <w:proofErr w:type="spellEnd"/>
      <w:r>
        <w:rPr>
          <w:b/>
          <w:sz w:val="20"/>
        </w:rPr>
        <w:t xml:space="preserve"> entre mujeres y hombres en el año 2021? </w:t>
      </w:r>
    </w:p>
    <w:p w14:paraId="229AB69D" w14:textId="77777777" w:rsidR="00A71E9D" w:rsidRDefault="007C7DC3" w:rsidP="00393E9E">
      <w:pPr>
        <w:spacing w:after="355" w:line="276" w:lineRule="auto"/>
        <w:ind w:left="959" w:right="0"/>
        <w:jc w:val="left"/>
      </w:pPr>
      <w:r>
        <w:rPr>
          <w:b/>
          <w:sz w:val="20"/>
        </w:rPr>
        <w:t xml:space="preserve">De ser así, se solicita que se remita dicho informe. </w:t>
      </w:r>
    </w:p>
    <w:p w14:paraId="245C768F" w14:textId="77777777" w:rsidR="00A71E9D" w:rsidRDefault="007C7DC3" w:rsidP="00393E9E">
      <w:pPr>
        <w:numPr>
          <w:ilvl w:val="0"/>
          <w:numId w:val="1"/>
        </w:numPr>
        <w:spacing w:after="536" w:line="276" w:lineRule="auto"/>
        <w:ind w:right="0"/>
        <w:jc w:val="left"/>
      </w:pPr>
      <w:r>
        <w:rPr>
          <w:b/>
          <w:sz w:val="20"/>
        </w:rPr>
        <w:t xml:space="preserve">De no ser así, ¿tiene intención de elaborar alguno durante este </w:t>
      </w:r>
      <w:proofErr w:type="spellStart"/>
      <w:r>
        <w:rPr>
          <w:b/>
          <w:sz w:val="20"/>
        </w:rPr>
        <w:t>año2022</w:t>
      </w:r>
      <w:proofErr w:type="spellEnd"/>
      <w:r>
        <w:rPr>
          <w:b/>
          <w:sz w:val="20"/>
        </w:rPr>
        <w:t xml:space="preserve">? </w:t>
      </w:r>
    </w:p>
    <w:p w14:paraId="0A3D1768" w14:textId="77777777" w:rsidR="00A71E9D" w:rsidRDefault="007C7DC3" w:rsidP="00393E9E">
      <w:pPr>
        <w:spacing w:after="512" w:line="276" w:lineRule="auto"/>
        <w:ind w:left="959" w:right="410"/>
      </w:pPr>
      <w:r>
        <w:t>Se conoce como brecha s</w:t>
      </w:r>
      <w:r>
        <w:t>alarial entre mujeres y hombres a la diferencia existente entre los salarios percibidos por los trabajadores de ambos sexos.</w:t>
      </w:r>
    </w:p>
    <w:p w14:paraId="64B7A0E2" w14:textId="77777777" w:rsidR="00A71E9D" w:rsidRDefault="007C7DC3" w:rsidP="00393E9E">
      <w:pPr>
        <w:spacing w:line="276" w:lineRule="auto"/>
        <w:ind w:left="959" w:right="410"/>
      </w:pPr>
      <w:r>
        <w:t>La brecha salarial entre mujeres y hombres se constituye como una</w:t>
      </w:r>
    </w:p>
    <w:p w14:paraId="73A3EF77" w14:textId="77777777" w:rsidR="00A71E9D" w:rsidRDefault="007C7DC3" w:rsidP="00393E9E">
      <w:pPr>
        <w:spacing w:after="0" w:line="276" w:lineRule="auto"/>
        <w:ind w:left="959" w:right="410"/>
      </w:pPr>
      <w:r>
        <w:t>cuestión compleja en el que participan diversas causas, como pued</w:t>
      </w:r>
      <w:r>
        <w:t>e ser la discriminación en el lugar de trabajo, los diferentes empleos y sectores, donde se ubica cada género mayoritariamente, o la conciliación de la vida laboral y familiar entre otros aspectos que además y a menudo, se</w:t>
      </w:r>
    </w:p>
    <w:p w14:paraId="7326A19D" w14:textId="77777777" w:rsidR="00A71E9D" w:rsidRDefault="007C7DC3" w:rsidP="00393E9E">
      <w:pPr>
        <w:spacing w:line="276" w:lineRule="auto"/>
        <w:ind w:left="959" w:right="410"/>
      </w:pPr>
      <w:r>
        <w:t>encuentran interrelacionados. Pos</w:t>
      </w:r>
      <w:r>
        <w:t>iblemente y, con mayor dificultad, ligado a lo anterior, son los procesos de promoción laboral, todavía favorables (por diferentes cuestiones) a la población masculina, los que más inciden en las brechas en empresas y sectores.</w:t>
      </w:r>
    </w:p>
    <w:p w14:paraId="2C12E7C4" w14:textId="77777777" w:rsidR="00A71E9D" w:rsidRDefault="007C7DC3" w:rsidP="00393E9E">
      <w:pPr>
        <w:spacing w:line="276" w:lineRule="auto"/>
        <w:ind w:left="959" w:right="410"/>
      </w:pPr>
      <w:r>
        <w:t>Su observación y análisis de</w:t>
      </w:r>
      <w:r>
        <w:t>sde una perspectiva transversal, proporciona</w:t>
      </w:r>
    </w:p>
    <w:p w14:paraId="6C521B0C" w14:textId="77777777" w:rsidR="00A71E9D" w:rsidRDefault="007C7DC3" w:rsidP="00393E9E">
      <w:pPr>
        <w:spacing w:line="276" w:lineRule="auto"/>
        <w:ind w:left="959" w:right="410"/>
      </w:pPr>
      <w:r>
        <w:t>conocimiento e instrumentos que facilitan el diseño de medidas</w:t>
      </w:r>
    </w:p>
    <w:p w14:paraId="24E49B30" w14:textId="0CA264AA" w:rsidR="00A71E9D" w:rsidRDefault="007C7DC3" w:rsidP="00393E9E">
      <w:pPr>
        <w:spacing w:after="512" w:line="276" w:lineRule="auto"/>
        <w:ind w:left="959" w:right="410"/>
      </w:pPr>
      <w:r>
        <w:t xml:space="preserve">encaminadas en el avance en la lucha contra la pobreza. </w:t>
      </w:r>
      <w:r w:rsidR="00393E9E">
        <w:t>Así,</w:t>
      </w:r>
      <w:r>
        <w:t xml:space="preserve"> por ejemplo, procede señalarle los siguientes informes elaborados desde el Gobierno de Navarra:</w:t>
      </w:r>
    </w:p>
    <w:p w14:paraId="712255C7" w14:textId="0FA2F934" w:rsidR="00A71E9D" w:rsidRDefault="007C7DC3" w:rsidP="00393E9E">
      <w:pPr>
        <w:spacing w:after="512" w:line="276" w:lineRule="auto"/>
        <w:ind w:left="959" w:right="410"/>
      </w:pPr>
      <w:r>
        <w:t xml:space="preserve">El Instituto Navarro para la Igualdad/ </w:t>
      </w:r>
      <w:proofErr w:type="spellStart"/>
      <w:r>
        <w:t>Nafarroako</w:t>
      </w:r>
      <w:proofErr w:type="spellEnd"/>
      <w:r>
        <w:t xml:space="preserve"> </w:t>
      </w:r>
      <w:proofErr w:type="spellStart"/>
      <w:r>
        <w:t>Berdintasunerako</w:t>
      </w:r>
      <w:proofErr w:type="spellEnd"/>
      <w:r>
        <w:t xml:space="preserve"> </w:t>
      </w:r>
      <w:proofErr w:type="spellStart"/>
      <w:r>
        <w:t>Institutua</w:t>
      </w:r>
      <w:proofErr w:type="spellEnd"/>
      <w:r>
        <w:t xml:space="preserve"> (INAI / NABI) está lle</w:t>
      </w:r>
      <w:r>
        <w:t xml:space="preserve">vando a cabo </w:t>
      </w:r>
      <w:r w:rsidR="00393E9E">
        <w:t>un análisis</w:t>
      </w:r>
      <w:r>
        <w:t xml:space="preserve"> cuantitativo sobre igualdad entre mujeres y hombres en la Administración de la Comunidad Foral de Navarra y sus OOAA, en donde se abordará las principales brechas de género en el ámbito laboral dentro de la Administración. El cita</w:t>
      </w:r>
      <w:r>
        <w:t xml:space="preserve">do estudio, se prevé finalice </w:t>
      </w:r>
      <w:proofErr w:type="spellStart"/>
      <w:r>
        <w:t>proximamente</w:t>
      </w:r>
      <w:proofErr w:type="spellEnd"/>
      <w:r>
        <w:t>.</w:t>
      </w:r>
    </w:p>
    <w:p w14:paraId="4D41AF39" w14:textId="77777777" w:rsidR="00A71E9D" w:rsidRDefault="007C7DC3" w:rsidP="00393E9E">
      <w:pPr>
        <w:spacing w:after="0" w:line="276" w:lineRule="auto"/>
        <w:ind w:left="959" w:right="410"/>
      </w:pPr>
      <w:r>
        <w:t>Desde la dirección general de Función Pública, anualmente se elabora información sobre el número total de personas al servicio de la Administración de la Comunidad Foral de Navarra y sus organismos</w:t>
      </w:r>
    </w:p>
    <w:p w14:paraId="6BEC0854" w14:textId="77777777" w:rsidR="00A71E9D" w:rsidRDefault="007C7DC3" w:rsidP="00393E9E">
      <w:pPr>
        <w:spacing w:after="264" w:line="276" w:lineRule="auto"/>
        <w:ind w:left="959" w:right="410"/>
      </w:pPr>
      <w:r>
        <w:t>autónomos, por</w:t>
      </w:r>
      <w:r>
        <w:t xml:space="preserve"> nivel, grupo de estamento, tramos de retribuciones, sexo y tramos de edad, para su publicación en la página Gobierno Abierto. Puede encontrar la información en el siguiente enlace:</w:t>
      </w:r>
    </w:p>
    <w:p w14:paraId="59086A90" w14:textId="77777777" w:rsidR="00A71E9D" w:rsidRDefault="007C7DC3" w:rsidP="00393E9E">
      <w:pPr>
        <w:spacing w:after="0" w:line="276" w:lineRule="auto"/>
        <w:ind w:left="964" w:right="0" w:firstLine="0"/>
        <w:jc w:val="left"/>
      </w:pPr>
      <w:hyperlink r:id="rId7">
        <w:r>
          <w:rPr>
            <w:rFonts w:ascii="Arial" w:eastAsia="Arial" w:hAnsi="Arial" w:cs="Arial"/>
            <w:color w:val="0000FF"/>
            <w:sz w:val="24"/>
            <w:u w:val="single" w:color="0000FF"/>
          </w:rPr>
          <w:t>https://gobiernoabierto.navarra.es/es/transparencia/retribuciones-empleados</w:t>
        </w:r>
      </w:hyperlink>
      <w:hyperlink r:id="rId8">
        <w:r>
          <w:rPr>
            <w:rFonts w:ascii="Arial" w:eastAsia="Arial" w:hAnsi="Arial" w:cs="Arial"/>
            <w:color w:val="0000FF"/>
            <w:sz w:val="24"/>
            <w:u w:val="single" w:color="0000FF"/>
          </w:rPr>
          <w:t>publicos</w:t>
        </w:r>
      </w:hyperlink>
    </w:p>
    <w:p w14:paraId="32ECED75" w14:textId="32F11DC1" w:rsidR="00A71E9D" w:rsidRDefault="007C7DC3" w:rsidP="00393E9E">
      <w:pPr>
        <w:spacing w:after="512" w:line="276" w:lineRule="auto"/>
        <w:ind w:left="959" w:right="410"/>
      </w:pPr>
      <w:r>
        <w:t xml:space="preserve">Asimismo, el Observatorio de la Realidad Social, elaboró </w:t>
      </w:r>
      <w:r w:rsidR="00393E9E">
        <w:t>un estudio</w:t>
      </w:r>
      <w:r>
        <w:t xml:space="preserve"> donde se analizan las desigualdades territoriales incluyendo la brecha salarial entre hombres y mujeres en las diferentes zonas de Navarra. El estudio se den</w:t>
      </w:r>
      <w:r>
        <w:t xml:space="preserve">omina “¿Existe una Navarra periférica? Desequilibrios territoriales en Navarra. </w:t>
      </w:r>
    </w:p>
    <w:p w14:paraId="465E5E7F" w14:textId="77777777" w:rsidR="00A71E9D" w:rsidRDefault="007C7DC3" w:rsidP="00393E9E">
      <w:pPr>
        <w:spacing w:after="499" w:line="276" w:lineRule="auto"/>
        <w:ind w:left="959" w:right="410"/>
      </w:pPr>
      <w:r>
        <w:t>El estudio puede descargarse en el siguiente enlace:</w:t>
      </w:r>
    </w:p>
    <w:p w14:paraId="2D82146B" w14:textId="77777777" w:rsidR="00393E9E" w:rsidRDefault="007C7DC3" w:rsidP="00393E9E">
      <w:pPr>
        <w:spacing w:after="32" w:line="276" w:lineRule="auto"/>
        <w:ind w:left="957" w:right="0" w:hanging="8"/>
        <w:jc w:val="left"/>
      </w:pPr>
      <w:hyperlink r:id="rId9">
        <w:r>
          <w:rPr>
            <w:color w:val="0000FF"/>
            <w:u w:val="single" w:color="0000FF"/>
          </w:rPr>
          <w:t>https://www.observatoriorealidadsocial.es/es/estudios/existe-una-navarra</w:t>
        </w:r>
      </w:hyperlink>
      <w:hyperlink r:id="rId10">
        <w:r>
          <w:rPr>
            <w:color w:val="0000FF"/>
            <w:u w:val="single" w:color="0000FF"/>
          </w:rPr>
          <w:t xml:space="preserve"> </w:t>
        </w:r>
      </w:hyperlink>
      <w:hyperlink r:id="rId11">
        <w:proofErr w:type="spellStart"/>
        <w:r>
          <w:rPr>
            <w:color w:val="0000FF"/>
            <w:u w:val="single" w:color="0000FF"/>
          </w:rPr>
          <w:t>periferica</w:t>
        </w:r>
        <w:proofErr w:type="spellEnd"/>
        <w:r>
          <w:rPr>
            <w:color w:val="0000FF"/>
            <w:u w:val="single" w:color="0000FF"/>
          </w:rPr>
          <w:t>-desequilibrios-territoriales-en-navarra/es-576487/</w:t>
        </w:r>
      </w:hyperlink>
      <w:hyperlink r:id="rId12">
        <w:r>
          <w:rPr>
            <w:color w:val="0000FF"/>
            <w:u w:val="single" w:color="0000FF"/>
          </w:rPr>
          <w:t xml:space="preserve"> </w:t>
        </w:r>
      </w:hyperlink>
      <w:hyperlink r:id="rId13">
        <w:r>
          <w:rPr>
            <w:color w:val="0000FF"/>
            <w:sz w:val="24"/>
            <w:u w:val="single" w:color="0000FF"/>
          </w:rPr>
          <w:t xml:space="preserve"> </w:t>
        </w:r>
      </w:hyperlink>
    </w:p>
    <w:p w14:paraId="5A25C641" w14:textId="66BE4C4D" w:rsidR="00A71E9D" w:rsidRDefault="007C7DC3" w:rsidP="00393E9E">
      <w:pPr>
        <w:spacing w:after="0" w:line="276" w:lineRule="auto"/>
        <w:ind w:left="959" w:right="410"/>
      </w:pPr>
      <w:r>
        <w:t>Por último, el Instituto de Estadíst</w:t>
      </w:r>
      <w:r>
        <w:t xml:space="preserve">ica de Navarra, organismo oficial de </w:t>
      </w:r>
      <w:proofErr w:type="spellStart"/>
      <w:r>
        <w:t>estadítica</w:t>
      </w:r>
      <w:proofErr w:type="spellEnd"/>
      <w:r>
        <w:t xml:space="preserve"> de la Comunidad Foral de Navarra, publicó el pasado 22 de junio la Encuesta Anual de Estructura Salarial en Navarra, cuyo objetivo fundamental es la obtención de estimaciones de la ganancia bruta anual por tr</w:t>
      </w:r>
      <w:r>
        <w:t>abajador clasificada por tipo de jornada, sexo, secciones de la Clasificación Nacional de Actividades Económicas (CNAE-09) y ocupaciones de la Clasificación Nacional de (CNO-11). Dispone de la</w:t>
      </w:r>
    </w:p>
    <w:p w14:paraId="7633847A" w14:textId="77777777" w:rsidR="00A71E9D" w:rsidRDefault="007C7DC3" w:rsidP="00393E9E">
      <w:pPr>
        <w:spacing w:after="743" w:line="276" w:lineRule="auto"/>
        <w:ind w:left="959" w:right="410"/>
      </w:pPr>
      <w:r>
        <w:t>encuesta en el siguiente enlace:</w:t>
      </w:r>
    </w:p>
    <w:p w14:paraId="316E267F" w14:textId="77777777" w:rsidR="00A71E9D" w:rsidRDefault="007C7DC3" w:rsidP="00393E9E">
      <w:pPr>
        <w:spacing w:after="32" w:line="276" w:lineRule="auto"/>
        <w:ind w:left="957" w:right="0" w:hanging="8"/>
        <w:jc w:val="left"/>
      </w:pPr>
      <w:hyperlink r:id="rId14">
        <w:r>
          <w:rPr>
            <w:color w:val="0000FF"/>
            <w:u w:val="single" w:color="0000FF"/>
          </w:rPr>
          <w:t xml:space="preserve">https://nastat.navarra.es/documents/5122306/0/estructura_salarial_nastat.p </w:t>
        </w:r>
      </w:hyperlink>
      <w:hyperlink r:id="rId15">
        <w:proofErr w:type="spellStart"/>
        <w:r>
          <w:rPr>
            <w:color w:val="0000FF"/>
            <w:u w:val="single" w:color="0000FF"/>
          </w:rPr>
          <w:t>df</w:t>
        </w:r>
        <w:proofErr w:type="spellEnd"/>
        <w:r>
          <w:rPr>
            <w:color w:val="0000FF"/>
            <w:u w:val="single" w:color="0000FF"/>
          </w:rPr>
          <w:t>/</w:t>
        </w:r>
        <w:proofErr w:type="spellStart"/>
        <w:r>
          <w:rPr>
            <w:color w:val="0000FF"/>
            <w:u w:val="single" w:color="0000FF"/>
          </w:rPr>
          <w:t>c2f9df60-a4a1-d2f4-5776-9b20b4976145?t</w:t>
        </w:r>
        <w:proofErr w:type="spellEnd"/>
        <w:r>
          <w:rPr>
            <w:color w:val="0000FF"/>
            <w:u w:val="single" w:color="0000FF"/>
          </w:rPr>
          <w:t>=1655888242037</w:t>
        </w:r>
      </w:hyperlink>
    </w:p>
    <w:p w14:paraId="2930441A" w14:textId="313A7638" w:rsidR="00A71E9D" w:rsidRDefault="007C7DC3" w:rsidP="00393E9E">
      <w:pPr>
        <w:spacing w:line="276" w:lineRule="auto"/>
        <w:ind w:left="959" w:right="410"/>
      </w:pPr>
      <w:r>
        <w:t>También se publicó</w:t>
      </w:r>
      <w:r>
        <w:t xml:space="preserve"> (27 de julio de 2022)</w:t>
      </w:r>
      <w:r>
        <w:t xml:space="preserve"> la Encuesta municipal de</w:t>
      </w:r>
      <w:r w:rsidR="00393E9E">
        <w:t xml:space="preserve"> </w:t>
      </w:r>
      <w:r>
        <w:t>estructura</w:t>
      </w:r>
      <w:r>
        <w:tab/>
      </w:r>
      <w:r>
        <w:t>salarial</w:t>
      </w:r>
      <w:r w:rsidR="00393E9E">
        <w:t xml:space="preserve"> </w:t>
      </w:r>
      <w:r>
        <w:t>2020</w:t>
      </w:r>
    </w:p>
    <w:p w14:paraId="3BB1687F" w14:textId="77777777" w:rsidR="00A71E9D" w:rsidRDefault="007C7DC3" w:rsidP="00393E9E">
      <w:pPr>
        <w:spacing w:after="509" w:line="276" w:lineRule="auto"/>
        <w:ind w:left="959" w:right="410"/>
      </w:pPr>
      <w:hyperlink r:id="rId16">
        <w:r>
          <w:t>(</w:t>
        </w:r>
      </w:hyperlink>
      <w:hyperlink r:id="rId17">
        <w:r>
          <w:rPr>
            <w:rFonts w:ascii="Arial" w:eastAsia="Arial" w:hAnsi="Arial" w:cs="Arial"/>
            <w:color w:val="0000FF"/>
            <w:sz w:val="24"/>
            <w:u w:val="single" w:color="0000FF"/>
          </w:rPr>
          <w:t>https://nastat.navarra.es/es/tablas_powerbi/-/tag/estadistica-municipal</w:t>
        </w:r>
      </w:hyperlink>
      <w:hyperlink r:id="rId18">
        <w:r>
          <w:rPr>
            <w:rFonts w:ascii="Arial" w:eastAsia="Arial" w:hAnsi="Arial" w:cs="Arial"/>
            <w:color w:val="0000FF"/>
            <w:sz w:val="24"/>
            <w:u w:val="single" w:color="0000FF"/>
          </w:rPr>
          <w:t>estructura-salarial</w:t>
        </w:r>
      </w:hyperlink>
      <w:hyperlink r:id="rId19">
        <w:r>
          <w:t xml:space="preserve"> </w:t>
        </w:r>
      </w:hyperlink>
      <w:r>
        <w:t>) que contiene por municipio y otras zonificaciones territoriales, las brechas de sexo, nacionalidad, lugar de na</w:t>
      </w:r>
      <w:r>
        <w:t>cimiento, sector económico, grupos de edad y discapacidad.</w:t>
      </w:r>
    </w:p>
    <w:p w14:paraId="1F2065F0" w14:textId="72DBCA8E" w:rsidR="00A71E9D" w:rsidRDefault="007C7DC3" w:rsidP="00393E9E">
      <w:pPr>
        <w:spacing w:line="276" w:lineRule="auto"/>
        <w:ind w:left="959" w:right="410"/>
      </w:pPr>
      <w:r>
        <w:t>Es cuanto tengo el honor de informar en cumplimiento de lo dispuesto en el</w:t>
      </w:r>
      <w:r w:rsidR="00393E9E">
        <w:t xml:space="preserve"> </w:t>
      </w:r>
      <w:r>
        <w:t>artículo 194 del Reglamento del Parlamento de Navarra.</w:t>
      </w:r>
    </w:p>
    <w:p w14:paraId="38F366D4" w14:textId="77777777" w:rsidR="00A71E9D" w:rsidRDefault="007C7DC3" w:rsidP="00393E9E">
      <w:pPr>
        <w:spacing w:after="591" w:line="276" w:lineRule="auto"/>
        <w:ind w:left="560" w:right="3"/>
        <w:jc w:val="center"/>
      </w:pPr>
      <w:r>
        <w:t>Pamplona-</w:t>
      </w:r>
      <w:proofErr w:type="spellStart"/>
      <w:r>
        <w:t>Iruñea</w:t>
      </w:r>
      <w:proofErr w:type="spellEnd"/>
      <w:r>
        <w:t>, 31 de octubre de 2022</w:t>
      </w:r>
    </w:p>
    <w:p w14:paraId="6333C3E4" w14:textId="77777777" w:rsidR="007C7DC3" w:rsidRPr="007C7DC3" w:rsidRDefault="007C7DC3" w:rsidP="007C7DC3">
      <w:pPr>
        <w:spacing w:after="0" w:line="360" w:lineRule="auto"/>
        <w:ind w:left="0" w:right="0" w:firstLine="0"/>
        <w:jc w:val="left"/>
        <w:rPr>
          <w:rFonts w:ascii="Arial" w:hAnsi="Arial" w:cs="Arial"/>
          <w:color w:val="auto"/>
          <w:lang w:val="es-ES_tradnl"/>
        </w:rPr>
      </w:pPr>
      <w:r w:rsidRPr="007C7DC3">
        <w:rPr>
          <w:rFonts w:ascii="Arial" w:hAnsi="Arial" w:cs="Arial"/>
          <w:color w:val="auto"/>
          <w:lang w:val="es-ES_tradnl"/>
        </w:rPr>
        <w:t xml:space="preserve">El Consejero de Presidencia, Igualdad, Función Pública e Interior: Javier </w:t>
      </w:r>
      <w:proofErr w:type="spellStart"/>
      <w:r w:rsidRPr="007C7DC3">
        <w:rPr>
          <w:rFonts w:ascii="Arial" w:hAnsi="Arial" w:cs="Arial"/>
          <w:color w:val="auto"/>
          <w:lang w:val="es-ES_tradnl"/>
        </w:rPr>
        <w:t>Remírez</w:t>
      </w:r>
      <w:proofErr w:type="spellEnd"/>
      <w:r w:rsidRPr="007C7DC3">
        <w:rPr>
          <w:rFonts w:ascii="Arial" w:hAnsi="Arial" w:cs="Arial"/>
          <w:color w:val="auto"/>
          <w:lang w:val="es-ES_tradnl"/>
        </w:rPr>
        <w:t xml:space="preserve"> </w:t>
      </w:r>
      <w:proofErr w:type="spellStart"/>
      <w:r w:rsidRPr="007C7DC3">
        <w:rPr>
          <w:rFonts w:ascii="Arial" w:hAnsi="Arial" w:cs="Arial"/>
          <w:color w:val="auto"/>
          <w:lang w:val="es-ES_tradnl"/>
        </w:rPr>
        <w:t>Apesteguía</w:t>
      </w:r>
      <w:proofErr w:type="spellEnd"/>
    </w:p>
    <w:p w14:paraId="45966E3B" w14:textId="48684534" w:rsidR="00A71E9D" w:rsidRDefault="00A71E9D" w:rsidP="007C7DC3">
      <w:pPr>
        <w:spacing w:line="276" w:lineRule="auto"/>
        <w:ind w:left="1218" w:right="410"/>
      </w:pPr>
    </w:p>
    <w:sectPr w:rsidR="00A71E9D" w:rsidSect="00393E9E">
      <w:headerReference w:type="even" r:id="rId20"/>
      <w:headerReference w:type="first" r:id="rId21"/>
      <w:pgSz w:w="11900" w:h="16840"/>
      <w:pgMar w:top="1135" w:right="1280" w:bottom="2016"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8F7B" w14:textId="77777777" w:rsidR="00000000" w:rsidRDefault="007C7DC3">
      <w:pPr>
        <w:spacing w:after="0" w:line="240" w:lineRule="auto"/>
      </w:pPr>
      <w:r>
        <w:separator/>
      </w:r>
    </w:p>
  </w:endnote>
  <w:endnote w:type="continuationSeparator" w:id="0">
    <w:p w14:paraId="322B9477" w14:textId="77777777" w:rsidR="00000000" w:rsidRDefault="007C7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AA45" w14:textId="77777777" w:rsidR="00000000" w:rsidRDefault="007C7DC3">
      <w:pPr>
        <w:spacing w:after="0" w:line="240" w:lineRule="auto"/>
      </w:pPr>
      <w:r>
        <w:separator/>
      </w:r>
    </w:p>
  </w:footnote>
  <w:footnote w:type="continuationSeparator" w:id="0">
    <w:p w14:paraId="05D81C77" w14:textId="77777777" w:rsidR="00000000" w:rsidRDefault="007C7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3244" w14:textId="77777777" w:rsidR="00A71E9D" w:rsidRDefault="007C7DC3">
    <w:r>
      <w:rPr>
        <w:rFonts w:ascii="Calibri" w:eastAsia="Calibri" w:hAnsi="Calibri" w:cs="Calibri"/>
        <w:noProof/>
      </w:rPr>
      <mc:AlternateContent>
        <mc:Choice Requires="wpg">
          <w:drawing>
            <wp:anchor distT="0" distB="0" distL="114300" distR="114300" simplePos="0" relativeHeight="251658240" behindDoc="1" locked="0" layoutInCell="1" allowOverlap="1" wp14:anchorId="1F8CE89A" wp14:editId="7BC40D3F">
              <wp:simplePos x="0" y="0"/>
              <wp:positionH relativeFrom="page">
                <wp:posOffset>0</wp:posOffset>
              </wp:positionH>
              <wp:positionV relativeFrom="page">
                <wp:posOffset>-1269</wp:posOffset>
              </wp:positionV>
              <wp:extent cx="7560310" cy="1802130"/>
              <wp:effectExtent l="0" t="0" r="0" b="0"/>
              <wp:wrapNone/>
              <wp:docPr id="1696" name="Group 1696"/>
              <wp:cNvGraphicFramePr/>
              <a:graphic xmlns:a="http://schemas.openxmlformats.org/drawingml/2006/main">
                <a:graphicData uri="http://schemas.microsoft.com/office/word/2010/wordprocessingGroup">
                  <wpg:wgp>
                    <wpg:cNvGrpSpPr/>
                    <wpg:grpSpPr>
                      <a:xfrm>
                        <a:off x="0" y="0"/>
                        <a:ext cx="7560310" cy="1802130"/>
                        <a:chOff x="0" y="0"/>
                        <a:chExt cx="7560310" cy="1802130"/>
                      </a:xfrm>
                    </wpg:grpSpPr>
                    <pic:pic xmlns:pic="http://schemas.openxmlformats.org/drawingml/2006/picture">
                      <pic:nvPicPr>
                        <pic:cNvPr id="1697" name="Picture 1697"/>
                        <pic:cNvPicPr/>
                      </pic:nvPicPr>
                      <pic:blipFill>
                        <a:blip r:embed="rId1"/>
                        <a:stretch>
                          <a:fillRect/>
                        </a:stretch>
                      </pic:blipFill>
                      <pic:spPr>
                        <a:xfrm>
                          <a:off x="0" y="0"/>
                          <a:ext cx="7560310" cy="1802130"/>
                        </a:xfrm>
                        <a:prstGeom prst="rect">
                          <a:avLst/>
                        </a:prstGeom>
                      </pic:spPr>
                    </pic:pic>
                  </wpg:wgp>
                </a:graphicData>
              </a:graphic>
            </wp:anchor>
          </w:drawing>
        </mc:Choice>
        <mc:Fallback xmlns:a="http://schemas.openxmlformats.org/drawingml/2006/main">
          <w:pict>
            <v:group id="Group 1696" style="width:595.3pt;height:141.9pt;position:absolute;z-index:-2147483648;mso-position-horizontal-relative:page;mso-position-horizontal:absolute;margin-left:0pt;mso-position-vertical-relative:page;margin-top:-0.100006pt;" coordsize="75603,18021">
              <v:shape id="Picture 1697" style="position:absolute;width:75603;height:18021;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30D0" w14:textId="77777777" w:rsidR="00A71E9D" w:rsidRDefault="007C7DC3">
    <w:r>
      <w:rPr>
        <w:rFonts w:ascii="Calibri" w:eastAsia="Calibri" w:hAnsi="Calibri" w:cs="Calibri"/>
        <w:noProof/>
      </w:rPr>
      <mc:AlternateContent>
        <mc:Choice Requires="wpg">
          <w:drawing>
            <wp:anchor distT="0" distB="0" distL="114300" distR="114300" simplePos="0" relativeHeight="251660288" behindDoc="1" locked="0" layoutInCell="1" allowOverlap="1" wp14:anchorId="536FB2B3" wp14:editId="7F275E0E">
              <wp:simplePos x="0" y="0"/>
              <wp:positionH relativeFrom="page">
                <wp:posOffset>0</wp:posOffset>
              </wp:positionH>
              <wp:positionV relativeFrom="page">
                <wp:posOffset>-1269</wp:posOffset>
              </wp:positionV>
              <wp:extent cx="7560310" cy="1802130"/>
              <wp:effectExtent l="0" t="0" r="0" b="0"/>
              <wp:wrapNone/>
              <wp:docPr id="1690" name="Group 1690"/>
              <wp:cNvGraphicFramePr/>
              <a:graphic xmlns:a="http://schemas.openxmlformats.org/drawingml/2006/main">
                <a:graphicData uri="http://schemas.microsoft.com/office/word/2010/wordprocessingGroup">
                  <wpg:wgp>
                    <wpg:cNvGrpSpPr/>
                    <wpg:grpSpPr>
                      <a:xfrm>
                        <a:off x="0" y="0"/>
                        <a:ext cx="7560310" cy="1802130"/>
                        <a:chOff x="0" y="0"/>
                        <a:chExt cx="7560310" cy="1802130"/>
                      </a:xfrm>
                    </wpg:grpSpPr>
                    <pic:pic xmlns:pic="http://schemas.openxmlformats.org/drawingml/2006/picture">
                      <pic:nvPicPr>
                        <pic:cNvPr id="1691" name="Picture 1691"/>
                        <pic:cNvPicPr/>
                      </pic:nvPicPr>
                      <pic:blipFill>
                        <a:blip r:embed="rId1"/>
                        <a:stretch>
                          <a:fillRect/>
                        </a:stretch>
                      </pic:blipFill>
                      <pic:spPr>
                        <a:xfrm>
                          <a:off x="0" y="0"/>
                          <a:ext cx="7560310" cy="1802130"/>
                        </a:xfrm>
                        <a:prstGeom prst="rect">
                          <a:avLst/>
                        </a:prstGeom>
                      </pic:spPr>
                    </pic:pic>
                  </wpg:wgp>
                </a:graphicData>
              </a:graphic>
            </wp:anchor>
          </w:drawing>
        </mc:Choice>
        <mc:Fallback xmlns:a="http://schemas.openxmlformats.org/drawingml/2006/main">
          <w:pict>
            <v:group id="Group 1690" style="width:595.3pt;height:141.9pt;position:absolute;z-index:-2147483648;mso-position-horizontal-relative:page;mso-position-horizontal:absolute;margin-left:0pt;mso-position-vertical-relative:page;margin-top:-0.100006pt;" coordsize="75603,18021">
              <v:shape id="Picture 1691" style="position:absolute;width:75603;height:18021;left:0;top:0;" filled="f">
                <v:imagedata r:id="rId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75011"/>
    <w:multiLevelType w:val="hybridMultilevel"/>
    <w:tmpl w:val="BED6C432"/>
    <w:lvl w:ilvl="0" w:tplc="5FE8E284">
      <w:start w:val="1"/>
      <w:numFmt w:val="decimal"/>
      <w:lvlText w:val="%1."/>
      <w:lvlJc w:val="left"/>
      <w:pPr>
        <w:ind w:left="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83F36">
      <w:start w:val="1"/>
      <w:numFmt w:val="lowerLetter"/>
      <w:lvlText w:val="%2"/>
      <w:lvlJc w:val="left"/>
      <w:pPr>
        <w:ind w:left="2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EA292A">
      <w:start w:val="1"/>
      <w:numFmt w:val="lowerRoman"/>
      <w:lvlText w:val="%3"/>
      <w:lvlJc w:val="left"/>
      <w:pPr>
        <w:ind w:left="2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28E23A">
      <w:start w:val="1"/>
      <w:numFmt w:val="decimal"/>
      <w:lvlText w:val="%4"/>
      <w:lvlJc w:val="left"/>
      <w:pPr>
        <w:ind w:left="3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F608BA">
      <w:start w:val="1"/>
      <w:numFmt w:val="lowerLetter"/>
      <w:lvlText w:val="%5"/>
      <w:lvlJc w:val="left"/>
      <w:pPr>
        <w:ind w:left="4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88DF80">
      <w:start w:val="1"/>
      <w:numFmt w:val="lowerRoman"/>
      <w:lvlText w:val="%6"/>
      <w:lvlJc w:val="left"/>
      <w:pPr>
        <w:ind w:left="4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1D25704">
      <w:start w:val="1"/>
      <w:numFmt w:val="decimal"/>
      <w:lvlText w:val="%7"/>
      <w:lvlJc w:val="left"/>
      <w:pPr>
        <w:ind w:left="5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0E5A20">
      <w:start w:val="1"/>
      <w:numFmt w:val="lowerLetter"/>
      <w:lvlText w:val="%8"/>
      <w:lvlJc w:val="left"/>
      <w:pPr>
        <w:ind w:left="6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26F232">
      <w:start w:val="1"/>
      <w:numFmt w:val="lowerRoman"/>
      <w:lvlText w:val="%9"/>
      <w:lvlJc w:val="left"/>
      <w:pPr>
        <w:ind w:left="7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82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E9D"/>
    <w:rsid w:val="00393E9E"/>
    <w:rsid w:val="007C7DC3"/>
    <w:rsid w:val="00A71E9D"/>
    <w:rsid w:val="00FA22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5CD5"/>
  <w15:docId w15:val="{6A341154-AB22-4224-B240-CF210FBD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65" w:lineRule="auto"/>
      <w:ind w:left="974" w:right="423" w:hanging="10"/>
      <w:jc w:val="both"/>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93E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3E9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obiernoabierto.navarra.es/es/transparencia/retribuciones-empleados-publicos" TargetMode="External"/><Relationship Id="rId13" Type="http://schemas.openxmlformats.org/officeDocument/2006/relationships/hyperlink" Target="https://www.observatoriorealidadsocial.es/es/estudios/existe-una-navarra-periferica-desequilibrios-territoriales-en-navarra/es-576487/" TargetMode="External"/><Relationship Id="rId18" Type="http://schemas.openxmlformats.org/officeDocument/2006/relationships/hyperlink" Target="https://nastat.navarra.es/es/tablas_powerbi/-/tag/estadistica-municipal-estructura-salarial"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gobiernoabierto.navarra.es/es/transparencia/retribuciones-empleados-publicos" TargetMode="External"/><Relationship Id="rId12" Type="http://schemas.openxmlformats.org/officeDocument/2006/relationships/hyperlink" Target="https://www.observatoriorealidadsocial.es/es/estudios/existe-una-navarra-periferica-desequilibrios-territoriales-en-navarra/es-576487/" TargetMode="External"/><Relationship Id="rId17" Type="http://schemas.openxmlformats.org/officeDocument/2006/relationships/hyperlink" Target="https://nastat.navarra.es/es/tablas_powerbi/-/tag/estadistica-municipal-estructura-salarial" TargetMode="External"/><Relationship Id="rId2" Type="http://schemas.openxmlformats.org/officeDocument/2006/relationships/styles" Target="styles.xml"/><Relationship Id="rId16" Type="http://schemas.openxmlformats.org/officeDocument/2006/relationships/hyperlink" Target="https://nastat.navarra.es/es/tablas_powerbi/-/tag/estadistica-municipal-estructura-salaria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bservatoriorealidadsocial.es/es/estudios/existe-una-navarra-periferica-desequilibrios-territoriales-en-navarra/es-576487/" TargetMode="External"/><Relationship Id="rId5" Type="http://schemas.openxmlformats.org/officeDocument/2006/relationships/footnotes" Target="footnotes.xml"/><Relationship Id="rId15" Type="http://schemas.openxmlformats.org/officeDocument/2006/relationships/hyperlink" Target="https://nastat.navarra.es/documents/5122306/0/estructura_salarial_nastat.pdf/c2f9df60-a4a1-d2f4-5776-9b20b4976145?t=1655888242037" TargetMode="External"/><Relationship Id="rId23" Type="http://schemas.openxmlformats.org/officeDocument/2006/relationships/theme" Target="theme/theme1.xml"/><Relationship Id="rId10" Type="http://schemas.openxmlformats.org/officeDocument/2006/relationships/hyperlink" Target="https://www.observatoriorealidadsocial.es/es/estudios/existe-una-navarra-periferica-desequilibrios-territoriales-en-navarra/es-576487/" TargetMode="External"/><Relationship Id="rId19" Type="http://schemas.openxmlformats.org/officeDocument/2006/relationships/hyperlink" Target="https://nastat.navarra.es/es/tablas_powerbi/-/tag/estadistica-municipal-estructura-salarial" TargetMode="External"/><Relationship Id="rId4" Type="http://schemas.openxmlformats.org/officeDocument/2006/relationships/webSettings" Target="webSettings.xml"/><Relationship Id="rId9" Type="http://schemas.openxmlformats.org/officeDocument/2006/relationships/hyperlink" Target="https://www.observatoriorealidadsocial.es/es/estudios/existe-una-navarra-periferica-desequilibrios-territoriales-en-navarra/es-576487/" TargetMode="External"/><Relationship Id="rId14" Type="http://schemas.openxmlformats.org/officeDocument/2006/relationships/hyperlink" Target="https://nastat.navarra.es/documents/5122306/0/estructura_salarial_nastat.pdf/c2f9df60-a4a1-d2f4-5776-9b20b4976145?t=165588824203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4984</Characters>
  <Application>Microsoft Office Word</Application>
  <DocSecurity>0</DocSecurity>
  <Lines>41</Lines>
  <Paragraphs>11</Paragraphs>
  <ScaleCrop>false</ScaleCrop>
  <Company>Hewlett-Packard Company</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n059048</dc:creator>
  <cp:keywords/>
  <cp:lastModifiedBy>Aranaz, Carlota</cp:lastModifiedBy>
  <cp:revision>4</cp:revision>
  <dcterms:created xsi:type="dcterms:W3CDTF">2022-11-08T16:11:00Z</dcterms:created>
  <dcterms:modified xsi:type="dcterms:W3CDTF">2022-11-08T16:12:00Z</dcterms:modified>
</cp:coreProperties>
</file>