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DA4A" w14:textId="1B136EB4" w:rsidR="0037405C" w:rsidRDefault="00E161F4">
      <w:pPr>
        <w:spacing w:after="360"/>
        <w:ind w:right="0"/>
      </w:pPr>
      <w:r>
        <w:t>La Consejera de Salud del Gobierno de Navarra, en relación con la pregunta escrita (10-22-PES-00297) presentada por la Parlamentaria Foral Ilma. Sra. Cristina Ibarrola Guillén, adscrita al Grupo Parlamentario de Navarra Suma, que solicita:</w:t>
      </w:r>
    </w:p>
    <w:p w14:paraId="70764244" w14:textId="77777777" w:rsidR="0037405C" w:rsidRDefault="00E161F4">
      <w:pPr>
        <w:spacing w:after="0" w:line="288" w:lineRule="auto"/>
        <w:ind w:left="0" w:right="267" w:firstLine="0"/>
        <w:jc w:val="left"/>
      </w:pPr>
      <w:r>
        <w:t xml:space="preserve">¿Cuántas veces se ha reunido en esta legislatura cada grupo técnico de integración asistencial que empezaron a trabajar en la anterior legislatura? ¿Por qué han creado grupos de trabajo para trabajar en priorización de listas de espera y no lo han trabajado en los grupos de integración asistencial de las mismas especialidades? </w:t>
      </w:r>
    </w:p>
    <w:p w14:paraId="03D90E70" w14:textId="77777777" w:rsidR="0037405C" w:rsidRDefault="00E161F4">
      <w:pPr>
        <w:spacing w:after="692"/>
        <w:ind w:right="0"/>
      </w:pPr>
      <w:r>
        <w:t>¿Qué funciones específicas se han definido para cada uno de los 6 grupos de trabajo creados ahora? ¿Cuándo se ha creado cada uno? ¿Qué profesionales integran cada uno de esos grupos? ¿Cuántas veces se ha reunido cada grupo hasta la fecha? ¿Hay actas de las reuniones? ¿En caso de que las haya, copia de cada una de ellas? ¿Se han formalizado estos grupos?</w:t>
      </w:r>
    </w:p>
    <w:p w14:paraId="390B892C" w14:textId="77777777" w:rsidR="0037405C" w:rsidRDefault="00E161F4">
      <w:pPr>
        <w:spacing w:after="364"/>
        <w:ind w:left="0" w:right="0" w:firstLine="0"/>
        <w:jc w:val="left"/>
      </w:pPr>
      <w:r>
        <w:rPr>
          <w:u w:val="single" w:color="000000"/>
        </w:rPr>
        <w:t>Reuniones de los GTT en la actual legislatura:</w:t>
      </w:r>
    </w:p>
    <w:p w14:paraId="0A9A3674" w14:textId="77777777" w:rsidR="0037405C" w:rsidRDefault="00E161F4">
      <w:pPr>
        <w:spacing w:after="360"/>
        <w:ind w:right="0"/>
      </w:pPr>
      <w:r>
        <w:t>Con la pandemia se suspendieron las reuniones presenciales de los GTT, colaborando en las tareas priorizadas, en el contexto de las necesidades planteadas por la infección por SARS-Cov2, retomando la actividad de los grupos a partir de mediados del 2021.</w:t>
      </w:r>
    </w:p>
    <w:p w14:paraId="5927AEF8" w14:textId="77777777" w:rsidR="0037405C" w:rsidRDefault="00E161F4">
      <w:pPr>
        <w:ind w:right="0"/>
      </w:pPr>
      <w:r>
        <w:t>Actividad GTT:</w:t>
      </w:r>
    </w:p>
    <w:p w14:paraId="62704E16" w14:textId="77777777" w:rsidR="0037405C" w:rsidRDefault="00E161F4">
      <w:pPr>
        <w:numPr>
          <w:ilvl w:val="0"/>
          <w:numId w:val="1"/>
        </w:numPr>
        <w:ind w:right="0" w:hanging="360"/>
      </w:pPr>
      <w:r>
        <w:t>Pacientes pluripatológicos:</w:t>
      </w:r>
    </w:p>
    <w:p w14:paraId="097094B6" w14:textId="77777777" w:rsidR="0037405C" w:rsidRDefault="00E161F4">
      <w:pPr>
        <w:numPr>
          <w:ilvl w:val="1"/>
          <w:numId w:val="1"/>
        </w:numPr>
        <w:ind w:right="0" w:hanging="360"/>
      </w:pPr>
      <w:r>
        <w:t>Reuniones trimestrales de técnicos de la estrategia</w:t>
      </w:r>
    </w:p>
    <w:p w14:paraId="3F05C11D" w14:textId="77777777" w:rsidR="0037405C" w:rsidRDefault="00E161F4">
      <w:pPr>
        <w:numPr>
          <w:ilvl w:val="1"/>
          <w:numId w:val="1"/>
        </w:numPr>
        <w:spacing w:after="363"/>
        <w:ind w:right="0" w:hanging="360"/>
      </w:pPr>
      <w:r>
        <w:t xml:space="preserve">Reuniones semestrales en Hospital Reina Sofía de Tudela </w:t>
      </w:r>
      <w:r>
        <w:rPr>
          <w:rFonts w:ascii="Calibri" w:eastAsia="Calibri" w:hAnsi="Calibri" w:cs="Calibri"/>
        </w:rPr>
        <w:t>-</w:t>
      </w:r>
      <w:r>
        <w:rPr>
          <w:rFonts w:ascii="Calibri" w:eastAsia="Calibri" w:hAnsi="Calibri" w:cs="Calibri"/>
        </w:rPr>
        <w:tab/>
      </w:r>
      <w:r>
        <w:t>Programación de sesiones clínicas mensuales de integración</w:t>
      </w:r>
    </w:p>
    <w:p w14:paraId="5ACE5BD0" w14:textId="77777777" w:rsidR="0037405C" w:rsidRDefault="00E161F4">
      <w:pPr>
        <w:numPr>
          <w:ilvl w:val="0"/>
          <w:numId w:val="1"/>
        </w:numPr>
        <w:ind w:right="0" w:hanging="360"/>
      </w:pPr>
      <w:r>
        <w:t>Demencia:</w:t>
      </w:r>
    </w:p>
    <w:p w14:paraId="39A51214" w14:textId="77777777" w:rsidR="0037405C" w:rsidRDefault="00E161F4">
      <w:pPr>
        <w:numPr>
          <w:ilvl w:val="1"/>
          <w:numId w:val="1"/>
        </w:numPr>
        <w:ind w:right="0" w:hanging="360"/>
      </w:pPr>
      <w:r>
        <w:t>Reuniones trimestrales del grupo de seguimiento</w:t>
      </w:r>
    </w:p>
    <w:p w14:paraId="0CB3691A" w14:textId="77777777" w:rsidR="0037405C" w:rsidRDefault="00E161F4">
      <w:pPr>
        <w:numPr>
          <w:ilvl w:val="1"/>
          <w:numId w:val="1"/>
        </w:numPr>
        <w:ind w:right="0" w:hanging="360"/>
      </w:pPr>
      <w:r>
        <w:t>Reunión para redefinir la derivación al Centro Josefina Arregui (Alsasua)</w:t>
      </w:r>
    </w:p>
    <w:p w14:paraId="59D3CA22" w14:textId="77777777" w:rsidR="0037405C" w:rsidRDefault="00E161F4">
      <w:pPr>
        <w:numPr>
          <w:ilvl w:val="1"/>
          <w:numId w:val="1"/>
        </w:numPr>
        <w:spacing w:after="371"/>
        <w:ind w:right="0" w:hanging="360"/>
      </w:pPr>
      <w:r>
        <w:t>Retomar las reuniones del Comité de Expertos en Demencia</w:t>
      </w:r>
    </w:p>
    <w:p w14:paraId="2CFE6354" w14:textId="77777777" w:rsidR="0037405C" w:rsidRDefault="00E161F4">
      <w:pPr>
        <w:numPr>
          <w:ilvl w:val="0"/>
          <w:numId w:val="1"/>
        </w:numPr>
        <w:ind w:right="0" w:hanging="360"/>
      </w:pPr>
      <w:r>
        <w:t>Diabetes:</w:t>
      </w:r>
    </w:p>
    <w:p w14:paraId="3635535A" w14:textId="77777777" w:rsidR="0037405C" w:rsidRDefault="00E161F4">
      <w:pPr>
        <w:numPr>
          <w:ilvl w:val="1"/>
          <w:numId w:val="1"/>
        </w:numPr>
        <w:ind w:right="0" w:hanging="360"/>
      </w:pPr>
      <w:r>
        <w:t>Reunión de la Comisión Asesora Técnica</w:t>
      </w:r>
    </w:p>
    <w:p w14:paraId="36CB6243" w14:textId="77777777" w:rsidR="0037405C" w:rsidRDefault="00E161F4">
      <w:pPr>
        <w:numPr>
          <w:ilvl w:val="1"/>
          <w:numId w:val="1"/>
        </w:numPr>
        <w:ind w:right="0" w:hanging="360"/>
      </w:pPr>
      <w:r>
        <w:t>Diseño de la logística para extender la Monitorización Continua de Glucosa en pacientes con DM2, según las directrices de la Dirección General de Cartera</w:t>
      </w:r>
    </w:p>
    <w:p w14:paraId="33857184" w14:textId="77777777" w:rsidR="0037405C" w:rsidRDefault="00E161F4">
      <w:pPr>
        <w:numPr>
          <w:ilvl w:val="1"/>
          <w:numId w:val="1"/>
        </w:numPr>
        <w:ind w:right="0" w:hanging="360"/>
      </w:pPr>
      <w:r>
        <w:t xml:space="preserve">Colaborar en el diseño de la </w:t>
      </w:r>
      <w:proofErr w:type="spellStart"/>
      <w:r>
        <w:t>Telemonitorización</w:t>
      </w:r>
      <w:proofErr w:type="spellEnd"/>
      <w:r>
        <w:t xml:space="preserve"> en Diabetes</w:t>
      </w:r>
    </w:p>
    <w:p w14:paraId="2160B23E" w14:textId="7C6D9222" w:rsidR="0037405C" w:rsidRDefault="00E161F4">
      <w:pPr>
        <w:numPr>
          <w:ilvl w:val="0"/>
          <w:numId w:val="1"/>
        </w:numPr>
        <w:ind w:right="0" w:hanging="360"/>
      </w:pPr>
      <w:r>
        <w:t>Enfermedades musculoesqueléticas:</w:t>
      </w:r>
    </w:p>
    <w:p w14:paraId="15A2AD79" w14:textId="77777777" w:rsidR="0037405C" w:rsidRDefault="00E161F4">
      <w:pPr>
        <w:numPr>
          <w:ilvl w:val="1"/>
          <w:numId w:val="1"/>
        </w:numPr>
        <w:ind w:right="0" w:hanging="360"/>
      </w:pPr>
      <w:r>
        <w:t>Elaboración del Documento: COVID persistente y su difusión</w:t>
      </w:r>
    </w:p>
    <w:p w14:paraId="1CE5B03C" w14:textId="77777777" w:rsidR="0037405C" w:rsidRDefault="00E161F4">
      <w:pPr>
        <w:numPr>
          <w:ilvl w:val="1"/>
          <w:numId w:val="1"/>
        </w:numPr>
        <w:ind w:right="0" w:hanging="360"/>
      </w:pPr>
      <w:r>
        <w:lastRenderedPageBreak/>
        <w:t>Elaboración del Documento: Rehabilitación en el paciente COVID en AP</w:t>
      </w:r>
    </w:p>
    <w:p w14:paraId="32A6A6E5" w14:textId="77777777" w:rsidR="0037405C" w:rsidRDefault="00E161F4">
      <w:pPr>
        <w:numPr>
          <w:ilvl w:val="1"/>
          <w:numId w:val="1"/>
        </w:numPr>
        <w:ind w:right="0" w:hanging="360"/>
      </w:pPr>
      <w:r>
        <w:t>Elaboración del Documento: Derivación directa a fisioterapia en AP</w:t>
      </w:r>
    </w:p>
    <w:p w14:paraId="3E5D6267" w14:textId="77777777" w:rsidR="0037405C" w:rsidRDefault="00E161F4">
      <w:pPr>
        <w:numPr>
          <w:ilvl w:val="1"/>
          <w:numId w:val="1"/>
        </w:numPr>
        <w:ind w:right="0" w:hanging="360"/>
      </w:pPr>
      <w:r>
        <w:t>Actualización del Documento: Fisioterapia Grupal en procesos de baja complejidad</w:t>
      </w:r>
    </w:p>
    <w:p w14:paraId="1F94E0A3" w14:textId="77777777" w:rsidR="0037405C" w:rsidRDefault="00E161F4">
      <w:pPr>
        <w:spacing w:after="32"/>
        <w:ind w:left="0" w:right="0" w:firstLine="0"/>
        <w:jc w:val="left"/>
      </w:pPr>
      <w:r>
        <w:t xml:space="preserve"> </w:t>
      </w:r>
    </w:p>
    <w:p w14:paraId="2D7A912D" w14:textId="77777777" w:rsidR="0037405C" w:rsidRDefault="00E161F4">
      <w:pPr>
        <w:numPr>
          <w:ilvl w:val="0"/>
          <w:numId w:val="1"/>
        </w:numPr>
        <w:ind w:right="0" w:hanging="360"/>
      </w:pPr>
      <w:r>
        <w:t>Anticoagulación:</w:t>
      </w:r>
    </w:p>
    <w:p w14:paraId="52203B85" w14:textId="77777777" w:rsidR="0037405C" w:rsidRDefault="00E161F4">
      <w:pPr>
        <w:numPr>
          <w:ilvl w:val="1"/>
          <w:numId w:val="1"/>
        </w:numPr>
        <w:ind w:right="0" w:hanging="360"/>
      </w:pPr>
      <w:r>
        <w:t xml:space="preserve">Puesta al día de las recomendaciones del manejo pre y postquirúrgico de los pacientes anticoagulados (riesgos trombóticos y hemorrágicos). Título: Profilaxis del </w:t>
      </w:r>
      <w:proofErr w:type="spellStart"/>
      <w:r>
        <w:t>troboembolismo</w:t>
      </w:r>
      <w:proofErr w:type="spellEnd"/>
      <w:r>
        <w:t xml:space="preserve"> en Cirugía</w:t>
      </w:r>
    </w:p>
    <w:p w14:paraId="399844CB" w14:textId="77777777" w:rsidR="0037405C" w:rsidRDefault="00E161F4">
      <w:pPr>
        <w:numPr>
          <w:ilvl w:val="1"/>
          <w:numId w:val="1"/>
        </w:numPr>
        <w:spacing w:after="357"/>
        <w:ind w:right="0" w:hanging="360"/>
      </w:pPr>
      <w:r>
        <w:t>Diseñar el autocontrol de la anticoagulación con Cumarínicos, cuando sea factible</w:t>
      </w:r>
    </w:p>
    <w:p w14:paraId="2193F3AB" w14:textId="77777777" w:rsidR="0037405C" w:rsidRDefault="00E161F4">
      <w:pPr>
        <w:numPr>
          <w:ilvl w:val="0"/>
          <w:numId w:val="1"/>
        </w:numPr>
        <w:ind w:right="0" w:hanging="360"/>
      </w:pPr>
      <w:r>
        <w:t>Nutrición:</w:t>
      </w:r>
    </w:p>
    <w:p w14:paraId="43F7AB61" w14:textId="77777777" w:rsidR="0037405C" w:rsidRDefault="00E161F4">
      <w:pPr>
        <w:numPr>
          <w:ilvl w:val="1"/>
          <w:numId w:val="1"/>
        </w:numPr>
        <w:ind w:right="0" w:hanging="360"/>
      </w:pPr>
      <w:r>
        <w:t>Actualización del documento sobre Desnutrición Relacionada con la Enfermedad</w:t>
      </w:r>
    </w:p>
    <w:p w14:paraId="0F76944A" w14:textId="77777777" w:rsidR="0037405C" w:rsidRDefault="00E161F4">
      <w:pPr>
        <w:numPr>
          <w:ilvl w:val="1"/>
          <w:numId w:val="1"/>
        </w:numPr>
        <w:ind w:right="0" w:hanging="360"/>
      </w:pPr>
      <w:r>
        <w:t xml:space="preserve">Sistematización, a través de </w:t>
      </w:r>
      <w:proofErr w:type="spellStart"/>
      <w:r>
        <w:t>Auzolan</w:t>
      </w:r>
      <w:proofErr w:type="spellEnd"/>
      <w:r>
        <w:t xml:space="preserve"> de la prescripción de productos de</w:t>
      </w:r>
    </w:p>
    <w:p w14:paraId="53238B83" w14:textId="77777777" w:rsidR="0037405C" w:rsidRDefault="00E161F4">
      <w:pPr>
        <w:spacing w:after="364"/>
        <w:ind w:left="1078" w:right="0"/>
      </w:pPr>
      <w:r>
        <w:t>NE</w:t>
      </w:r>
    </w:p>
    <w:p w14:paraId="15ABF603" w14:textId="77777777" w:rsidR="0037405C" w:rsidRDefault="00E161F4">
      <w:pPr>
        <w:numPr>
          <w:ilvl w:val="0"/>
          <w:numId w:val="1"/>
        </w:numPr>
        <w:ind w:right="0" w:hanging="360"/>
      </w:pPr>
      <w:r>
        <w:t>Cuidados</w:t>
      </w:r>
    </w:p>
    <w:p w14:paraId="01098744" w14:textId="77777777" w:rsidR="0037405C" w:rsidRDefault="00E161F4">
      <w:pPr>
        <w:numPr>
          <w:ilvl w:val="1"/>
          <w:numId w:val="1"/>
        </w:numPr>
        <w:ind w:right="0" w:hanging="360"/>
      </w:pPr>
      <w:r>
        <w:t>Consenso sobre el documento de Asistencia al Pie Diabético en el SNS</w:t>
      </w:r>
    </w:p>
    <w:p w14:paraId="6596FBB1" w14:textId="77777777" w:rsidR="0037405C" w:rsidRDefault="00E161F4">
      <w:pPr>
        <w:numPr>
          <w:ilvl w:val="1"/>
          <w:numId w:val="1"/>
        </w:numPr>
        <w:ind w:right="0" w:hanging="360"/>
      </w:pPr>
      <w:r>
        <w:t>Actualización del grupo de trabajo de heridas</w:t>
      </w:r>
    </w:p>
    <w:p w14:paraId="6C4293C9" w14:textId="77777777" w:rsidR="0037405C" w:rsidRDefault="00E161F4">
      <w:pPr>
        <w:numPr>
          <w:ilvl w:val="1"/>
          <w:numId w:val="1"/>
        </w:numPr>
        <w:ind w:right="0" w:hanging="360"/>
      </w:pPr>
      <w:r>
        <w:t>Estrategia de Seguridad: prevención de caídas, prevención de heridas por presión, adecuación y control de las medidas de contención físicas, delirium, conductas suicidas.</w:t>
      </w:r>
    </w:p>
    <w:p w14:paraId="512C6D32" w14:textId="77777777" w:rsidR="0037405C" w:rsidRDefault="00E161F4">
      <w:pPr>
        <w:numPr>
          <w:ilvl w:val="1"/>
          <w:numId w:val="1"/>
        </w:numPr>
        <w:ind w:right="0" w:hanging="360"/>
      </w:pPr>
      <w:r>
        <w:t>Informe de continuidad de cuidados</w:t>
      </w:r>
    </w:p>
    <w:p w14:paraId="3065F5A6" w14:textId="77777777" w:rsidR="0037405C" w:rsidRDefault="00E161F4">
      <w:pPr>
        <w:numPr>
          <w:ilvl w:val="1"/>
          <w:numId w:val="1"/>
        </w:numPr>
        <w:ind w:right="0" w:hanging="360"/>
      </w:pPr>
      <w:r>
        <w:t>INP entre enfermeras</w:t>
      </w:r>
    </w:p>
    <w:p w14:paraId="528DBD04" w14:textId="77777777" w:rsidR="0037405C" w:rsidRDefault="00E161F4">
      <w:pPr>
        <w:numPr>
          <w:ilvl w:val="1"/>
          <w:numId w:val="1"/>
        </w:numPr>
        <w:ind w:right="0" w:hanging="360"/>
      </w:pPr>
      <w:r>
        <w:t>Actualización de procedimientos</w:t>
      </w:r>
    </w:p>
    <w:p w14:paraId="229928E2" w14:textId="77777777" w:rsidR="0037405C" w:rsidRDefault="00E161F4">
      <w:pPr>
        <w:numPr>
          <w:ilvl w:val="1"/>
          <w:numId w:val="1"/>
        </w:numPr>
        <w:ind w:right="0" w:hanging="360"/>
      </w:pPr>
      <w:r>
        <w:t>Itinerario formativo de las Enfermeras de Enlace</w:t>
      </w:r>
    </w:p>
    <w:p w14:paraId="68C22530" w14:textId="77777777" w:rsidR="0037405C" w:rsidRDefault="00E161F4">
      <w:pPr>
        <w:numPr>
          <w:ilvl w:val="1"/>
          <w:numId w:val="1"/>
        </w:numPr>
        <w:ind w:right="0" w:hanging="360"/>
      </w:pPr>
      <w:r>
        <w:t>Enfermeras de Consejo</w:t>
      </w:r>
    </w:p>
    <w:p w14:paraId="7B19A064" w14:textId="77777777" w:rsidR="0037405C" w:rsidRDefault="00E161F4">
      <w:pPr>
        <w:numPr>
          <w:ilvl w:val="1"/>
          <w:numId w:val="1"/>
        </w:numPr>
        <w:spacing w:after="371"/>
        <w:ind w:right="0" w:hanging="360"/>
      </w:pPr>
      <w:r>
        <w:t>Prescripción enfermera (nuevo GTT actual)</w:t>
      </w:r>
    </w:p>
    <w:p w14:paraId="212B0322" w14:textId="77777777" w:rsidR="0037405C" w:rsidRDefault="00E161F4">
      <w:pPr>
        <w:numPr>
          <w:ilvl w:val="0"/>
          <w:numId w:val="1"/>
        </w:numPr>
        <w:ind w:right="0" w:hanging="360"/>
      </w:pPr>
      <w:r>
        <w:t>Pediatría</w:t>
      </w:r>
    </w:p>
    <w:p w14:paraId="0A23EAEC" w14:textId="77777777" w:rsidR="0037405C" w:rsidRDefault="00E161F4">
      <w:pPr>
        <w:numPr>
          <w:ilvl w:val="1"/>
          <w:numId w:val="1"/>
        </w:numPr>
        <w:ind w:right="0" w:hanging="360"/>
      </w:pPr>
      <w:r>
        <w:t>Seguimiento de Enfermedad Crónica Compleja en la Infancia</w:t>
      </w:r>
    </w:p>
    <w:p w14:paraId="1EF822B9" w14:textId="77777777" w:rsidR="0037405C" w:rsidRDefault="00E161F4">
      <w:pPr>
        <w:numPr>
          <w:ilvl w:val="1"/>
          <w:numId w:val="1"/>
        </w:numPr>
        <w:ind w:right="0" w:hanging="360"/>
      </w:pPr>
      <w:r>
        <w:t>Estrategia de Paliativos en la Infancia (en elaboración)</w:t>
      </w:r>
    </w:p>
    <w:p w14:paraId="3058D585" w14:textId="77777777" w:rsidR="0037405C" w:rsidRDefault="00E161F4">
      <w:pPr>
        <w:numPr>
          <w:ilvl w:val="1"/>
          <w:numId w:val="1"/>
        </w:numPr>
        <w:ind w:right="0" w:hanging="360"/>
      </w:pPr>
      <w:r>
        <w:t>Identificación del recién nacido y transiciones</w:t>
      </w:r>
    </w:p>
    <w:p w14:paraId="5B041FA3" w14:textId="77777777" w:rsidR="0037405C" w:rsidRDefault="00E161F4">
      <w:pPr>
        <w:numPr>
          <w:ilvl w:val="1"/>
          <w:numId w:val="1"/>
        </w:numPr>
        <w:ind w:right="0" w:hanging="360"/>
      </w:pPr>
      <w:r>
        <w:t>Protocolo para ictericia en el contexto de altas precoces</w:t>
      </w:r>
    </w:p>
    <w:p w14:paraId="483EA5A1" w14:textId="77777777" w:rsidR="0037405C" w:rsidRDefault="00E161F4">
      <w:pPr>
        <w:numPr>
          <w:ilvl w:val="1"/>
          <w:numId w:val="1"/>
        </w:numPr>
        <w:ind w:right="0" w:hanging="360"/>
      </w:pPr>
      <w:r>
        <w:t>Enfermedades respiratorias</w:t>
      </w:r>
    </w:p>
    <w:p w14:paraId="2664DD2B" w14:textId="77777777" w:rsidR="0037405C" w:rsidRDefault="00E161F4">
      <w:pPr>
        <w:numPr>
          <w:ilvl w:val="1"/>
          <w:numId w:val="1"/>
        </w:numPr>
        <w:ind w:right="0" w:hanging="360"/>
      </w:pPr>
      <w:r>
        <w:t>Transiciones en Pediatría</w:t>
      </w:r>
    </w:p>
    <w:p w14:paraId="06857FA2" w14:textId="77777777" w:rsidR="0037405C" w:rsidRDefault="00E161F4">
      <w:pPr>
        <w:numPr>
          <w:ilvl w:val="1"/>
          <w:numId w:val="1"/>
        </w:numPr>
        <w:spacing w:after="371"/>
        <w:ind w:right="0" w:hanging="360"/>
      </w:pPr>
      <w:r>
        <w:t>Abuso sexual infantil</w:t>
      </w:r>
    </w:p>
    <w:p w14:paraId="4A7E287E" w14:textId="77777777" w:rsidR="0037405C" w:rsidRDefault="00E161F4">
      <w:pPr>
        <w:numPr>
          <w:ilvl w:val="0"/>
          <w:numId w:val="1"/>
        </w:numPr>
        <w:ind w:right="0" w:hanging="360"/>
      </w:pPr>
      <w:r>
        <w:t>Alergias</w:t>
      </w:r>
    </w:p>
    <w:p w14:paraId="64E43DEA" w14:textId="77777777" w:rsidR="0037405C" w:rsidRDefault="00E161F4">
      <w:pPr>
        <w:numPr>
          <w:ilvl w:val="1"/>
          <w:numId w:val="1"/>
        </w:numPr>
        <w:spacing w:after="357"/>
        <w:ind w:right="0" w:hanging="360"/>
      </w:pPr>
      <w:r>
        <w:lastRenderedPageBreak/>
        <w:t>GTT para implementación de ANDIA Alergias: seguridad, registro y adecuación para prescripción</w:t>
      </w:r>
    </w:p>
    <w:p w14:paraId="2328398A" w14:textId="77777777" w:rsidR="0037405C" w:rsidRDefault="00E161F4">
      <w:pPr>
        <w:numPr>
          <w:ilvl w:val="0"/>
          <w:numId w:val="1"/>
        </w:numPr>
        <w:ind w:right="0" w:hanging="360"/>
      </w:pPr>
      <w:proofErr w:type="spellStart"/>
      <w:r>
        <w:t>Area</w:t>
      </w:r>
      <w:proofErr w:type="spellEnd"/>
      <w:r>
        <w:t xml:space="preserve"> de seguridad. Reuniones con los responsables en cada área de las distintas líneas:</w:t>
      </w:r>
    </w:p>
    <w:p w14:paraId="59341C74" w14:textId="77777777" w:rsidR="0037405C" w:rsidRDefault="00E161F4">
      <w:pPr>
        <w:numPr>
          <w:ilvl w:val="1"/>
          <w:numId w:val="1"/>
        </w:numPr>
        <w:ind w:right="0" w:hanging="360"/>
      </w:pPr>
      <w:r>
        <w:t>Prevención de infección nosocomial</w:t>
      </w:r>
    </w:p>
    <w:p w14:paraId="3F346642" w14:textId="77777777" w:rsidR="0037405C" w:rsidRDefault="00E161F4">
      <w:pPr>
        <w:numPr>
          <w:ilvl w:val="1"/>
          <w:numId w:val="1"/>
        </w:numPr>
        <w:ind w:right="0" w:hanging="360"/>
      </w:pPr>
      <w:r>
        <w:t>Prevención de errores en la medicación y dispositivos sanitarios</w:t>
      </w:r>
    </w:p>
    <w:p w14:paraId="5843BCD4" w14:textId="77777777" w:rsidR="0037405C" w:rsidRDefault="00E161F4">
      <w:pPr>
        <w:numPr>
          <w:ilvl w:val="1"/>
          <w:numId w:val="1"/>
        </w:numPr>
        <w:ind w:right="0" w:hanging="360"/>
      </w:pPr>
      <w:r>
        <w:t>Prevención de complicaciones de Cuidados Sanitarios</w:t>
      </w:r>
    </w:p>
    <w:p w14:paraId="39AFFC77" w14:textId="77777777" w:rsidR="0037405C" w:rsidRDefault="00E161F4">
      <w:pPr>
        <w:numPr>
          <w:ilvl w:val="1"/>
          <w:numId w:val="1"/>
        </w:numPr>
        <w:ind w:right="0" w:hanging="360"/>
      </w:pPr>
      <w:r>
        <w:t>Prevención de complicaciones en áreas asistenciales Médicas y de Diagnóstico</w:t>
      </w:r>
    </w:p>
    <w:p w14:paraId="2F7526D7" w14:textId="77777777" w:rsidR="0037405C" w:rsidRDefault="00E161F4">
      <w:pPr>
        <w:numPr>
          <w:ilvl w:val="1"/>
          <w:numId w:val="1"/>
        </w:numPr>
        <w:spacing w:after="689"/>
        <w:ind w:right="0" w:hanging="360"/>
      </w:pPr>
      <w:r>
        <w:t xml:space="preserve">Sistemas de identificación inequívoca, notificación de incidentes y participación de pacientes. </w:t>
      </w:r>
    </w:p>
    <w:p w14:paraId="3C5FD621" w14:textId="77777777" w:rsidR="0037405C" w:rsidRDefault="00E161F4">
      <w:pPr>
        <w:spacing w:after="331" w:line="288" w:lineRule="auto"/>
        <w:ind w:left="-5" w:right="-4"/>
      </w:pPr>
      <w:r>
        <w:rPr>
          <w:color w:val="00000A"/>
        </w:rPr>
        <w:t>Los grupos de integración asistencial integran a profesionales de todas las áreas de salud. La coordinación dentro de cada área en Tudela y Estella está integrada en una única gerencia para cada área, pero no es así en Pamplona donde la coordinación primaria especializada depende de dos gerencias.</w:t>
      </w:r>
    </w:p>
    <w:p w14:paraId="43A68987" w14:textId="77777777" w:rsidR="0037405C" w:rsidRDefault="00E161F4">
      <w:pPr>
        <w:spacing w:after="331" w:line="288" w:lineRule="auto"/>
        <w:ind w:left="-5" w:right="-4"/>
      </w:pPr>
      <w:r>
        <w:rPr>
          <w:color w:val="00000A"/>
        </w:rPr>
        <w:t>En el análisis del abordaje de la situación de las listas de espera por parte de las dos gerencias del área de Pamplona se consideró necesario comenzar con la creación de estos grupos con una primera tarea muy concreta y para las especialidades con gran número de personas en espera.</w:t>
      </w:r>
    </w:p>
    <w:p w14:paraId="66F6DC34" w14:textId="77777777" w:rsidR="0037405C" w:rsidRDefault="00E161F4">
      <w:pPr>
        <w:spacing w:after="331" w:line="288" w:lineRule="auto"/>
        <w:ind w:left="-5" w:right="-4"/>
      </w:pPr>
      <w:r>
        <w:rPr>
          <w:color w:val="00000A"/>
        </w:rPr>
        <w:t>El objetivo de cada grupo es identificar de forma conjunta las posibles áreas de mejora y planteamientos que mejoren la atención a las necesidades de los pacientes.</w:t>
      </w:r>
    </w:p>
    <w:p w14:paraId="276AA0C4" w14:textId="77777777" w:rsidR="0037405C" w:rsidRDefault="00E161F4">
      <w:pPr>
        <w:spacing w:after="331" w:line="288" w:lineRule="auto"/>
        <w:ind w:left="-5" w:right="-4"/>
      </w:pPr>
      <w:r>
        <w:rPr>
          <w:color w:val="00000A"/>
        </w:rPr>
        <w:t>La metodología es revisar de forma conjunta volantes de derivación desde atención primaria a la especialidad para:</w:t>
      </w:r>
    </w:p>
    <w:p w14:paraId="40A64BEE" w14:textId="77777777" w:rsidR="0037405C" w:rsidRDefault="00E161F4">
      <w:pPr>
        <w:numPr>
          <w:ilvl w:val="0"/>
          <w:numId w:val="2"/>
        </w:numPr>
        <w:ind w:right="0" w:hanging="360"/>
      </w:pPr>
      <w:r>
        <w:t>Conocer las características de los pacientes que tenemos en la lista de espera y los problemas concretos que generan su derivación</w:t>
      </w:r>
    </w:p>
    <w:p w14:paraId="46BBC34D" w14:textId="77777777" w:rsidR="0037405C" w:rsidRDefault="00E161F4">
      <w:pPr>
        <w:numPr>
          <w:ilvl w:val="0"/>
          <w:numId w:val="2"/>
        </w:numPr>
        <w:ind w:right="0" w:hanging="360"/>
      </w:pPr>
      <w:r>
        <w:t>Ver que agrupaciones se pueden hacer en la especialidad por problemas con circuitos similares</w:t>
      </w:r>
    </w:p>
    <w:p w14:paraId="2C4032A5" w14:textId="77777777" w:rsidR="0037405C" w:rsidRDefault="00E161F4">
      <w:pPr>
        <w:numPr>
          <w:ilvl w:val="0"/>
          <w:numId w:val="2"/>
        </w:numPr>
        <w:ind w:right="0" w:hanging="360"/>
      </w:pPr>
      <w:r>
        <w:t>Identificar motivos de derivación burocráticos o administrativos (validación para prestaciones y conciertos, etc.)</w:t>
      </w:r>
    </w:p>
    <w:p w14:paraId="35E3BD55" w14:textId="77777777" w:rsidR="0037405C" w:rsidRDefault="00E161F4">
      <w:pPr>
        <w:numPr>
          <w:ilvl w:val="0"/>
          <w:numId w:val="2"/>
        </w:numPr>
        <w:spacing w:after="359"/>
        <w:ind w:right="0" w:hanging="360"/>
      </w:pPr>
      <w:r>
        <w:t>Identificar circuitos que no aportan valor añadido y plantear alternativas para agilizarlos.</w:t>
      </w:r>
    </w:p>
    <w:p w14:paraId="7CE3341A" w14:textId="77777777" w:rsidR="0037405C" w:rsidRDefault="00E161F4">
      <w:pPr>
        <w:spacing w:after="360"/>
        <w:ind w:right="0"/>
      </w:pPr>
      <w:r>
        <w:t xml:space="preserve">Cada grupo lo forma un facultativo de la especialidad del HUN, un facultativo de Atención Primaria del Área de Pamplona y hay 6 técnicos (1 del HUN, 2 de la </w:t>
      </w:r>
      <w:r>
        <w:lastRenderedPageBreak/>
        <w:t xml:space="preserve">Gerencia de Atención Primaria y 3 de la Dirección de Asistencia Sanitaria) que dan apoyo a todos los grupos. Los grupos de </w:t>
      </w:r>
      <w:proofErr w:type="gramStart"/>
      <w:r>
        <w:t>trabajo  no</w:t>
      </w:r>
      <w:proofErr w:type="gramEnd"/>
      <w:r>
        <w:t xml:space="preserve"> están colegiados, no constando actas de los mismos. </w:t>
      </w:r>
    </w:p>
    <w:p w14:paraId="3352BB90" w14:textId="77777777" w:rsidR="0037405C" w:rsidRDefault="00E161F4">
      <w:pPr>
        <w:spacing w:after="232"/>
        <w:ind w:right="0"/>
      </w:pPr>
      <w:r>
        <w:t>Las fechas de las reuniones de trabajo de cada grupo hasta este momento se recogen en el siguiente cuadro:</w:t>
      </w:r>
    </w:p>
    <w:tbl>
      <w:tblPr>
        <w:tblStyle w:val="TableGrid"/>
        <w:tblW w:w="9361" w:type="dxa"/>
        <w:tblInd w:w="5" w:type="dxa"/>
        <w:tblCellMar>
          <w:top w:w="45" w:type="dxa"/>
          <w:left w:w="65" w:type="dxa"/>
          <w:right w:w="62" w:type="dxa"/>
        </w:tblCellMar>
        <w:tblLook w:val="04A0" w:firstRow="1" w:lastRow="0" w:firstColumn="1" w:lastColumn="0" w:noHBand="0" w:noVBand="1"/>
      </w:tblPr>
      <w:tblGrid>
        <w:gridCol w:w="620"/>
        <w:gridCol w:w="920"/>
        <w:gridCol w:w="919"/>
        <w:gridCol w:w="917"/>
        <w:gridCol w:w="919"/>
        <w:gridCol w:w="914"/>
        <w:gridCol w:w="940"/>
        <w:gridCol w:w="922"/>
        <w:gridCol w:w="914"/>
        <w:gridCol w:w="919"/>
        <w:gridCol w:w="915"/>
        <w:gridCol w:w="914"/>
      </w:tblGrid>
      <w:tr w:rsidR="0037405C" w:rsidRPr="00D12D6D" w14:paraId="02B758E1" w14:textId="77777777">
        <w:trPr>
          <w:trHeight w:val="222"/>
        </w:trPr>
        <w:tc>
          <w:tcPr>
            <w:tcW w:w="1212" w:type="dxa"/>
            <w:tcBorders>
              <w:top w:val="single" w:sz="8" w:space="0" w:color="000000"/>
              <w:left w:val="single" w:sz="6" w:space="0" w:color="000000"/>
              <w:bottom w:val="single" w:sz="9" w:space="0" w:color="000000"/>
              <w:right w:val="single" w:sz="6" w:space="0" w:color="000000"/>
            </w:tcBorders>
            <w:shd w:val="clear" w:color="auto" w:fill="D9D9D9"/>
          </w:tcPr>
          <w:p w14:paraId="07F24F5E" w14:textId="77777777" w:rsidR="0037405C" w:rsidRPr="00D12D6D" w:rsidRDefault="00E161F4">
            <w:pPr>
              <w:spacing w:after="0"/>
              <w:ind w:left="2" w:right="0" w:firstLine="0"/>
              <w:jc w:val="center"/>
              <w:rPr>
                <w:sz w:val="16"/>
                <w:szCs w:val="16"/>
              </w:rPr>
            </w:pPr>
            <w:bookmarkStart w:id="0" w:name="_Hlk123733674"/>
            <w:r w:rsidRPr="00D12D6D">
              <w:rPr>
                <w:rFonts w:ascii="Calibri" w:eastAsia="Calibri" w:hAnsi="Calibri" w:cs="Calibri"/>
                <w:b/>
                <w:sz w:val="16"/>
                <w:szCs w:val="16"/>
              </w:rPr>
              <w:t>Fecha</w:t>
            </w:r>
          </w:p>
        </w:tc>
        <w:tc>
          <w:tcPr>
            <w:tcW w:w="587" w:type="dxa"/>
            <w:tcBorders>
              <w:top w:val="single" w:sz="8" w:space="0" w:color="000000"/>
              <w:left w:val="single" w:sz="6" w:space="0" w:color="000000"/>
              <w:bottom w:val="single" w:sz="9" w:space="0" w:color="000000"/>
              <w:right w:val="single" w:sz="5" w:space="0" w:color="000000"/>
            </w:tcBorders>
            <w:shd w:val="clear" w:color="auto" w:fill="F2F2F2"/>
          </w:tcPr>
          <w:p w14:paraId="75DB8AA2" w14:textId="77777777" w:rsidR="0037405C" w:rsidRPr="00D12D6D" w:rsidRDefault="00E161F4">
            <w:pPr>
              <w:spacing w:after="0"/>
              <w:ind w:left="6" w:right="0" w:firstLine="0"/>
              <w:jc w:val="left"/>
              <w:rPr>
                <w:sz w:val="16"/>
                <w:szCs w:val="16"/>
              </w:rPr>
            </w:pPr>
            <w:r w:rsidRPr="00D12D6D">
              <w:rPr>
                <w:rFonts w:ascii="Calibri" w:eastAsia="Calibri" w:hAnsi="Calibri" w:cs="Calibri"/>
                <w:b/>
                <w:sz w:val="16"/>
                <w:szCs w:val="16"/>
              </w:rPr>
              <w:t>26/09/2022</w:t>
            </w:r>
          </w:p>
        </w:tc>
        <w:tc>
          <w:tcPr>
            <w:tcW w:w="1000" w:type="dxa"/>
            <w:tcBorders>
              <w:top w:val="single" w:sz="8" w:space="0" w:color="000000"/>
              <w:left w:val="single" w:sz="5" w:space="0" w:color="000000"/>
              <w:bottom w:val="single" w:sz="9" w:space="0" w:color="000000"/>
              <w:right w:val="single" w:sz="5" w:space="0" w:color="000000"/>
            </w:tcBorders>
            <w:shd w:val="clear" w:color="auto" w:fill="F2F2F2"/>
          </w:tcPr>
          <w:p w14:paraId="02625F9E" w14:textId="77777777" w:rsidR="0037405C" w:rsidRPr="00D12D6D" w:rsidRDefault="00E161F4">
            <w:pPr>
              <w:spacing w:after="0"/>
              <w:ind w:left="0" w:firstLine="0"/>
              <w:jc w:val="center"/>
              <w:rPr>
                <w:sz w:val="16"/>
                <w:szCs w:val="16"/>
              </w:rPr>
            </w:pPr>
            <w:r w:rsidRPr="00D12D6D">
              <w:rPr>
                <w:rFonts w:ascii="Calibri" w:eastAsia="Calibri" w:hAnsi="Calibri" w:cs="Calibri"/>
                <w:b/>
                <w:sz w:val="16"/>
                <w:szCs w:val="16"/>
              </w:rPr>
              <w:t>27/09/2022</w:t>
            </w:r>
          </w:p>
        </w:tc>
        <w:tc>
          <w:tcPr>
            <w:tcW w:w="671" w:type="dxa"/>
            <w:tcBorders>
              <w:top w:val="single" w:sz="8" w:space="0" w:color="000000"/>
              <w:left w:val="single" w:sz="5" w:space="0" w:color="000000"/>
              <w:bottom w:val="single" w:sz="9" w:space="0" w:color="000000"/>
              <w:right w:val="single" w:sz="5" w:space="0" w:color="000000"/>
            </w:tcBorders>
            <w:shd w:val="clear" w:color="auto" w:fill="F2F2F2"/>
          </w:tcPr>
          <w:p w14:paraId="12FAE021" w14:textId="77777777" w:rsidR="0037405C" w:rsidRPr="00D12D6D" w:rsidRDefault="00E161F4">
            <w:pPr>
              <w:spacing w:after="0"/>
              <w:ind w:left="3" w:right="0" w:firstLine="0"/>
              <w:jc w:val="center"/>
              <w:rPr>
                <w:sz w:val="16"/>
                <w:szCs w:val="16"/>
              </w:rPr>
            </w:pPr>
            <w:r w:rsidRPr="00D12D6D">
              <w:rPr>
                <w:rFonts w:ascii="Calibri" w:eastAsia="Calibri" w:hAnsi="Calibri" w:cs="Calibri"/>
                <w:b/>
                <w:sz w:val="16"/>
                <w:szCs w:val="16"/>
              </w:rPr>
              <w:t>29/09/2022</w:t>
            </w:r>
          </w:p>
        </w:tc>
        <w:tc>
          <w:tcPr>
            <w:tcW w:w="897" w:type="dxa"/>
            <w:tcBorders>
              <w:top w:val="single" w:sz="8" w:space="0" w:color="000000"/>
              <w:left w:val="single" w:sz="5" w:space="0" w:color="000000"/>
              <w:bottom w:val="single" w:sz="9" w:space="0" w:color="000000"/>
              <w:right w:val="single" w:sz="6" w:space="0" w:color="000000"/>
            </w:tcBorders>
            <w:shd w:val="clear" w:color="auto" w:fill="F2F2F2"/>
          </w:tcPr>
          <w:p w14:paraId="3D752084" w14:textId="77777777" w:rsidR="0037405C" w:rsidRPr="00D12D6D" w:rsidRDefault="00E161F4">
            <w:pPr>
              <w:spacing w:after="0"/>
              <w:ind w:left="0" w:firstLine="0"/>
              <w:jc w:val="center"/>
              <w:rPr>
                <w:sz w:val="16"/>
                <w:szCs w:val="16"/>
              </w:rPr>
            </w:pPr>
            <w:r w:rsidRPr="00D12D6D">
              <w:rPr>
                <w:rFonts w:ascii="Calibri" w:eastAsia="Calibri" w:hAnsi="Calibri" w:cs="Calibri"/>
                <w:b/>
                <w:sz w:val="16"/>
                <w:szCs w:val="16"/>
              </w:rPr>
              <w:t>03/10/2022</w:t>
            </w:r>
          </w:p>
        </w:tc>
        <w:tc>
          <w:tcPr>
            <w:tcW w:w="890" w:type="dxa"/>
            <w:tcBorders>
              <w:top w:val="single" w:sz="8" w:space="0" w:color="000000"/>
              <w:left w:val="single" w:sz="6" w:space="0" w:color="000000"/>
              <w:bottom w:val="single" w:sz="9" w:space="0" w:color="000000"/>
              <w:right w:val="single" w:sz="6" w:space="0" w:color="000000"/>
            </w:tcBorders>
            <w:shd w:val="clear" w:color="auto" w:fill="F2F2F2"/>
          </w:tcPr>
          <w:p w14:paraId="516D4038" w14:textId="77777777" w:rsidR="0037405C" w:rsidRPr="00D12D6D" w:rsidRDefault="00E161F4">
            <w:pPr>
              <w:spacing w:after="0"/>
              <w:ind w:left="0" w:right="0" w:firstLine="0"/>
              <w:jc w:val="center"/>
              <w:rPr>
                <w:sz w:val="16"/>
                <w:szCs w:val="16"/>
              </w:rPr>
            </w:pPr>
            <w:r w:rsidRPr="00D12D6D">
              <w:rPr>
                <w:rFonts w:ascii="Calibri" w:eastAsia="Calibri" w:hAnsi="Calibri" w:cs="Calibri"/>
                <w:b/>
                <w:sz w:val="16"/>
                <w:szCs w:val="16"/>
              </w:rPr>
              <w:t>03/10/2022</w:t>
            </w:r>
          </w:p>
        </w:tc>
        <w:tc>
          <w:tcPr>
            <w:tcW w:w="618" w:type="dxa"/>
            <w:tcBorders>
              <w:top w:val="single" w:sz="8" w:space="0" w:color="000000"/>
              <w:left w:val="single" w:sz="6" w:space="0" w:color="000000"/>
              <w:bottom w:val="single" w:sz="9" w:space="0" w:color="000000"/>
              <w:right w:val="single" w:sz="7" w:space="0" w:color="000000"/>
            </w:tcBorders>
            <w:shd w:val="clear" w:color="auto" w:fill="F2F2F2"/>
          </w:tcPr>
          <w:p w14:paraId="67457D22" w14:textId="77777777" w:rsidR="0037405C" w:rsidRPr="00D12D6D" w:rsidRDefault="00E161F4">
            <w:pPr>
              <w:spacing w:after="0"/>
              <w:ind w:left="26" w:right="0" w:firstLine="0"/>
              <w:jc w:val="left"/>
              <w:rPr>
                <w:sz w:val="16"/>
                <w:szCs w:val="16"/>
              </w:rPr>
            </w:pPr>
            <w:r w:rsidRPr="00D12D6D">
              <w:rPr>
                <w:rFonts w:ascii="Calibri" w:eastAsia="Calibri" w:hAnsi="Calibri" w:cs="Calibri"/>
                <w:b/>
                <w:sz w:val="16"/>
                <w:szCs w:val="16"/>
              </w:rPr>
              <w:t>04/10/2022</w:t>
            </w:r>
          </w:p>
        </w:tc>
        <w:tc>
          <w:tcPr>
            <w:tcW w:w="588" w:type="dxa"/>
            <w:tcBorders>
              <w:top w:val="single" w:sz="8" w:space="0" w:color="000000"/>
              <w:left w:val="single" w:sz="7" w:space="0" w:color="000000"/>
              <w:bottom w:val="single" w:sz="9" w:space="0" w:color="000000"/>
              <w:right w:val="single" w:sz="6" w:space="0" w:color="000000"/>
            </w:tcBorders>
            <w:shd w:val="clear" w:color="auto" w:fill="F2F2F2"/>
          </w:tcPr>
          <w:p w14:paraId="6FDE648E" w14:textId="77777777" w:rsidR="0037405C" w:rsidRPr="00D12D6D" w:rsidRDefault="00E161F4">
            <w:pPr>
              <w:spacing w:after="0"/>
              <w:ind w:left="8" w:right="0" w:firstLine="0"/>
              <w:jc w:val="left"/>
              <w:rPr>
                <w:sz w:val="16"/>
                <w:szCs w:val="16"/>
              </w:rPr>
            </w:pPr>
            <w:r w:rsidRPr="00D12D6D">
              <w:rPr>
                <w:rFonts w:ascii="Calibri" w:eastAsia="Calibri" w:hAnsi="Calibri" w:cs="Calibri"/>
                <w:b/>
                <w:sz w:val="16"/>
                <w:szCs w:val="16"/>
              </w:rPr>
              <w:t>17/10/2022</w:t>
            </w:r>
          </w:p>
        </w:tc>
        <w:tc>
          <w:tcPr>
            <w:tcW w:w="568" w:type="dxa"/>
            <w:tcBorders>
              <w:top w:val="single" w:sz="8" w:space="0" w:color="000000"/>
              <w:left w:val="single" w:sz="6" w:space="0" w:color="000000"/>
              <w:bottom w:val="single" w:sz="9" w:space="0" w:color="000000"/>
              <w:right w:val="single" w:sz="6" w:space="0" w:color="000000"/>
            </w:tcBorders>
            <w:shd w:val="clear" w:color="auto" w:fill="F2F2F2"/>
          </w:tcPr>
          <w:p w14:paraId="41C4884F" w14:textId="77777777" w:rsidR="0037405C" w:rsidRPr="00D12D6D" w:rsidRDefault="00E161F4">
            <w:pPr>
              <w:spacing w:after="0"/>
              <w:ind w:left="0" w:right="0" w:firstLine="0"/>
              <w:jc w:val="left"/>
              <w:rPr>
                <w:sz w:val="16"/>
                <w:szCs w:val="16"/>
              </w:rPr>
            </w:pPr>
            <w:r w:rsidRPr="00D12D6D">
              <w:rPr>
                <w:rFonts w:ascii="Calibri" w:eastAsia="Calibri" w:hAnsi="Calibri" w:cs="Calibri"/>
                <w:b/>
                <w:sz w:val="16"/>
                <w:szCs w:val="16"/>
              </w:rPr>
              <w:t>18/10/2022</w:t>
            </w:r>
          </w:p>
        </w:tc>
        <w:tc>
          <w:tcPr>
            <w:tcW w:w="999" w:type="dxa"/>
            <w:tcBorders>
              <w:top w:val="single" w:sz="8" w:space="0" w:color="000000"/>
              <w:left w:val="single" w:sz="6" w:space="0" w:color="000000"/>
              <w:bottom w:val="single" w:sz="9" w:space="0" w:color="000000"/>
              <w:right w:val="single" w:sz="5" w:space="0" w:color="000000"/>
            </w:tcBorders>
            <w:shd w:val="clear" w:color="auto" w:fill="F2F2F2"/>
          </w:tcPr>
          <w:p w14:paraId="2BAE07C2" w14:textId="77777777" w:rsidR="0037405C" w:rsidRPr="00D12D6D" w:rsidRDefault="00E161F4">
            <w:pPr>
              <w:spacing w:after="0"/>
              <w:ind w:left="0" w:firstLine="0"/>
              <w:jc w:val="center"/>
              <w:rPr>
                <w:sz w:val="16"/>
                <w:szCs w:val="16"/>
              </w:rPr>
            </w:pPr>
            <w:r w:rsidRPr="00D12D6D">
              <w:rPr>
                <w:rFonts w:ascii="Calibri" w:eastAsia="Calibri" w:hAnsi="Calibri" w:cs="Calibri"/>
                <w:b/>
                <w:sz w:val="16"/>
                <w:szCs w:val="16"/>
              </w:rPr>
              <w:t>19/10/2022</w:t>
            </w:r>
          </w:p>
        </w:tc>
        <w:tc>
          <w:tcPr>
            <w:tcW w:w="671" w:type="dxa"/>
            <w:tcBorders>
              <w:top w:val="single" w:sz="8" w:space="0" w:color="000000"/>
              <w:left w:val="single" w:sz="5" w:space="0" w:color="000000"/>
              <w:bottom w:val="single" w:sz="9" w:space="0" w:color="000000"/>
              <w:right w:val="single" w:sz="5" w:space="0" w:color="000000"/>
            </w:tcBorders>
            <w:shd w:val="clear" w:color="auto" w:fill="F2F2F2"/>
          </w:tcPr>
          <w:p w14:paraId="4E6C54C6" w14:textId="77777777" w:rsidR="0037405C" w:rsidRPr="00D12D6D" w:rsidRDefault="00E161F4">
            <w:pPr>
              <w:spacing w:after="0"/>
              <w:ind w:left="1" w:right="0" w:firstLine="0"/>
              <w:jc w:val="center"/>
              <w:rPr>
                <w:sz w:val="16"/>
                <w:szCs w:val="16"/>
              </w:rPr>
            </w:pPr>
            <w:r w:rsidRPr="00D12D6D">
              <w:rPr>
                <w:rFonts w:ascii="Calibri" w:eastAsia="Calibri" w:hAnsi="Calibri" w:cs="Calibri"/>
                <w:b/>
                <w:sz w:val="16"/>
                <w:szCs w:val="16"/>
              </w:rPr>
              <w:t>20/10/2022</w:t>
            </w:r>
          </w:p>
        </w:tc>
        <w:tc>
          <w:tcPr>
            <w:tcW w:w="660" w:type="dxa"/>
            <w:tcBorders>
              <w:top w:val="single" w:sz="8" w:space="0" w:color="000000"/>
              <w:left w:val="single" w:sz="5" w:space="0" w:color="000000"/>
              <w:bottom w:val="single" w:sz="9" w:space="0" w:color="000000"/>
              <w:right w:val="single" w:sz="2" w:space="0" w:color="000000"/>
            </w:tcBorders>
            <w:shd w:val="clear" w:color="auto" w:fill="F2F2F2"/>
          </w:tcPr>
          <w:p w14:paraId="2CFD0BB8" w14:textId="77777777" w:rsidR="0037405C" w:rsidRPr="00D12D6D" w:rsidRDefault="00E161F4">
            <w:pPr>
              <w:spacing w:after="0"/>
              <w:ind w:left="0" w:right="0" w:firstLine="0"/>
              <w:jc w:val="center"/>
              <w:rPr>
                <w:sz w:val="16"/>
                <w:szCs w:val="16"/>
              </w:rPr>
            </w:pPr>
            <w:r w:rsidRPr="00D12D6D">
              <w:rPr>
                <w:rFonts w:ascii="Calibri" w:eastAsia="Calibri" w:hAnsi="Calibri" w:cs="Calibri"/>
                <w:b/>
                <w:sz w:val="16"/>
                <w:szCs w:val="16"/>
              </w:rPr>
              <w:t>24/10/2022</w:t>
            </w:r>
          </w:p>
        </w:tc>
      </w:tr>
      <w:tr w:rsidR="0037405C" w:rsidRPr="00D12D6D" w14:paraId="663C14A1" w14:textId="77777777">
        <w:trPr>
          <w:trHeight w:val="214"/>
        </w:trPr>
        <w:tc>
          <w:tcPr>
            <w:tcW w:w="1212" w:type="dxa"/>
            <w:tcBorders>
              <w:top w:val="single" w:sz="9" w:space="0" w:color="000000"/>
              <w:left w:val="single" w:sz="6" w:space="0" w:color="000000"/>
              <w:bottom w:val="single" w:sz="4" w:space="0" w:color="000000"/>
              <w:right w:val="single" w:sz="6" w:space="0" w:color="000000"/>
            </w:tcBorders>
            <w:shd w:val="clear" w:color="auto" w:fill="D9D9D9"/>
          </w:tcPr>
          <w:p w14:paraId="4ED96AB5" w14:textId="77777777" w:rsidR="0037405C" w:rsidRPr="00D12D6D" w:rsidRDefault="00E161F4">
            <w:pPr>
              <w:spacing w:after="0"/>
              <w:ind w:left="0" w:right="3" w:firstLine="0"/>
              <w:jc w:val="center"/>
              <w:rPr>
                <w:sz w:val="16"/>
                <w:szCs w:val="16"/>
              </w:rPr>
            </w:pPr>
            <w:r w:rsidRPr="00D12D6D">
              <w:rPr>
                <w:rFonts w:ascii="Calibri" w:eastAsia="Calibri" w:hAnsi="Calibri" w:cs="Calibri"/>
                <w:b/>
                <w:sz w:val="16"/>
                <w:szCs w:val="16"/>
              </w:rPr>
              <w:t>GRUPO</w:t>
            </w:r>
          </w:p>
        </w:tc>
        <w:tc>
          <w:tcPr>
            <w:tcW w:w="587" w:type="dxa"/>
            <w:tcBorders>
              <w:top w:val="single" w:sz="9" w:space="0" w:color="000000"/>
              <w:left w:val="single" w:sz="6" w:space="0" w:color="000000"/>
              <w:bottom w:val="single" w:sz="4" w:space="0" w:color="000000"/>
              <w:right w:val="single" w:sz="5" w:space="0" w:color="000000"/>
            </w:tcBorders>
            <w:shd w:val="clear" w:color="auto" w:fill="DDEBF7"/>
          </w:tcPr>
          <w:p w14:paraId="05DF79BA" w14:textId="77777777" w:rsidR="0037405C" w:rsidRPr="00D12D6D" w:rsidRDefault="00E161F4">
            <w:pPr>
              <w:spacing w:after="0"/>
              <w:ind w:left="0" w:right="7" w:firstLine="0"/>
              <w:jc w:val="center"/>
              <w:rPr>
                <w:sz w:val="16"/>
                <w:szCs w:val="16"/>
              </w:rPr>
            </w:pPr>
            <w:r w:rsidRPr="00D12D6D">
              <w:rPr>
                <w:rFonts w:ascii="Calibri" w:eastAsia="Calibri" w:hAnsi="Calibri" w:cs="Calibri"/>
                <w:b/>
                <w:sz w:val="16"/>
                <w:szCs w:val="16"/>
              </w:rPr>
              <w:t>ORL</w:t>
            </w:r>
          </w:p>
        </w:tc>
        <w:tc>
          <w:tcPr>
            <w:tcW w:w="1000" w:type="dxa"/>
            <w:tcBorders>
              <w:top w:val="single" w:sz="9" w:space="0" w:color="000000"/>
              <w:left w:val="single" w:sz="5" w:space="0" w:color="000000"/>
              <w:bottom w:val="single" w:sz="4" w:space="0" w:color="000000"/>
              <w:right w:val="single" w:sz="5" w:space="0" w:color="000000"/>
            </w:tcBorders>
            <w:shd w:val="clear" w:color="auto" w:fill="DDEBF7"/>
          </w:tcPr>
          <w:p w14:paraId="694D8220" w14:textId="77777777" w:rsidR="0037405C" w:rsidRPr="00D12D6D" w:rsidRDefault="00E161F4">
            <w:pPr>
              <w:spacing w:after="0"/>
              <w:ind w:left="0" w:right="7" w:firstLine="0"/>
              <w:jc w:val="center"/>
              <w:rPr>
                <w:sz w:val="16"/>
                <w:szCs w:val="16"/>
              </w:rPr>
            </w:pPr>
            <w:r w:rsidRPr="00D12D6D">
              <w:rPr>
                <w:rFonts w:ascii="Calibri" w:eastAsia="Calibri" w:hAnsi="Calibri" w:cs="Calibri"/>
                <w:b/>
                <w:sz w:val="16"/>
                <w:szCs w:val="16"/>
              </w:rPr>
              <w:t>CARDIO</w:t>
            </w:r>
          </w:p>
        </w:tc>
        <w:tc>
          <w:tcPr>
            <w:tcW w:w="671" w:type="dxa"/>
            <w:tcBorders>
              <w:top w:val="single" w:sz="9" w:space="0" w:color="000000"/>
              <w:left w:val="single" w:sz="5" w:space="0" w:color="000000"/>
              <w:bottom w:val="single" w:sz="4" w:space="0" w:color="000000"/>
              <w:right w:val="single" w:sz="5" w:space="0" w:color="000000"/>
            </w:tcBorders>
            <w:shd w:val="clear" w:color="auto" w:fill="DDEBF7"/>
          </w:tcPr>
          <w:p w14:paraId="5D85F03F" w14:textId="77777777" w:rsidR="0037405C" w:rsidRPr="00D12D6D" w:rsidRDefault="00E161F4">
            <w:pPr>
              <w:spacing w:after="0"/>
              <w:ind w:left="0" w:right="4" w:firstLine="0"/>
              <w:jc w:val="center"/>
              <w:rPr>
                <w:sz w:val="16"/>
                <w:szCs w:val="16"/>
              </w:rPr>
            </w:pPr>
            <w:r w:rsidRPr="00D12D6D">
              <w:rPr>
                <w:rFonts w:ascii="Calibri" w:eastAsia="Calibri" w:hAnsi="Calibri" w:cs="Calibri"/>
                <w:b/>
                <w:sz w:val="16"/>
                <w:szCs w:val="16"/>
              </w:rPr>
              <w:t>RHB</w:t>
            </w:r>
          </w:p>
        </w:tc>
        <w:tc>
          <w:tcPr>
            <w:tcW w:w="897" w:type="dxa"/>
            <w:tcBorders>
              <w:top w:val="single" w:sz="9" w:space="0" w:color="000000"/>
              <w:left w:val="single" w:sz="5" w:space="0" w:color="000000"/>
              <w:bottom w:val="single" w:sz="4" w:space="0" w:color="000000"/>
              <w:right w:val="single" w:sz="6" w:space="0" w:color="000000"/>
            </w:tcBorders>
            <w:shd w:val="clear" w:color="auto" w:fill="9BC2E6"/>
          </w:tcPr>
          <w:p w14:paraId="765E8CEE" w14:textId="77777777" w:rsidR="0037405C" w:rsidRPr="00D12D6D" w:rsidRDefault="00E161F4">
            <w:pPr>
              <w:spacing w:after="0"/>
              <w:ind w:left="0" w:right="7" w:firstLine="0"/>
              <w:jc w:val="center"/>
              <w:rPr>
                <w:sz w:val="16"/>
                <w:szCs w:val="16"/>
              </w:rPr>
            </w:pPr>
            <w:r w:rsidRPr="00D12D6D">
              <w:rPr>
                <w:rFonts w:ascii="Calibri" w:eastAsia="Calibri" w:hAnsi="Calibri" w:cs="Calibri"/>
                <w:b/>
                <w:sz w:val="16"/>
                <w:szCs w:val="16"/>
              </w:rPr>
              <w:t>ORL</w:t>
            </w:r>
          </w:p>
        </w:tc>
        <w:tc>
          <w:tcPr>
            <w:tcW w:w="890" w:type="dxa"/>
            <w:tcBorders>
              <w:top w:val="single" w:sz="9" w:space="0" w:color="000000"/>
              <w:left w:val="single" w:sz="6" w:space="0" w:color="000000"/>
              <w:bottom w:val="single" w:sz="4" w:space="0" w:color="000000"/>
              <w:right w:val="single" w:sz="6" w:space="0" w:color="000000"/>
            </w:tcBorders>
            <w:shd w:val="clear" w:color="auto" w:fill="DDEBF7"/>
          </w:tcPr>
          <w:p w14:paraId="245183D1" w14:textId="77777777" w:rsidR="0037405C" w:rsidRPr="00D12D6D" w:rsidRDefault="00E161F4">
            <w:pPr>
              <w:spacing w:after="0"/>
              <w:ind w:left="0" w:right="3" w:firstLine="0"/>
              <w:jc w:val="center"/>
              <w:rPr>
                <w:sz w:val="16"/>
                <w:szCs w:val="16"/>
              </w:rPr>
            </w:pPr>
            <w:r w:rsidRPr="00D12D6D">
              <w:rPr>
                <w:rFonts w:ascii="Calibri" w:eastAsia="Calibri" w:hAnsi="Calibri" w:cs="Calibri"/>
                <w:b/>
                <w:sz w:val="16"/>
                <w:szCs w:val="16"/>
              </w:rPr>
              <w:t>OFTALM.</w:t>
            </w:r>
          </w:p>
        </w:tc>
        <w:tc>
          <w:tcPr>
            <w:tcW w:w="618" w:type="dxa"/>
            <w:tcBorders>
              <w:top w:val="single" w:sz="9" w:space="0" w:color="000000"/>
              <w:left w:val="single" w:sz="6" w:space="0" w:color="000000"/>
              <w:bottom w:val="single" w:sz="4" w:space="0" w:color="000000"/>
              <w:right w:val="single" w:sz="7" w:space="0" w:color="000000"/>
            </w:tcBorders>
            <w:shd w:val="clear" w:color="auto" w:fill="9BC2E6"/>
          </w:tcPr>
          <w:p w14:paraId="663ABE6B" w14:textId="77777777" w:rsidR="0037405C" w:rsidRPr="00D12D6D" w:rsidRDefault="00E161F4">
            <w:pPr>
              <w:spacing w:after="0"/>
              <w:ind w:left="0" w:right="0" w:firstLine="0"/>
              <w:jc w:val="center"/>
              <w:rPr>
                <w:sz w:val="16"/>
                <w:szCs w:val="16"/>
              </w:rPr>
            </w:pPr>
            <w:r w:rsidRPr="00D12D6D">
              <w:rPr>
                <w:rFonts w:ascii="Calibri" w:eastAsia="Calibri" w:hAnsi="Calibri" w:cs="Calibri"/>
                <w:b/>
                <w:sz w:val="16"/>
                <w:szCs w:val="16"/>
              </w:rPr>
              <w:t>CARDIO</w:t>
            </w:r>
          </w:p>
        </w:tc>
        <w:tc>
          <w:tcPr>
            <w:tcW w:w="588" w:type="dxa"/>
            <w:tcBorders>
              <w:top w:val="single" w:sz="9" w:space="0" w:color="000000"/>
              <w:left w:val="single" w:sz="7" w:space="0" w:color="000000"/>
              <w:bottom w:val="single" w:sz="4" w:space="0" w:color="000000"/>
              <w:right w:val="single" w:sz="6" w:space="0" w:color="000000"/>
            </w:tcBorders>
            <w:shd w:val="clear" w:color="auto" w:fill="2F75B5"/>
          </w:tcPr>
          <w:p w14:paraId="76A7F25F" w14:textId="77777777" w:rsidR="0037405C" w:rsidRPr="00D12D6D" w:rsidRDefault="00E161F4">
            <w:pPr>
              <w:spacing w:after="0"/>
              <w:ind w:left="0" w:right="4" w:firstLine="0"/>
              <w:jc w:val="center"/>
              <w:rPr>
                <w:sz w:val="16"/>
                <w:szCs w:val="16"/>
              </w:rPr>
            </w:pPr>
            <w:r w:rsidRPr="00D12D6D">
              <w:rPr>
                <w:rFonts w:ascii="Calibri" w:eastAsia="Calibri" w:hAnsi="Calibri" w:cs="Calibri"/>
                <w:b/>
                <w:color w:val="FFFFFF"/>
                <w:sz w:val="16"/>
                <w:szCs w:val="16"/>
              </w:rPr>
              <w:t>ORL</w:t>
            </w:r>
          </w:p>
        </w:tc>
        <w:tc>
          <w:tcPr>
            <w:tcW w:w="568" w:type="dxa"/>
            <w:tcBorders>
              <w:top w:val="single" w:sz="9" w:space="0" w:color="000000"/>
              <w:left w:val="single" w:sz="6" w:space="0" w:color="000000"/>
              <w:bottom w:val="single" w:sz="4" w:space="0" w:color="000000"/>
              <w:right w:val="single" w:sz="6" w:space="0" w:color="000000"/>
            </w:tcBorders>
            <w:shd w:val="clear" w:color="auto" w:fill="DDEBF7"/>
          </w:tcPr>
          <w:p w14:paraId="240A2F1C" w14:textId="77777777" w:rsidR="0037405C" w:rsidRPr="00D12D6D" w:rsidRDefault="00E161F4">
            <w:pPr>
              <w:spacing w:after="0"/>
              <w:ind w:left="38" w:right="0" w:firstLine="0"/>
              <w:jc w:val="left"/>
              <w:rPr>
                <w:sz w:val="16"/>
                <w:szCs w:val="16"/>
              </w:rPr>
            </w:pPr>
            <w:r w:rsidRPr="00D12D6D">
              <w:rPr>
                <w:rFonts w:ascii="Calibri" w:eastAsia="Calibri" w:hAnsi="Calibri" w:cs="Calibri"/>
                <w:b/>
                <w:sz w:val="16"/>
                <w:szCs w:val="16"/>
              </w:rPr>
              <w:t>TRAUMA</w:t>
            </w:r>
          </w:p>
        </w:tc>
        <w:tc>
          <w:tcPr>
            <w:tcW w:w="999" w:type="dxa"/>
            <w:tcBorders>
              <w:top w:val="single" w:sz="9" w:space="0" w:color="000000"/>
              <w:left w:val="single" w:sz="6" w:space="0" w:color="000000"/>
              <w:bottom w:val="single" w:sz="4" w:space="0" w:color="000000"/>
              <w:right w:val="single" w:sz="5" w:space="0" w:color="000000"/>
            </w:tcBorders>
            <w:shd w:val="clear" w:color="auto" w:fill="2F75B5"/>
          </w:tcPr>
          <w:p w14:paraId="35BDFDBE" w14:textId="77777777" w:rsidR="0037405C" w:rsidRPr="00D12D6D" w:rsidRDefault="00E161F4">
            <w:pPr>
              <w:spacing w:after="0"/>
              <w:ind w:left="0" w:right="9" w:firstLine="0"/>
              <w:jc w:val="center"/>
              <w:rPr>
                <w:sz w:val="16"/>
                <w:szCs w:val="16"/>
              </w:rPr>
            </w:pPr>
            <w:r w:rsidRPr="00D12D6D">
              <w:rPr>
                <w:rFonts w:ascii="Calibri" w:eastAsia="Calibri" w:hAnsi="Calibri" w:cs="Calibri"/>
                <w:b/>
                <w:color w:val="FFFFFF"/>
                <w:sz w:val="16"/>
                <w:szCs w:val="16"/>
              </w:rPr>
              <w:t>CARDIO</w:t>
            </w:r>
          </w:p>
        </w:tc>
        <w:tc>
          <w:tcPr>
            <w:tcW w:w="671" w:type="dxa"/>
            <w:tcBorders>
              <w:top w:val="single" w:sz="9" w:space="0" w:color="000000"/>
              <w:left w:val="single" w:sz="5" w:space="0" w:color="000000"/>
              <w:bottom w:val="single" w:sz="4" w:space="0" w:color="000000"/>
              <w:right w:val="single" w:sz="5" w:space="0" w:color="000000"/>
            </w:tcBorders>
            <w:shd w:val="clear" w:color="auto" w:fill="9BC2E6"/>
          </w:tcPr>
          <w:p w14:paraId="54BC412E" w14:textId="77777777" w:rsidR="0037405C" w:rsidRPr="00D12D6D" w:rsidRDefault="00E161F4">
            <w:pPr>
              <w:spacing w:after="0"/>
              <w:ind w:left="0" w:right="7" w:firstLine="0"/>
              <w:jc w:val="center"/>
              <w:rPr>
                <w:sz w:val="16"/>
                <w:szCs w:val="16"/>
              </w:rPr>
            </w:pPr>
            <w:r w:rsidRPr="00D12D6D">
              <w:rPr>
                <w:rFonts w:ascii="Calibri" w:eastAsia="Calibri" w:hAnsi="Calibri" w:cs="Calibri"/>
                <w:b/>
                <w:sz w:val="16"/>
                <w:szCs w:val="16"/>
              </w:rPr>
              <w:t>RHB</w:t>
            </w:r>
          </w:p>
        </w:tc>
        <w:tc>
          <w:tcPr>
            <w:tcW w:w="660" w:type="dxa"/>
            <w:tcBorders>
              <w:top w:val="single" w:sz="9" w:space="0" w:color="000000"/>
              <w:left w:val="single" w:sz="5" w:space="0" w:color="000000"/>
              <w:bottom w:val="single" w:sz="4" w:space="0" w:color="000000"/>
              <w:right w:val="single" w:sz="2" w:space="0" w:color="000000"/>
            </w:tcBorders>
            <w:shd w:val="clear" w:color="auto" w:fill="9BC2E6"/>
          </w:tcPr>
          <w:p w14:paraId="551D75C6" w14:textId="77777777" w:rsidR="0037405C" w:rsidRPr="00D12D6D" w:rsidRDefault="00E161F4">
            <w:pPr>
              <w:spacing w:after="0"/>
              <w:ind w:left="0" w:right="7" w:firstLine="0"/>
              <w:jc w:val="center"/>
              <w:rPr>
                <w:sz w:val="16"/>
                <w:szCs w:val="16"/>
              </w:rPr>
            </w:pPr>
            <w:r w:rsidRPr="00D12D6D">
              <w:rPr>
                <w:rFonts w:ascii="Calibri" w:eastAsia="Calibri" w:hAnsi="Calibri" w:cs="Calibri"/>
                <w:b/>
                <w:sz w:val="16"/>
                <w:szCs w:val="16"/>
              </w:rPr>
              <w:t>OFTALM.</w:t>
            </w:r>
          </w:p>
        </w:tc>
      </w:tr>
    </w:tbl>
    <w:bookmarkEnd w:id="0"/>
    <w:p w14:paraId="29F04D51" w14:textId="128C2FD2" w:rsidR="0037405C" w:rsidRDefault="00E161F4">
      <w:pPr>
        <w:spacing w:after="690"/>
        <w:ind w:right="0"/>
      </w:pPr>
      <w:r>
        <w:t>Es cuanto tengo el honor de informar en cumplimiento de lo dispuesto en el artículo 194 del Reglamento del Parlamento de Navarra.</w:t>
      </w:r>
    </w:p>
    <w:p w14:paraId="02D2D454" w14:textId="77777777" w:rsidR="0037405C" w:rsidRDefault="00E161F4">
      <w:pPr>
        <w:spacing w:after="358" w:line="265" w:lineRule="auto"/>
        <w:ind w:left="13" w:right="3"/>
        <w:jc w:val="center"/>
      </w:pPr>
      <w:r>
        <w:t>Pamplona, 28 de octubre de 2022</w:t>
      </w:r>
    </w:p>
    <w:p w14:paraId="0C814CBE" w14:textId="77777777" w:rsidR="00E161F4" w:rsidRPr="00E161F4" w:rsidRDefault="00E161F4" w:rsidP="00E161F4">
      <w:pPr>
        <w:spacing w:after="0" w:line="360" w:lineRule="auto"/>
        <w:ind w:left="0" w:right="0" w:firstLine="0"/>
        <w:jc w:val="left"/>
        <w:rPr>
          <w:rFonts w:eastAsia="Times New Roman"/>
          <w:color w:val="auto"/>
          <w:sz w:val="22"/>
          <w:lang w:val="es-ES_tradnl"/>
        </w:rPr>
      </w:pPr>
      <w:bookmarkStart w:id="1" w:name="_Hlk118820249"/>
      <w:r w:rsidRPr="00E161F4">
        <w:rPr>
          <w:rFonts w:eastAsia="Times New Roman"/>
          <w:color w:val="auto"/>
          <w:sz w:val="22"/>
          <w:lang w:val="es-ES_tradnl"/>
        </w:rPr>
        <w:t xml:space="preserve">La Consejera de Salud: Santos Induráin </w:t>
      </w:r>
      <w:proofErr w:type="spellStart"/>
      <w:r w:rsidRPr="00E161F4">
        <w:rPr>
          <w:rFonts w:eastAsia="Times New Roman"/>
          <w:color w:val="auto"/>
          <w:sz w:val="22"/>
          <w:lang w:val="es-ES_tradnl"/>
        </w:rPr>
        <w:t>Orduna</w:t>
      </w:r>
      <w:proofErr w:type="spellEnd"/>
    </w:p>
    <w:bookmarkEnd w:id="1"/>
    <w:p w14:paraId="3B6ABBCC" w14:textId="595427A2" w:rsidR="0037405C" w:rsidRDefault="0037405C" w:rsidP="00E161F4">
      <w:pPr>
        <w:spacing w:after="690" w:line="265" w:lineRule="auto"/>
        <w:ind w:left="13" w:right="0"/>
        <w:jc w:val="center"/>
      </w:pPr>
    </w:p>
    <w:sectPr w:rsidR="0037405C">
      <w:pgSz w:w="11900" w:h="16840"/>
      <w:pgMar w:top="1709" w:right="1417" w:bottom="1459"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852F3"/>
    <w:multiLevelType w:val="hybridMultilevel"/>
    <w:tmpl w:val="DDDE4980"/>
    <w:lvl w:ilvl="0" w:tplc="45BA86A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D299EE">
      <w:start w:val="1"/>
      <w:numFmt w:val="bullet"/>
      <w:lvlText w:val="-"/>
      <w:lvlJc w:val="left"/>
      <w:pPr>
        <w:ind w:left="1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3CBA96">
      <w:start w:val="1"/>
      <w:numFmt w:val="bullet"/>
      <w:lvlText w:val="▪"/>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28D3C0">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B2064A">
      <w:start w:val="1"/>
      <w:numFmt w:val="bullet"/>
      <w:lvlText w:val="o"/>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4A63D8">
      <w:start w:val="1"/>
      <w:numFmt w:val="bullet"/>
      <w:lvlText w:val="▪"/>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F86512">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12D3A6">
      <w:start w:val="1"/>
      <w:numFmt w:val="bullet"/>
      <w:lvlText w:val="o"/>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D856EA">
      <w:start w:val="1"/>
      <w:numFmt w:val="bullet"/>
      <w:lvlText w:val="▪"/>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BE176E"/>
    <w:multiLevelType w:val="hybridMultilevel"/>
    <w:tmpl w:val="2ECEE0EA"/>
    <w:lvl w:ilvl="0" w:tplc="1B6EA9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0564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2CD08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CC4D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34ECC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9861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B014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A2C6D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08B7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40217922">
    <w:abstractNumId w:val="0"/>
  </w:num>
  <w:num w:numId="2" w16cid:durableId="22329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5C"/>
    <w:rsid w:val="00142C9D"/>
    <w:rsid w:val="00214C1D"/>
    <w:rsid w:val="0037405C"/>
    <w:rsid w:val="006A5254"/>
    <w:rsid w:val="00D12D6D"/>
    <w:rsid w:val="00E16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8C30"/>
  <w15:docId w15:val="{6A341154-AB22-4224-B240-CF210FBD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ind w:left="10" w:right="5"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2" w:line="343" w:lineRule="auto"/>
      <w:ind w:left="10" w:right="6" w:hanging="10"/>
      <w:jc w:val="both"/>
      <w:outlineLvl w:val="0"/>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747</Words>
  <Characters>5382</Characters>
  <Application>Microsoft Office Word</Application>
  <DocSecurity>0</DocSecurity>
  <Lines>768</Lines>
  <Paragraphs>766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5</cp:revision>
  <dcterms:created xsi:type="dcterms:W3CDTF">2022-11-08T16:19:00Z</dcterms:created>
  <dcterms:modified xsi:type="dcterms:W3CDTF">2023-01-04T13:25:00Z</dcterms:modified>
</cp:coreProperties>
</file>