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6 de marzo de 2023,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los trabajos realizados por la comisión de reconocimiento de las víctimas de ataques contra la integridad física, la indemnidad y la libertad sexual en el ámbito de la Iglesia católica, formulada por el Ilmo. Sr. D. Mikel Buil García.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6 de marzo de 2023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  <w:p>
      <w:pPr>
        <w:pStyle w:val="2"/>
        <w:suppressAutoHyphens w:val="false"/>
        <w:rPr>
          <w:rStyle w:val="1"/>
        </w:rPr>
      </w:pPr>
      <w:r>
        <w:rPr/>
        <w:t xml:space="preserve">TEXTO DE LA PREGUNTA</w:t>
      </w:r>
      <w:r>
        <w:rPr>
          <w:rStyle w:val="1"/>
        </w:rPr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Mikel Buil García, Parlamentario Foral adscrito a la Agrupación Parlamentaria Foral de Podemos-Ahal Dugu, al amparo de lo dispuesto en el Reglamento de esta Cámara, solicita que la pregunta oral para el próximo 9 de marzo de 2023, dirigida al consejero de Políticas Migratorias y Justicia sea la siguiente: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¿Cuál es el estado actual de los trabajos de la recientemente constituida comisión de reconocimiento de las víctimas de ataques contra la integridad física, la indemnidad y la libertad sexual en el ámbito de la Iglesia católica?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Pamplona-Iruñea a 2 de marzo de 2023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Mikel Buil García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