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F5D9" w14:textId="77777777" w:rsidR="00AF1767" w:rsidRDefault="00CE11CA" w:rsidP="000D6E05">
      <w:pPr>
        <w:tabs>
          <w:tab w:val="left" w:pos="3780"/>
        </w:tabs>
        <w:spacing w:line="288" w:lineRule="auto"/>
        <w:jc w:val="both"/>
        <w:rPr>
          <w:rFonts w:ascii="Arial" w:hAnsi="Arial" w:cs="Arial"/>
        </w:rPr>
      </w:pPr>
      <w:r w:rsidRPr="00AF1767">
        <w:rPr>
          <w:rFonts w:ascii="Arial" w:hAnsi="Arial" w:cs="Arial"/>
        </w:rPr>
        <w:t>La Consejera de Salud del Gobierno de Navarra, en relación con la pregunta escrita (10-22-PES-00314) presentada por la Parlamentaria Foral Ilma. Sra. Cristina Ibarrola Guillén, adscrita al Grupo Parlamentario de Navarra Suma, que solicita “Número de reuniones realizadas durante esta legislatura de cada Consejo de Salud de Zona Básica de Salud”, tiene el honor de remitirle la siguiente información:</w:t>
      </w:r>
    </w:p>
    <w:p w14:paraId="2158B0A2" w14:textId="1DB585F6" w:rsidR="00CE11CA" w:rsidRPr="00AF1767" w:rsidRDefault="00CE11CA" w:rsidP="000D6E05">
      <w:pPr>
        <w:pStyle w:val="Prrafodelista"/>
        <w:numPr>
          <w:ilvl w:val="0"/>
          <w:numId w:val="1"/>
        </w:numPr>
        <w:spacing w:line="288" w:lineRule="auto"/>
        <w:jc w:val="both"/>
        <w:rPr>
          <w:rFonts w:ascii="Arial" w:hAnsi="Arial" w:cs="Arial"/>
        </w:rPr>
      </w:pPr>
      <w:r w:rsidRPr="00AF1767">
        <w:rPr>
          <w:rFonts w:ascii="Arial" w:hAnsi="Arial" w:cs="Arial"/>
        </w:rPr>
        <w:t>En el Área de Estella, ninguna.</w:t>
      </w:r>
    </w:p>
    <w:p w14:paraId="627CF318" w14:textId="77777777" w:rsidR="00CE11CA" w:rsidRPr="00AF1767" w:rsidRDefault="00CE11CA" w:rsidP="000D6E05">
      <w:pPr>
        <w:pStyle w:val="Prrafodelista"/>
        <w:numPr>
          <w:ilvl w:val="0"/>
          <w:numId w:val="1"/>
        </w:numPr>
        <w:spacing w:line="288" w:lineRule="auto"/>
        <w:jc w:val="both"/>
        <w:rPr>
          <w:rFonts w:ascii="Arial" w:hAnsi="Arial" w:cs="Arial"/>
        </w:rPr>
      </w:pPr>
      <w:r w:rsidRPr="00AF1767">
        <w:rPr>
          <w:rFonts w:ascii="Arial" w:hAnsi="Arial" w:cs="Arial"/>
        </w:rPr>
        <w:t>En el Área de Tudela</w:t>
      </w:r>
      <w:r w:rsidR="008A4ACD" w:rsidRPr="00AF1767">
        <w:rPr>
          <w:rFonts w:ascii="Arial" w:hAnsi="Arial" w:cs="Arial"/>
        </w:rPr>
        <w:t>:</w:t>
      </w:r>
    </w:p>
    <w:p w14:paraId="6E86BB0E"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Tudela Este: 1</w:t>
      </w:r>
    </w:p>
    <w:p w14:paraId="41C2F209"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Tudela Oeste: 1</w:t>
      </w:r>
    </w:p>
    <w:p w14:paraId="6ECC171D"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Cintruénigo: 3</w:t>
      </w:r>
    </w:p>
    <w:p w14:paraId="269F9731"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Cascante: 1</w:t>
      </w:r>
    </w:p>
    <w:p w14:paraId="5377FCC1" w14:textId="77777777" w:rsidR="00CE11CA" w:rsidRPr="00AF1767" w:rsidRDefault="008A4ACD" w:rsidP="000D6E05">
      <w:pPr>
        <w:pStyle w:val="Prrafodelista"/>
        <w:numPr>
          <w:ilvl w:val="0"/>
          <w:numId w:val="1"/>
        </w:numPr>
        <w:spacing w:line="288" w:lineRule="auto"/>
        <w:jc w:val="both"/>
        <w:rPr>
          <w:rFonts w:ascii="Arial" w:hAnsi="Arial" w:cs="Arial"/>
        </w:rPr>
      </w:pPr>
      <w:r w:rsidRPr="00AF1767">
        <w:rPr>
          <w:rFonts w:ascii="Arial" w:hAnsi="Arial" w:cs="Arial"/>
        </w:rPr>
        <w:t>En el Área de Pamplona:</w:t>
      </w:r>
    </w:p>
    <w:p w14:paraId="3D285CAB"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Alsasua: 3</w:t>
      </w:r>
    </w:p>
    <w:p w14:paraId="5077DCD1"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Berriozar: 4</w:t>
      </w:r>
    </w:p>
    <w:p w14:paraId="215F2FD2"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Burguete: 2</w:t>
      </w:r>
    </w:p>
    <w:p w14:paraId="5BBA425C"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r>
      <w:proofErr w:type="spellStart"/>
      <w:r w:rsidRPr="00AF1767">
        <w:rPr>
          <w:rFonts w:ascii="Arial" w:hAnsi="Arial" w:cs="Arial"/>
        </w:rPr>
        <w:t>Doneztebe</w:t>
      </w:r>
      <w:proofErr w:type="spellEnd"/>
      <w:r w:rsidRPr="00AF1767">
        <w:rPr>
          <w:rFonts w:ascii="Arial" w:hAnsi="Arial" w:cs="Arial"/>
        </w:rPr>
        <w:t>: 2</w:t>
      </w:r>
    </w:p>
    <w:p w14:paraId="1390B0AC"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Elizondo: 1</w:t>
      </w:r>
    </w:p>
    <w:p w14:paraId="30D66384"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Huarte: 1</w:t>
      </w:r>
    </w:p>
    <w:p w14:paraId="2BB49F2A"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r>
      <w:proofErr w:type="spellStart"/>
      <w:r w:rsidRPr="00AF1767">
        <w:rPr>
          <w:rFonts w:ascii="Arial" w:hAnsi="Arial" w:cs="Arial"/>
        </w:rPr>
        <w:t>Irurtzun</w:t>
      </w:r>
      <w:proofErr w:type="spellEnd"/>
      <w:r w:rsidRPr="00AF1767">
        <w:rPr>
          <w:rFonts w:ascii="Arial" w:hAnsi="Arial" w:cs="Arial"/>
        </w:rPr>
        <w:t>: 1</w:t>
      </w:r>
    </w:p>
    <w:p w14:paraId="4B4ACA6D"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Leitza: 2</w:t>
      </w:r>
    </w:p>
    <w:p w14:paraId="0F448BF8"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Lesaka: 2</w:t>
      </w:r>
    </w:p>
    <w:p w14:paraId="53BA70CD" w14:textId="77777777" w:rsidR="008A4ACD" w:rsidRPr="00AF1767" w:rsidRDefault="008A4ACD"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San Jorge: 3</w:t>
      </w:r>
    </w:p>
    <w:p w14:paraId="32863BCB" w14:textId="77777777" w:rsidR="000D6E05" w:rsidRPr="00AF1767" w:rsidRDefault="000D6E05"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Sangüesa: 2</w:t>
      </w:r>
    </w:p>
    <w:p w14:paraId="17BAC847" w14:textId="77777777" w:rsidR="00AF1767" w:rsidRDefault="000D6E05" w:rsidP="000D6E05">
      <w:pPr>
        <w:spacing w:line="288" w:lineRule="auto"/>
        <w:ind w:left="705"/>
        <w:jc w:val="both"/>
        <w:rPr>
          <w:rFonts w:ascii="Arial" w:hAnsi="Arial" w:cs="Arial"/>
        </w:rPr>
      </w:pPr>
      <w:r w:rsidRPr="00AF1767">
        <w:rPr>
          <w:rFonts w:ascii="Arial" w:hAnsi="Arial" w:cs="Arial"/>
        </w:rPr>
        <w:tab/>
      </w:r>
      <w:r w:rsidRPr="00AF1767">
        <w:rPr>
          <w:rFonts w:ascii="Arial" w:hAnsi="Arial" w:cs="Arial"/>
        </w:rPr>
        <w:tab/>
        <w:t>Burlada: 2</w:t>
      </w:r>
    </w:p>
    <w:p w14:paraId="4CB944D3" w14:textId="39DF7225" w:rsidR="00AF1767" w:rsidRDefault="00CE11CA" w:rsidP="000D6E05">
      <w:pPr>
        <w:tabs>
          <w:tab w:val="left" w:pos="720"/>
        </w:tabs>
        <w:spacing w:line="288" w:lineRule="auto"/>
        <w:jc w:val="both"/>
        <w:rPr>
          <w:rFonts w:ascii="Arial" w:hAnsi="Arial" w:cs="Arial"/>
        </w:rPr>
      </w:pPr>
      <w:r w:rsidRPr="00AF1767">
        <w:rPr>
          <w:rFonts w:ascii="Arial" w:hAnsi="Arial" w:cs="Arial"/>
        </w:rPr>
        <w:t>Es cuanto tengo el honor de informar en cumplimiento de lo dispuesto en el artículo 194 del Reglamento del Parlamento de Navarra.</w:t>
      </w:r>
    </w:p>
    <w:p w14:paraId="57A18E56" w14:textId="77777777" w:rsidR="00AF1767" w:rsidRDefault="00CE11CA" w:rsidP="000D6E05">
      <w:pPr>
        <w:tabs>
          <w:tab w:val="left" w:pos="3780"/>
        </w:tabs>
        <w:spacing w:line="288" w:lineRule="auto"/>
        <w:jc w:val="center"/>
        <w:rPr>
          <w:rFonts w:ascii="Arial" w:hAnsi="Arial" w:cs="Arial"/>
        </w:rPr>
      </w:pPr>
      <w:r w:rsidRPr="00AF1767">
        <w:rPr>
          <w:rFonts w:ascii="Arial" w:hAnsi="Arial" w:cs="Arial"/>
        </w:rPr>
        <w:t>Pamplona, 14 de noviembre de 2022</w:t>
      </w:r>
    </w:p>
    <w:p w14:paraId="7698ADC4" w14:textId="77777777" w:rsidR="00AF1767" w:rsidRDefault="00AF1767" w:rsidP="00AF1767">
      <w:pPr>
        <w:spacing w:line="288" w:lineRule="auto"/>
        <w:ind w:left="567" w:right="567"/>
        <w:jc w:val="center"/>
        <w:outlineLvl w:val="0"/>
        <w:rPr>
          <w:rFonts w:ascii="Arial" w:hAnsi="Arial" w:cs="Arial"/>
        </w:rPr>
      </w:pPr>
      <w:r>
        <w:rPr>
          <w:rFonts w:ascii="Arial" w:hAnsi="Arial" w:cs="Arial"/>
        </w:rPr>
        <w:t xml:space="preserve">La Consejera de Salud: </w:t>
      </w:r>
      <w:r>
        <w:rPr>
          <w:rFonts w:ascii="Arial" w:hAnsi="Arial" w:cs="Arial"/>
          <w:lang w:val="pt-BR"/>
        </w:rPr>
        <w:t xml:space="preserve">Santos </w:t>
      </w:r>
      <w:proofErr w:type="spellStart"/>
      <w:r>
        <w:rPr>
          <w:rFonts w:ascii="Arial" w:hAnsi="Arial" w:cs="Arial"/>
          <w:lang w:val="pt-BR"/>
        </w:rPr>
        <w:t>Induráin</w:t>
      </w:r>
      <w:proofErr w:type="spellEnd"/>
      <w:r>
        <w:rPr>
          <w:rFonts w:ascii="Arial" w:hAnsi="Arial" w:cs="Arial"/>
          <w:lang w:val="pt-BR"/>
        </w:rPr>
        <w:t xml:space="preserve"> </w:t>
      </w:r>
      <w:proofErr w:type="spellStart"/>
      <w:r>
        <w:rPr>
          <w:rFonts w:ascii="Arial" w:hAnsi="Arial" w:cs="Arial"/>
          <w:lang w:val="pt-BR"/>
        </w:rPr>
        <w:t>Orduna</w:t>
      </w:r>
      <w:proofErr w:type="spellEnd"/>
    </w:p>
    <w:p w14:paraId="4BFFD62E" w14:textId="075F85B2" w:rsidR="00303AD6" w:rsidRPr="00AF1767" w:rsidRDefault="00303AD6" w:rsidP="000D6E05">
      <w:pPr>
        <w:spacing w:line="288" w:lineRule="auto"/>
        <w:ind w:left="567" w:right="567"/>
        <w:jc w:val="center"/>
        <w:rPr>
          <w:rFonts w:ascii="Arial" w:hAnsi="Arial" w:cs="Arial"/>
        </w:rPr>
      </w:pPr>
    </w:p>
    <w:sectPr w:rsidR="00303AD6" w:rsidRPr="00AF17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B11EC"/>
    <w:multiLevelType w:val="hybridMultilevel"/>
    <w:tmpl w:val="4AA03574"/>
    <w:lvl w:ilvl="0" w:tplc="EA183B82">
      <w:numFmt w:val="bullet"/>
      <w:lvlText w:val="-"/>
      <w:lvlJc w:val="left"/>
      <w:pPr>
        <w:ind w:left="1065" w:hanging="360"/>
      </w:pPr>
      <w:rPr>
        <w:rFonts w:ascii="Century Gothic" w:eastAsia="Times New Roman" w:hAnsi="Century Gothic"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16cid:durableId="87866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CA"/>
    <w:rsid w:val="000D6E05"/>
    <w:rsid w:val="00303AD6"/>
    <w:rsid w:val="008A4ACD"/>
    <w:rsid w:val="00AF1767"/>
    <w:rsid w:val="00CE1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201E"/>
  <w15:chartTrackingRefBased/>
  <w15:docId w15:val="{82AFD3CC-81D6-42F8-97D5-E3602E95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C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1CA"/>
    <w:pPr>
      <w:ind w:left="720"/>
      <w:contextualSpacing/>
    </w:pPr>
  </w:style>
  <w:style w:type="paragraph" w:styleId="Textodeglobo">
    <w:name w:val="Balloon Text"/>
    <w:basedOn w:val="Normal"/>
    <w:link w:val="TextodegloboCar"/>
    <w:uiPriority w:val="99"/>
    <w:semiHidden/>
    <w:unhideWhenUsed/>
    <w:rsid w:val="00CE11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1C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05406">
      <w:bodyDiv w:val="1"/>
      <w:marLeft w:val="0"/>
      <w:marRight w:val="0"/>
      <w:marTop w:val="0"/>
      <w:marBottom w:val="0"/>
      <w:divBdr>
        <w:top w:val="none" w:sz="0" w:space="0" w:color="auto"/>
        <w:left w:val="none" w:sz="0" w:space="0" w:color="auto"/>
        <w:bottom w:val="none" w:sz="0" w:space="0" w:color="auto"/>
        <w:right w:val="none" w:sz="0" w:space="0" w:color="auto"/>
      </w:divBdr>
    </w:div>
    <w:div w:id="13731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141</Words>
  <Characters>778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N200147</dc:creator>
  <cp:keywords/>
  <dc:description/>
  <cp:lastModifiedBy>Aranaz, Carlota</cp:lastModifiedBy>
  <cp:revision>4</cp:revision>
  <cp:lastPrinted>2022-11-14T12:41:00Z</cp:lastPrinted>
  <dcterms:created xsi:type="dcterms:W3CDTF">2022-11-14T12:35:00Z</dcterms:created>
  <dcterms:modified xsi:type="dcterms:W3CDTF">2022-11-15T08:02:00Z</dcterms:modified>
</cp:coreProperties>
</file>