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26B0" w14:textId="77777777" w:rsidR="007E46E2" w:rsidRDefault="007E46E2">
      <w:pPr>
        <w:spacing w:after="121"/>
        <w:ind w:left="715" w:right="658"/>
      </w:pPr>
      <w:r>
        <w:t xml:space="preserve">Navarra Suma talde parlamentarioari atxikitako foru parlamentari Jorge Esparza Garrido jaunak galdera egin du Nafarroako Gobernuak 2021ean gauzatutako pentsioei eta pentsioen osagarriei buruz (10-22/PES-00333). Hona Nafarroako Gobernuko Eskubide Sozialetako kontseilariak informatzeko duena: </w:t>
      </w:r>
    </w:p>
    <w:p w14:paraId="7C546E43" w14:textId="07E22F02" w:rsidR="0062049F" w:rsidRDefault="007E46E2">
      <w:pPr>
        <w:ind w:left="715" w:right="658"/>
      </w:pPr>
      <w:r>
        <w:t xml:space="preserve">Esparza jaunak eskatu dituen datuak aurkeztu aurretik, argitu behar da Eskubide Sozialetako Departamentuan kudeatzen diren pentsioak eta pentsioen osagarriak honako hauek direla: </w:t>
      </w:r>
    </w:p>
    <w:p w14:paraId="4E17075C" w14:textId="77777777" w:rsidR="0062049F" w:rsidRDefault="007E46E2">
      <w:pPr>
        <w:numPr>
          <w:ilvl w:val="0"/>
          <w:numId w:val="1"/>
        </w:numPr>
        <w:ind w:right="658" w:hanging="360"/>
      </w:pPr>
      <w:r>
        <w:t xml:space="preserve">Desgaitasuna duten pertsonentzako prestazio sozial eta ekonomikoak, tartean mugikortasunerako eta garraio gastuetarako sorospena (LISMI legean aurreikusia). Otsailaren 1eko 383/1984 Errege Dekretuan arautu ziren, eta abenduaren 20ko 26/1990 Legeak, kotizazio gabeko pentsioak arautu zituenak, ezabatu egin zituen. Lege hori argitaratu zenean, kotizazio gabeko baliaezintasun-pentsioek ordeztu zuten sorospen hori. Beraz, jada ez da igotzen, eta desagertzera jotzen du. </w:t>
      </w:r>
    </w:p>
    <w:p w14:paraId="64823A8C" w14:textId="77777777" w:rsidR="0062049F" w:rsidRDefault="007E46E2">
      <w:pPr>
        <w:numPr>
          <w:ilvl w:val="0"/>
          <w:numId w:val="1"/>
        </w:numPr>
        <w:ind w:right="658" w:hanging="360"/>
      </w:pPr>
      <w:r>
        <w:t xml:space="preserve">Gizarte Segurantzako kotizazio gabeko erretiro- eta baliaezintasun-pentsioak, 1991. urtetik Nafarroan kudeatzen direnak (abenduaren 28ko 1681/1990 Errege Dekretua). </w:t>
      </w:r>
    </w:p>
    <w:p w14:paraId="2168B4F0" w14:textId="77777777" w:rsidR="007E46E2" w:rsidRDefault="007E46E2">
      <w:pPr>
        <w:numPr>
          <w:ilvl w:val="0"/>
          <w:numId w:val="1"/>
        </w:numPr>
        <w:ind w:right="658" w:hanging="360"/>
      </w:pPr>
      <w:r>
        <w:t xml:space="preserve">Alokairurako osagarria kotizazio gabeko pentsioa dutenentzat. Aurreko prestazioak bezala, estatu eremukoa da. Abuztuaren 3ko 1191/2012 Errege Dekretuak arautzen du, zeinaren bidez arauak ezartzen baitira Gizarte Segurantzako kotizazio gabeko pentsioa dutenei etxebizitza alokatzeko pentsio-osagarria emateko. </w:t>
      </w:r>
    </w:p>
    <w:p w14:paraId="62F8DC3C" w14:textId="13FE64AB" w:rsidR="0062049F" w:rsidRDefault="007E46E2">
      <w:pPr>
        <w:ind w:left="715" w:right="658"/>
      </w:pPr>
      <w:r>
        <w:t xml:space="preserve">Bestalde, alargun- edo erretiro-pentsioa dutenei zenbait kenkari aplikatzea aurreikusten du Pertsona Fisikoen Errentaren gaineko Zergari buruzko Foru Legearen testu bateginak, ekainaren 2ko 4/2008 Legegintzako Foru Dekretuaren bidez onetsiak. Kenkari horien aplikazioa aurreratu egin daiteke bi kasu zehatzetan: batetik, gutxienekoetara iristeko osagarrirako </w:t>
      </w:r>
    </w:p>
    <w:p w14:paraId="09D8B98B" w14:textId="77777777" w:rsidR="007E46E2" w:rsidRDefault="007E46E2">
      <w:pPr>
        <w:ind w:left="715" w:right="658"/>
      </w:pPr>
      <w:r>
        <w:t xml:space="preserve">eskubidea duten alargun-pentsioetan, eta bestetik, kotizazio gabeko erretiro-pentsioetan, pentsiodunak errenta bermatuaren baldintzak ere betetzen baditu. Halako kasuetan, modalitate horretarako eskaera egin behar zaio Eskubide Sozialetako Departamentuari, hark baloratu eta, bidezkoa bada, ordainketa aurreratua proposa dezan.  </w:t>
      </w:r>
    </w:p>
    <w:p w14:paraId="35A9714A" w14:textId="77777777" w:rsidR="007E46E2" w:rsidRDefault="007E46E2">
      <w:pPr>
        <w:ind w:left="715" w:right="658"/>
      </w:pPr>
      <w:r>
        <w:t xml:space="preserve">Laburbilduz, hizpide dugun arloan gizarte babeseko hiru motatako neurriak erabiltzen ari dira gaur egun: pentsioak, alokairurako osagarria eta zergen kenkariak. </w:t>
      </w:r>
    </w:p>
    <w:p w14:paraId="65EAB62D" w14:textId="05CAA418" w:rsidR="0062049F" w:rsidRDefault="007E46E2">
      <w:pPr>
        <w:spacing w:line="259" w:lineRule="auto"/>
        <w:ind w:left="715" w:right="658"/>
      </w:pPr>
      <w:r>
        <w:lastRenderedPageBreak/>
        <w:t xml:space="preserve">Hauek dira hiru modalitateen kudeaketari buruzko 2021eko datuak:  </w:t>
      </w:r>
    </w:p>
    <w:p w14:paraId="6FA29046" w14:textId="77777777" w:rsidR="007E46E2" w:rsidRDefault="007E46E2">
      <w:pPr>
        <w:spacing w:line="259" w:lineRule="auto"/>
        <w:ind w:left="715" w:right="658"/>
      </w:pPr>
    </w:p>
    <w:tbl>
      <w:tblPr>
        <w:tblStyle w:val="TableGrid"/>
        <w:tblW w:w="9619" w:type="dxa"/>
        <w:tblInd w:w="279" w:type="dxa"/>
        <w:tblCellMar>
          <w:top w:w="54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3055"/>
        <w:gridCol w:w="1709"/>
        <w:gridCol w:w="1650"/>
        <w:gridCol w:w="1801"/>
        <w:gridCol w:w="1404"/>
      </w:tblGrid>
      <w:tr w:rsidR="0062049F" w14:paraId="668675DB" w14:textId="77777777" w:rsidTr="007E46E2">
        <w:trPr>
          <w:trHeight w:val="368"/>
        </w:trPr>
        <w:tc>
          <w:tcPr>
            <w:tcW w:w="8215" w:type="dxa"/>
            <w:gridSpan w:val="4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nil"/>
            </w:tcBorders>
            <w:shd w:val="clear" w:color="auto" w:fill="E8F8EB"/>
          </w:tcPr>
          <w:p w14:paraId="785BD0B5" w14:textId="77777777" w:rsidR="0062049F" w:rsidRDefault="007E46E2">
            <w:pPr>
              <w:spacing w:line="259" w:lineRule="auto"/>
              <w:ind w:left="2354" w:right="0" w:firstLine="0"/>
              <w:jc w:val="left"/>
            </w:pPr>
            <w:r>
              <w:rPr>
                <w:b/>
                <w:sz w:val="18"/>
              </w:rPr>
              <w:t xml:space="preserve">Gizarte Segurantzako kotizazio gabeko pentsioak </w:t>
            </w:r>
          </w:p>
        </w:tc>
        <w:tc>
          <w:tcPr>
            <w:tcW w:w="1404" w:type="dxa"/>
            <w:tcBorders>
              <w:top w:val="single" w:sz="4" w:space="0" w:color="3AC354"/>
              <w:left w:val="nil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7562B353" w14:textId="77777777" w:rsidR="0062049F" w:rsidRDefault="006204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49F" w14:paraId="20FCDFF4" w14:textId="77777777" w:rsidTr="007E46E2">
        <w:trPr>
          <w:trHeight w:val="367"/>
        </w:trPr>
        <w:tc>
          <w:tcPr>
            <w:tcW w:w="3055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F643264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Neurriaren modalitatea </w:t>
            </w:r>
          </w:p>
        </w:tc>
        <w:tc>
          <w:tcPr>
            <w:tcW w:w="1709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51EE0C61" w14:textId="77777777" w:rsidR="0062049F" w:rsidRDefault="007E46E2">
            <w:pPr>
              <w:spacing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Pentsioen kopurua </w:t>
            </w:r>
          </w:p>
        </w:tc>
        <w:tc>
          <w:tcPr>
            <w:tcW w:w="1650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345DCE37" w14:textId="77777777" w:rsidR="0062049F" w:rsidRDefault="007E46E2">
            <w:pPr>
              <w:spacing w:line="259" w:lineRule="auto"/>
              <w:ind w:left="95" w:right="0" w:firstLine="0"/>
              <w:jc w:val="left"/>
            </w:pPr>
            <w:r>
              <w:rPr>
                <w:sz w:val="18"/>
              </w:rPr>
              <w:t xml:space="preserve">Zenbatekoa, batez beste (€) </w:t>
            </w:r>
          </w:p>
        </w:tc>
        <w:tc>
          <w:tcPr>
            <w:tcW w:w="1801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DBCD9D1" w14:textId="77777777" w:rsidR="0062049F" w:rsidRDefault="007E46E2">
            <w:pPr>
              <w:spacing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Hilean, batez beste (€) </w:t>
            </w:r>
          </w:p>
        </w:tc>
        <w:tc>
          <w:tcPr>
            <w:tcW w:w="1404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20FCE57E" w14:textId="77777777" w:rsidR="0062049F" w:rsidRDefault="007E46E2">
            <w:pPr>
              <w:spacing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Guztira </w:t>
            </w:r>
          </w:p>
        </w:tc>
      </w:tr>
      <w:tr w:rsidR="0062049F" w14:paraId="2DA3D97A" w14:textId="77777777" w:rsidTr="007E46E2">
        <w:trPr>
          <w:trHeight w:val="367"/>
        </w:trPr>
        <w:tc>
          <w:tcPr>
            <w:tcW w:w="3055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20284A91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Lehengo LISMI  </w:t>
            </w:r>
          </w:p>
        </w:tc>
        <w:tc>
          <w:tcPr>
            <w:tcW w:w="1709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4C1559F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1650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7FE9066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1.775,26 </w:t>
            </w:r>
          </w:p>
        </w:tc>
        <w:tc>
          <w:tcPr>
            <w:tcW w:w="1801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BF67884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147,94 </w:t>
            </w:r>
          </w:p>
        </w:tc>
        <w:tc>
          <w:tcPr>
            <w:tcW w:w="1404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97A232B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88.762,99 </w:t>
            </w:r>
          </w:p>
        </w:tc>
      </w:tr>
      <w:tr w:rsidR="0062049F" w14:paraId="733F8DB6" w14:textId="77777777" w:rsidTr="007E46E2">
        <w:trPr>
          <w:trHeight w:val="370"/>
        </w:trPr>
        <w:tc>
          <w:tcPr>
            <w:tcW w:w="3055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1DAE149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Erretiroko KGP  </w:t>
            </w:r>
          </w:p>
        </w:tc>
        <w:tc>
          <w:tcPr>
            <w:tcW w:w="1709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5015754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1.907 </w:t>
            </w:r>
          </w:p>
        </w:tc>
        <w:tc>
          <w:tcPr>
            <w:tcW w:w="1650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5F8018FE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4.771,71 </w:t>
            </w:r>
          </w:p>
        </w:tc>
        <w:tc>
          <w:tcPr>
            <w:tcW w:w="1801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504BB332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397,64 </w:t>
            </w:r>
          </w:p>
        </w:tc>
        <w:tc>
          <w:tcPr>
            <w:tcW w:w="1404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32666BA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9.099.644,41 </w:t>
            </w:r>
          </w:p>
        </w:tc>
      </w:tr>
      <w:tr w:rsidR="0062049F" w14:paraId="49B8F838" w14:textId="77777777" w:rsidTr="007E46E2">
        <w:trPr>
          <w:trHeight w:val="367"/>
        </w:trPr>
        <w:tc>
          <w:tcPr>
            <w:tcW w:w="3055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682C7C66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Baliaezintasuneko KGP  </w:t>
            </w:r>
          </w:p>
        </w:tc>
        <w:tc>
          <w:tcPr>
            <w:tcW w:w="1709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0DAD3A96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1.204 </w:t>
            </w:r>
          </w:p>
        </w:tc>
        <w:tc>
          <w:tcPr>
            <w:tcW w:w="1650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9AD44B0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5.579,83 </w:t>
            </w:r>
          </w:p>
        </w:tc>
        <w:tc>
          <w:tcPr>
            <w:tcW w:w="1801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1730F69F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464,99 </w:t>
            </w:r>
          </w:p>
        </w:tc>
        <w:tc>
          <w:tcPr>
            <w:tcW w:w="1404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C71EDB4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6.718.112,61 </w:t>
            </w:r>
          </w:p>
        </w:tc>
      </w:tr>
      <w:tr w:rsidR="0062049F" w14:paraId="4A7122B8" w14:textId="77777777" w:rsidTr="007E46E2">
        <w:trPr>
          <w:trHeight w:val="367"/>
        </w:trPr>
        <w:tc>
          <w:tcPr>
            <w:tcW w:w="3055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5817506A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Etxebizitzarako osagarria (KGP)* </w:t>
            </w:r>
          </w:p>
        </w:tc>
        <w:tc>
          <w:tcPr>
            <w:tcW w:w="1709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1174C4B5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156 </w:t>
            </w:r>
          </w:p>
        </w:tc>
        <w:tc>
          <w:tcPr>
            <w:tcW w:w="1650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47AB1132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525,00 </w:t>
            </w:r>
          </w:p>
        </w:tc>
        <w:tc>
          <w:tcPr>
            <w:tcW w:w="1801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  <w:vAlign w:val="bottom"/>
          </w:tcPr>
          <w:p w14:paraId="08BF82E9" w14:textId="77777777" w:rsidR="0062049F" w:rsidRDefault="007E46E2">
            <w:pPr>
              <w:spacing w:line="259" w:lineRule="auto"/>
              <w:ind w:left="0" w:righ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3AC354"/>
              <w:left w:val="single" w:sz="4" w:space="0" w:color="3AC354"/>
              <w:bottom w:val="single" w:sz="4" w:space="0" w:color="3AC354"/>
              <w:right w:val="single" w:sz="4" w:space="0" w:color="3AC354"/>
            </w:tcBorders>
            <w:shd w:val="clear" w:color="auto" w:fill="E8F8EB"/>
          </w:tcPr>
          <w:p w14:paraId="360DCCA8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81.900,00 </w:t>
            </w:r>
          </w:p>
        </w:tc>
      </w:tr>
      <w:tr w:rsidR="0062049F" w14:paraId="58D581A0" w14:textId="77777777" w:rsidTr="007E46E2">
        <w:trPr>
          <w:trHeight w:val="370"/>
        </w:trPr>
        <w:tc>
          <w:tcPr>
            <w:tcW w:w="8215" w:type="dxa"/>
            <w:gridSpan w:val="4"/>
            <w:tcBorders>
              <w:top w:val="single" w:sz="4" w:space="0" w:color="3AC354"/>
              <w:left w:val="single" w:sz="4" w:space="0" w:color="FFCF01"/>
              <w:bottom w:val="single" w:sz="4" w:space="0" w:color="FFCF01"/>
              <w:right w:val="nil"/>
            </w:tcBorders>
            <w:shd w:val="clear" w:color="auto" w:fill="FFF7D4"/>
          </w:tcPr>
          <w:p w14:paraId="714DD6F1" w14:textId="77777777" w:rsidR="0062049F" w:rsidRDefault="007E46E2">
            <w:pPr>
              <w:spacing w:line="259" w:lineRule="auto"/>
              <w:ind w:left="0" w:right="375" w:firstLine="0"/>
              <w:jc w:val="right"/>
            </w:pPr>
            <w:r>
              <w:rPr>
                <w:b/>
                <w:sz w:val="18"/>
              </w:rPr>
              <w:t xml:space="preserve">Kenkariak, alargun-pentsioengatik eta erretiroko kotizazio gabeko pentsioengatik </w:t>
            </w:r>
          </w:p>
        </w:tc>
        <w:tc>
          <w:tcPr>
            <w:tcW w:w="1404" w:type="dxa"/>
            <w:tcBorders>
              <w:top w:val="single" w:sz="4" w:space="0" w:color="3AC354"/>
              <w:left w:val="nil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523BBD2E" w14:textId="77777777" w:rsidR="0062049F" w:rsidRDefault="006204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2049F" w14:paraId="3542EAEB" w14:textId="77777777" w:rsidTr="007E46E2">
        <w:trPr>
          <w:trHeight w:val="367"/>
        </w:trPr>
        <w:tc>
          <w:tcPr>
            <w:tcW w:w="3055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11DAB0E4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Alarguntza  </w:t>
            </w:r>
          </w:p>
        </w:tc>
        <w:tc>
          <w:tcPr>
            <w:tcW w:w="1709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0DC0E589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4.019 </w:t>
            </w:r>
          </w:p>
        </w:tc>
        <w:tc>
          <w:tcPr>
            <w:tcW w:w="1650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3C326FEB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856,78 </w:t>
            </w:r>
          </w:p>
        </w:tc>
        <w:tc>
          <w:tcPr>
            <w:tcW w:w="1801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75FC5838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71,40 </w:t>
            </w:r>
          </w:p>
        </w:tc>
        <w:tc>
          <w:tcPr>
            <w:tcW w:w="1404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6CD151FB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3.443.404,32 </w:t>
            </w:r>
          </w:p>
        </w:tc>
      </w:tr>
      <w:tr w:rsidR="0062049F" w14:paraId="7B997E05" w14:textId="77777777" w:rsidTr="007E46E2">
        <w:trPr>
          <w:trHeight w:val="366"/>
        </w:trPr>
        <w:tc>
          <w:tcPr>
            <w:tcW w:w="3055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633B0007" w14:textId="77777777" w:rsidR="0062049F" w:rsidRDefault="007E46E2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Erretiroko KGP  </w:t>
            </w:r>
          </w:p>
        </w:tc>
        <w:tc>
          <w:tcPr>
            <w:tcW w:w="1709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697CF165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602 </w:t>
            </w:r>
          </w:p>
        </w:tc>
        <w:tc>
          <w:tcPr>
            <w:tcW w:w="1650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79459C42" w14:textId="77777777" w:rsidR="0062049F" w:rsidRDefault="007E46E2">
            <w:pPr>
              <w:spacing w:line="259" w:lineRule="auto"/>
              <w:ind w:left="0" w:right="50" w:firstLine="0"/>
              <w:jc w:val="right"/>
            </w:pPr>
            <w:r>
              <w:rPr>
                <w:sz w:val="18"/>
              </w:rPr>
              <w:t xml:space="preserve">1.691,70 </w:t>
            </w:r>
          </w:p>
        </w:tc>
        <w:tc>
          <w:tcPr>
            <w:tcW w:w="1801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7E8897BE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140,97 </w:t>
            </w:r>
          </w:p>
        </w:tc>
        <w:tc>
          <w:tcPr>
            <w:tcW w:w="1404" w:type="dxa"/>
            <w:tcBorders>
              <w:top w:val="single" w:sz="4" w:space="0" w:color="FFCF01"/>
              <w:left w:val="single" w:sz="4" w:space="0" w:color="FFCF01"/>
              <w:bottom w:val="single" w:sz="4" w:space="0" w:color="FFCF01"/>
              <w:right w:val="single" w:sz="4" w:space="0" w:color="FFCF01"/>
            </w:tcBorders>
            <w:shd w:val="clear" w:color="auto" w:fill="FFF7D4"/>
          </w:tcPr>
          <w:p w14:paraId="59325952" w14:textId="77777777" w:rsidR="0062049F" w:rsidRDefault="007E46E2">
            <w:pPr>
              <w:spacing w:line="259" w:lineRule="auto"/>
              <w:ind w:left="0" w:right="48" w:firstLine="0"/>
              <w:jc w:val="right"/>
            </w:pPr>
            <w:r>
              <w:rPr>
                <w:sz w:val="18"/>
              </w:rPr>
              <w:t xml:space="preserve">1.018.402,51 </w:t>
            </w:r>
          </w:p>
        </w:tc>
      </w:tr>
    </w:tbl>
    <w:p w14:paraId="0A2251AF" w14:textId="4A05DFD2" w:rsidR="007E46E2" w:rsidRDefault="007E46E2" w:rsidP="007E46E2">
      <w:pPr>
        <w:spacing w:before="120" w:after="144" w:line="259" w:lineRule="auto"/>
        <w:ind w:left="284" w:right="0" w:firstLine="0"/>
        <w:jc w:val="left"/>
      </w:pPr>
      <w:r>
        <w:rPr>
          <w:sz w:val="18"/>
        </w:rPr>
        <w:t xml:space="preserve">*Alokairurako osagarria behin ordaintzen da. Gainerako modalitateak hilero ordaintzen dira </w:t>
      </w:r>
    </w:p>
    <w:p w14:paraId="0C99AD17" w14:textId="7D111748" w:rsidR="0062049F" w:rsidRDefault="007E46E2">
      <w:pPr>
        <w:spacing w:after="118"/>
        <w:ind w:left="715" w:right="658"/>
      </w:pPr>
      <w:r>
        <w:t xml:space="preserve">Hori guztia jakinarazten dut, Nafarroako Parlamentuko Erregelamenduaren 194. artikuluan ezarritakoa betez. </w:t>
      </w:r>
    </w:p>
    <w:p w14:paraId="7E91F77C" w14:textId="77777777" w:rsidR="0062049F" w:rsidRDefault="007E46E2">
      <w:pPr>
        <w:spacing w:after="231" w:line="265" w:lineRule="auto"/>
        <w:ind w:left="58" w:right="1"/>
        <w:jc w:val="center"/>
      </w:pPr>
      <w:r>
        <w:t xml:space="preserve">Iruñean, 2022ko abenduaren 13an. </w:t>
      </w:r>
    </w:p>
    <w:p w14:paraId="669A9B6E" w14:textId="3856C243" w:rsidR="0062049F" w:rsidRDefault="007E46E2">
      <w:pPr>
        <w:spacing w:after="218" w:line="259" w:lineRule="auto"/>
        <w:ind w:left="720" w:right="0" w:firstLine="0"/>
        <w:jc w:val="left"/>
      </w:pPr>
      <w:r>
        <w:t>Eskubide Sozialetako kontseilaria: María Carmen Maeztu Villafranca</w:t>
      </w:r>
    </w:p>
    <w:sectPr w:rsidR="0062049F" w:rsidSect="007E46E2">
      <w:pgSz w:w="11906" w:h="16838"/>
      <w:pgMar w:top="1560" w:right="1027" w:bottom="804" w:left="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7C61"/>
    <w:multiLevelType w:val="hybridMultilevel"/>
    <w:tmpl w:val="F1D661FC"/>
    <w:lvl w:ilvl="0" w:tplc="A0A8C7F2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ED4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D7B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018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2696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39D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85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C1B3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0CD8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02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9F"/>
    <w:rsid w:val="005E45CD"/>
    <w:rsid w:val="0062049F"/>
    <w:rsid w:val="007E46E2"/>
    <w:rsid w:val="00F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13BA"/>
  <w15:docId w15:val="{C08C3C32-07A7-4CD5-A4A8-7B70E9D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left="730" w:right="6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8"/>
      <w:ind w:left="10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2724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4</cp:revision>
  <dcterms:created xsi:type="dcterms:W3CDTF">2023-01-25T09:06:00Z</dcterms:created>
  <dcterms:modified xsi:type="dcterms:W3CDTF">2023-03-16T08:27:00Z</dcterms:modified>
</cp:coreProperties>
</file>