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0398" w14:textId="49BA0A7A" w:rsidR="00B9162D" w:rsidRDefault="00536701">
      <w:r>
        <w:t xml:space="preserve">Decreto Foral Legislativo </w:t>
      </w:r>
      <w:r w:rsidR="0047620D">
        <w:t xml:space="preserve">4/2023, </w:t>
      </w:r>
      <w:r w:rsidR="009C705F">
        <w:t xml:space="preserve">de </w:t>
      </w:r>
      <w:r w:rsidR="0047620D">
        <w:t>5 de ju</w:t>
      </w:r>
      <w:r w:rsidR="00482EC5">
        <w:t>l</w:t>
      </w:r>
      <w:r w:rsidR="0047620D">
        <w:t>io de 2023</w:t>
      </w:r>
      <w:r w:rsidR="009C705F">
        <w:t>, de armonización tributaria, por el que se prorroga la reducción de los tipos impositivos del impuesto sobre el valor añadido sobre determinados alimentos.</w:t>
      </w:r>
    </w:p>
    <w:p w14:paraId="37922465" w14:textId="77777777" w:rsidR="00B9162D" w:rsidRDefault="009C705F">
      <w:r>
        <w:t>El Título I del Convenio Económico entre el Estado y la Comunidad Foral de Navarra regula los criterios de armonización del régimen tributario de Navarra con el régimen tributario general del Estado.</w:t>
      </w:r>
    </w:p>
    <w:p w14:paraId="7E25A1A7" w14:textId="77777777" w:rsidR="00B9162D" w:rsidRDefault="009C705F">
      <w:r>
        <w:t>En ese marco, el artículo 32 del Convenio Económico dispone que en la exacción del impuesto sobre el valor añadido (en adelante, IVA), Navarra aplicará los mismos principios básicos, normas sustantivas y formales vigentes en cada momento en territorio del Estado.</w:t>
      </w:r>
    </w:p>
    <w:p w14:paraId="0E312070" w14:textId="77777777" w:rsidR="00B9162D" w:rsidRDefault="009C705F">
      <w:r>
        <w:t>Ello obliga a que Navarra deba modificar su régimen tributario cuando exista una reforma del régimen tributario común que afecte a normas sustantivas y formales de estos impuestos. Con dicha finalidad, el artículo 53.1 de la Ley Foral 14/2004, de 3 de diciembre, del Gobierno de Navarra y de su Presidenta o Presidente, prevé que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w:t>
      </w:r>
    </w:p>
    <w:p w14:paraId="1CA5BCFA" w14:textId="77777777" w:rsidR="00B9162D" w:rsidRDefault="009C705F">
      <w:r>
        <w:t xml:space="preserve">En el ámbito estatal, el Real Decreto-ley 5/2023, de 28 de junio, por el que se adoptan y prorrogan determinadas medidas de respuesta a las consecuencias económicas y sociales de la </w:t>
      </w:r>
      <w:r w:rsidR="0047620D">
        <w:t>g</w:t>
      </w:r>
      <w:r>
        <w:t xml:space="preserve">uerra de Ucrania, de apoyo a la reconstrucción de la isla de La Palma y a otras situaciones de vulnerabilidad; de transposición de </w:t>
      </w:r>
      <w:r w:rsidR="0047620D">
        <w:lastRenderedPageBreak/>
        <w:t>d</w:t>
      </w:r>
      <w:r>
        <w:t xml:space="preserve">irectivas de la Unión Europea en materia de modificaciones estructurales de sociedades mercantiles y conciliación de la vida familiar y la vida profesional de los progenitores y los cuidadores; y de ejecución y cumplimiento del Derecho de la Unión Europea, prorroga, durante el segundo semestre de 2023, la aplicación en el </w:t>
      </w:r>
      <w:r w:rsidR="00E05C4A">
        <w:t xml:space="preserve">impuesto </w:t>
      </w:r>
      <w:r>
        <w:t xml:space="preserve">sobre el </w:t>
      </w:r>
      <w:r w:rsidR="00E05C4A">
        <w:t xml:space="preserve">valor añadido </w:t>
      </w:r>
      <w:r>
        <w:t>del tipo impositivo del 0 por ciento que recae sobre los productos básicos de alimentación, así como la del 5 por ciento con que resultan gravados los aceites de oliva y de semillas y las pastas alimenticias, para contribuir a la reducción del precio final de estos alimentos. En todo caso, la aplicación de tales tipos queda sujeta a la evolución de la tasa interanual de la inflación subyacente.</w:t>
      </w:r>
    </w:p>
    <w:p w14:paraId="102608FF" w14:textId="77777777" w:rsidR="00B9162D" w:rsidRDefault="009C705F">
      <w:r>
        <w:t>Por todo lo anterior, es preciso dictar este decreto foral legislativo de armonización tributaria con el fin de que, en lo relativo al IVA, se apliquen en la Comunidad Foral idénticas normas sustantivas y formales que las vigentes en el Estado.</w:t>
      </w:r>
    </w:p>
    <w:p w14:paraId="44445D64" w14:textId="77777777" w:rsidR="00B9162D" w:rsidRDefault="009C705F">
      <w:r>
        <w:t xml:space="preserve">En consecuencia, el Gobierno de Navarra, a propuesta del Consejero de Economía y Hacienda, y de conformidad con la decisión adoptada por el Gobierno de Navarra en sesión celebrada el día </w:t>
      </w:r>
      <w:r w:rsidR="0047620D">
        <w:t>cinco de julio de dos mil veintitrés</w:t>
      </w:r>
      <w:r>
        <w:t>,</w:t>
      </w:r>
    </w:p>
    <w:p w14:paraId="0913BFC6" w14:textId="77777777" w:rsidR="00B9162D" w:rsidRDefault="009C705F">
      <w:r>
        <w:t>DECRETO:</w:t>
      </w:r>
    </w:p>
    <w:p w14:paraId="79FC377E" w14:textId="77777777" w:rsidR="00B9162D" w:rsidRDefault="009C705F">
      <w:r>
        <w:t xml:space="preserve">Artículo único. Tipo impositivo del </w:t>
      </w:r>
      <w:r w:rsidR="00E05C4A">
        <w:t xml:space="preserve">impuesto </w:t>
      </w:r>
      <w:r>
        <w:t xml:space="preserve">sobre el </w:t>
      </w:r>
      <w:r w:rsidR="00E05C4A">
        <w:t xml:space="preserve">valor añadido </w:t>
      </w:r>
      <w:r>
        <w:t>aplicable temporalmente a determinadas entregas, importaciones y adquisiciones intracomunitarias de alimentos, así como a efectos del recargo de equivalencia.</w:t>
      </w:r>
    </w:p>
    <w:p w14:paraId="342E6765" w14:textId="77777777" w:rsidR="00B9162D" w:rsidRDefault="009C705F">
      <w:r>
        <w:t>Con efectos desde el 1 de julio de 2023 y vigencia hasta el 31 de diciembre de 2023:</w:t>
      </w:r>
    </w:p>
    <w:p w14:paraId="2EC342DD" w14:textId="77777777" w:rsidR="00B9162D" w:rsidRDefault="009C705F">
      <w:r>
        <w:lastRenderedPageBreak/>
        <w:t xml:space="preserve">1. Se aplicará el tipo del 5 por ciento del </w:t>
      </w:r>
      <w:r w:rsidR="00E05C4A">
        <w:t xml:space="preserve">impuesto </w:t>
      </w:r>
      <w:r>
        <w:t xml:space="preserve">sobre el </w:t>
      </w:r>
      <w:r w:rsidR="00E05C4A">
        <w:t xml:space="preserve">valor añadido </w:t>
      </w:r>
      <w:r>
        <w:t>a las entregas, importaciones y adquisiciones intracomunitarias de los siguientes productos:</w:t>
      </w:r>
    </w:p>
    <w:p w14:paraId="6A69C99F" w14:textId="77777777" w:rsidR="00B9162D" w:rsidRDefault="009C705F">
      <w:r>
        <w:t>a) Los aceites de oliva y de semillas.</w:t>
      </w:r>
    </w:p>
    <w:p w14:paraId="0BE55294" w14:textId="77777777" w:rsidR="00B9162D" w:rsidRDefault="009C705F">
      <w:r>
        <w:t>b) Las pastas alimenticias.</w:t>
      </w:r>
    </w:p>
    <w:p w14:paraId="7868A80D" w14:textId="77777777" w:rsidR="00B9162D" w:rsidRDefault="009C705F">
      <w:r>
        <w:t>El tipo del recargo de equivalencia aplicable a estas operaciones será del 0,62 por ciento.</w:t>
      </w:r>
    </w:p>
    <w:p w14:paraId="4E4821A3" w14:textId="77777777" w:rsidR="00B9162D" w:rsidRDefault="009C705F">
      <w:r>
        <w:t>No obstante, el tipo impositivo aplicable será el 10 por ciento a partir del día 1 de noviembre de 2023, en el caso de que la tasa interanual de la inflación subyacente del mes de septiembre, publicada en octubre, sea inferior al 5,5 por ciento. En este caso, el tipo del recargo de equivalencia aplicable a estas operaciones será del 1,4 por ciento.</w:t>
      </w:r>
    </w:p>
    <w:p w14:paraId="5636BDDA" w14:textId="77777777" w:rsidR="00B9162D" w:rsidRDefault="009C705F">
      <w:r>
        <w:t xml:space="preserve">2. Se aplicará el tipo del 0 por ciento del </w:t>
      </w:r>
      <w:r w:rsidR="00E05C4A">
        <w:t xml:space="preserve">impuesto </w:t>
      </w:r>
      <w:r>
        <w:t xml:space="preserve">sobre el </w:t>
      </w:r>
      <w:r w:rsidR="00E05C4A">
        <w:t xml:space="preserve">valor añadido </w:t>
      </w:r>
      <w:r>
        <w:t>a las entregas, importaciones y adquisiciones intracomunitarias de los siguientes productos:</w:t>
      </w:r>
    </w:p>
    <w:p w14:paraId="5B34B14B" w14:textId="77777777" w:rsidR="00B9162D" w:rsidRDefault="009C705F">
      <w:r>
        <w:t>a) El pan común, así como la masa de pan común congelada y el pan común congelado destinados exclusivamente a la elaboración del pan común.</w:t>
      </w:r>
    </w:p>
    <w:p w14:paraId="18381250" w14:textId="77777777" w:rsidR="00B9162D" w:rsidRDefault="009C705F">
      <w:r>
        <w:t>b) Las harinas panificables.</w:t>
      </w:r>
    </w:p>
    <w:p w14:paraId="778ECF03" w14:textId="77777777" w:rsidR="00B9162D" w:rsidRDefault="009C705F">
      <w:r>
        <w:t>c) Los siguientes tipos de leche producida por cualquier especie animal: natural, certificada, pasterizada, concentrada, desnatada, esterilizada, UHT, evaporada y en polvo.</w:t>
      </w:r>
    </w:p>
    <w:p w14:paraId="2D8776FE" w14:textId="77777777" w:rsidR="00B9162D" w:rsidRDefault="009C705F">
      <w:r>
        <w:t>d) Los quesos.</w:t>
      </w:r>
    </w:p>
    <w:p w14:paraId="52C3A060" w14:textId="77777777" w:rsidR="00B9162D" w:rsidRDefault="009C705F">
      <w:r>
        <w:t>e) Los huevos.</w:t>
      </w:r>
    </w:p>
    <w:p w14:paraId="499EF3C7" w14:textId="77777777" w:rsidR="00B9162D" w:rsidRDefault="009C705F">
      <w:r>
        <w:t>f) Las frutas, verduras, hortalizas, legumbres, tubérculos y cereales, que tengan la condición de productos naturales de acuerdo con el Código Alimentario y las disposiciones dictadas para su desarrollo.</w:t>
      </w:r>
    </w:p>
    <w:p w14:paraId="45A13641" w14:textId="77777777" w:rsidR="00B9162D" w:rsidRDefault="009C705F">
      <w:r>
        <w:lastRenderedPageBreak/>
        <w:t>El tipo del recargo de equivalencia aplicable a estas operaciones será del 0 por ciento.</w:t>
      </w:r>
    </w:p>
    <w:p w14:paraId="45C4451C" w14:textId="77777777" w:rsidR="00B9162D" w:rsidRDefault="009C705F">
      <w:r>
        <w:t>No obstante, el tipo impositivo aplicable será el 4 por ciento a partir del día 1 del mes de noviembre de 2023, en el caso de que la tasa interanual de la inflación subyacente del mes de septiembre, publicada en octubre, sea inferior al 5,5 por ciento. En este caso, el tipo del recargo de equivalencia aplicable a estas operaciones será del 0,5 por ciento.</w:t>
      </w:r>
    </w:p>
    <w:p w14:paraId="1E546D52" w14:textId="77777777" w:rsidR="00B9162D" w:rsidRDefault="009C705F">
      <w:r>
        <w:t>3. La reducción del tipo impositivo beneficiará íntegramente al consumidor, sin que, por tanto, el importe de la reducción pueda dedicarse total o parcialmente a incrementar el margen de beneficio empresarial con el consiguiente aumento de los precios en la cadena de producción, distribución o consumo de los productos, sin perjuicio de los compromisos adicionales que asuman y publiciten los sectores afectados, por responsabilidad social.</w:t>
      </w:r>
    </w:p>
    <w:p w14:paraId="21A0B330" w14:textId="77777777" w:rsidR="00B9162D" w:rsidRDefault="009C705F">
      <w:r>
        <w:t>La efectividad de esta medida se verificará mediante un sistema de seguimiento de la evolución de los precios, independientemente de las actuaciones que corresponda realizar a la Comisión Nacional de los Mercados y de la Competencia en el ámbito de sus competencias.</w:t>
      </w:r>
    </w:p>
    <w:p w14:paraId="3B0F137B" w14:textId="27F29DE9" w:rsidR="00CF26A4" w:rsidRDefault="009C705F">
      <w:r>
        <w:t>Disposición final única. Entrada en vigor.</w:t>
      </w:r>
    </w:p>
    <w:p w14:paraId="7DC33F9B" w14:textId="77777777" w:rsidR="00B9162D" w:rsidRDefault="009C705F">
      <w:r>
        <w:t>El presente decreto foral legislativo de armonización tributaria entrará en vigor el día siguiente al de su publicación en el Boletín Oficial de Navarra, con los efectos en el establecidos.</w:t>
      </w:r>
    </w:p>
    <w:p w14:paraId="4AF69420" w14:textId="2D06ED1D" w:rsidR="00CF4538" w:rsidRPr="00914D58" w:rsidRDefault="00CF4538" w:rsidP="00E24C7B">
      <w:pPr>
        <w:widowControl w:val="0"/>
        <w:tabs>
          <w:tab w:val="left" w:pos="709"/>
          <w:tab w:val="center" w:pos="3856"/>
        </w:tabs>
        <w:rPr>
          <w:lang w:val="es-ES_tradnl"/>
        </w:rPr>
      </w:pPr>
      <w:r w:rsidRPr="00914D58">
        <w:rPr>
          <w:lang w:val="es-ES_tradnl"/>
        </w:rPr>
        <w:t xml:space="preserve">Pamplona, </w:t>
      </w:r>
      <w:bookmarkStart w:id="0" w:name="Fecha"/>
      <w:r w:rsidRPr="0047620D">
        <w:rPr>
          <w:lang w:val="es-ES_tradnl"/>
        </w:rPr>
        <w:t>cinco de julio de dos mil veintitrés</w:t>
      </w:r>
      <w:bookmarkEnd w:id="0"/>
      <w:r w:rsidRPr="00914D58">
        <w:rPr>
          <w:lang w:val="es-ES_tradnl"/>
        </w:rPr>
        <w:t>.</w:t>
      </w:r>
    </w:p>
    <w:tbl>
      <w:tblPr>
        <w:tblW w:w="8234" w:type="dxa"/>
        <w:jc w:val="right"/>
        <w:tblLayout w:type="fixed"/>
        <w:tblCellMar>
          <w:left w:w="70" w:type="dxa"/>
          <w:right w:w="70" w:type="dxa"/>
        </w:tblCellMar>
        <w:tblLook w:val="0000" w:firstRow="0" w:lastRow="0" w:firstColumn="0" w:lastColumn="0" w:noHBand="0" w:noVBand="0"/>
      </w:tblPr>
      <w:tblGrid>
        <w:gridCol w:w="8234"/>
      </w:tblGrid>
      <w:tr w:rsidR="00E61B39" w:rsidRPr="0047620D" w14:paraId="1063D979" w14:textId="77777777" w:rsidTr="00E61B39">
        <w:trPr>
          <w:jc w:val="right"/>
        </w:trPr>
        <w:tc>
          <w:tcPr>
            <w:tcW w:w="8234" w:type="dxa"/>
            <w:tcBorders>
              <w:left w:val="nil"/>
            </w:tcBorders>
            <w:vAlign w:val="center"/>
          </w:tcPr>
          <w:p w14:paraId="1A6ADB18" w14:textId="3EB7D18E" w:rsidR="00E61B39" w:rsidRPr="00E61B39" w:rsidRDefault="00B05592" w:rsidP="00E61B39">
            <w:pPr>
              <w:keepNext/>
              <w:keepLines/>
              <w:tabs>
                <w:tab w:val="left" w:pos="4611"/>
                <w:tab w:val="center" w:pos="8104"/>
              </w:tabs>
              <w:ind w:left="3902" w:firstLine="0"/>
              <w:jc w:val="center"/>
              <w:rPr>
                <w:lang w:val="es-ES_tradnl"/>
              </w:rPr>
            </w:pPr>
            <w:r>
              <w:rPr>
                <w:lang w:val="es-ES_tradnl"/>
              </w:rPr>
              <w:lastRenderedPageBreak/>
              <w:t>L</w:t>
            </w:r>
            <w:r w:rsidR="00786E71" w:rsidRPr="00E61B39">
              <w:rPr>
                <w:lang w:val="es-ES_tradnl"/>
              </w:rPr>
              <w:t xml:space="preserve">a </w:t>
            </w:r>
            <w:r>
              <w:rPr>
                <w:lang w:val="es-ES_tradnl"/>
              </w:rPr>
              <w:t>P</w:t>
            </w:r>
            <w:r w:rsidR="00786E71" w:rsidRPr="00E61B39">
              <w:rPr>
                <w:lang w:val="es-ES_tradnl"/>
              </w:rPr>
              <w:t xml:space="preserve">residenta del </w:t>
            </w:r>
            <w:r>
              <w:rPr>
                <w:lang w:val="es-ES_tradnl"/>
              </w:rPr>
              <w:t>G</w:t>
            </w:r>
            <w:r w:rsidR="00786E71" w:rsidRPr="00E61B39">
              <w:rPr>
                <w:lang w:val="es-ES_tradnl"/>
              </w:rPr>
              <w:t>obierno</w:t>
            </w:r>
          </w:p>
        </w:tc>
      </w:tr>
      <w:tr w:rsidR="00E61B39" w:rsidRPr="0047620D" w14:paraId="090A0DA6" w14:textId="77777777" w:rsidTr="00E61B39">
        <w:trPr>
          <w:jc w:val="right"/>
        </w:trPr>
        <w:tc>
          <w:tcPr>
            <w:tcW w:w="8234" w:type="dxa"/>
            <w:tcBorders>
              <w:left w:val="nil"/>
            </w:tcBorders>
            <w:vAlign w:val="center"/>
          </w:tcPr>
          <w:p w14:paraId="619AC1CF" w14:textId="6776FAE2" w:rsidR="00E61B39" w:rsidRPr="00E61B39" w:rsidRDefault="00786E71" w:rsidP="00E61B39">
            <w:pPr>
              <w:keepNext/>
              <w:keepLines/>
              <w:tabs>
                <w:tab w:val="left" w:pos="4611"/>
                <w:tab w:val="center" w:pos="8104"/>
              </w:tabs>
              <w:ind w:left="3902" w:firstLine="0"/>
              <w:jc w:val="center"/>
              <w:rPr>
                <w:lang w:val="es-ES_tradnl"/>
              </w:rPr>
            </w:pPr>
            <w:r w:rsidRPr="00E61B39">
              <w:rPr>
                <w:lang w:val="es-ES_tradnl"/>
              </w:rPr>
              <w:t xml:space="preserve">de </w:t>
            </w:r>
            <w:r w:rsidR="00B05592">
              <w:rPr>
                <w:lang w:val="es-ES_tradnl"/>
              </w:rPr>
              <w:t>N</w:t>
            </w:r>
            <w:r w:rsidRPr="00E61B39">
              <w:rPr>
                <w:lang w:val="es-ES_tradnl"/>
              </w:rPr>
              <w:t>avarra</w:t>
            </w:r>
          </w:p>
        </w:tc>
      </w:tr>
      <w:tr w:rsidR="00E61B39" w:rsidRPr="0047620D" w14:paraId="45D80708" w14:textId="77777777" w:rsidTr="00E61B39">
        <w:trPr>
          <w:trHeight w:val="1600"/>
          <w:jc w:val="right"/>
        </w:trPr>
        <w:tc>
          <w:tcPr>
            <w:tcW w:w="8234" w:type="dxa"/>
            <w:tcBorders>
              <w:left w:val="nil"/>
            </w:tcBorders>
          </w:tcPr>
          <w:p w14:paraId="61BA5EE9" w14:textId="77777777" w:rsidR="00E61B39" w:rsidRPr="00E61B39" w:rsidRDefault="00E61B39" w:rsidP="00E61B39">
            <w:pPr>
              <w:keepNext/>
              <w:keepLines/>
              <w:tabs>
                <w:tab w:val="left" w:pos="4611"/>
                <w:tab w:val="center" w:pos="8104"/>
              </w:tabs>
              <w:ind w:left="3902" w:firstLine="0"/>
              <w:rPr>
                <w:lang w:val="es-ES_tradnl"/>
              </w:rPr>
            </w:pPr>
          </w:p>
        </w:tc>
      </w:tr>
      <w:tr w:rsidR="00E61B39" w:rsidRPr="0047620D" w14:paraId="11C8CC94" w14:textId="77777777" w:rsidTr="00E61B39">
        <w:trPr>
          <w:jc w:val="right"/>
        </w:trPr>
        <w:tc>
          <w:tcPr>
            <w:tcW w:w="8234" w:type="dxa"/>
            <w:tcBorders>
              <w:left w:val="nil"/>
            </w:tcBorders>
            <w:vAlign w:val="center"/>
          </w:tcPr>
          <w:p w14:paraId="0B929773" w14:textId="77777777" w:rsidR="00E61B39" w:rsidRPr="00E61B39" w:rsidRDefault="00E61B39" w:rsidP="00E61B39">
            <w:pPr>
              <w:keepNext/>
              <w:keepLines/>
              <w:tabs>
                <w:tab w:val="left" w:pos="4611"/>
                <w:tab w:val="center" w:pos="8104"/>
              </w:tabs>
              <w:ind w:left="3902" w:firstLine="0"/>
              <w:jc w:val="center"/>
              <w:rPr>
                <w:lang w:val="es-ES_tradnl"/>
              </w:rPr>
            </w:pPr>
            <w:r w:rsidRPr="00E61B39">
              <w:rPr>
                <w:lang w:val="es-ES_tradnl"/>
              </w:rPr>
              <w:t>María Chivite Navascués</w:t>
            </w:r>
          </w:p>
        </w:tc>
      </w:tr>
    </w:tbl>
    <w:p w14:paraId="56245B0B" w14:textId="02CC8680" w:rsidR="004704E5" w:rsidRPr="00914D58" w:rsidRDefault="00E61B39" w:rsidP="00B93164">
      <w:pPr>
        <w:widowControl w:val="0"/>
        <w:tabs>
          <w:tab w:val="left" w:pos="709"/>
          <w:tab w:val="center" w:pos="3856"/>
        </w:tabs>
        <w:rPr>
          <w:lang w:val="es-ES_tradnl"/>
        </w:rPr>
      </w:pPr>
      <w:r>
        <w:rPr>
          <w:lang w:val="es-ES_tradnl"/>
        </w:rPr>
        <w:tab/>
      </w:r>
      <w:bookmarkStart w:id="1" w:name="Firma"/>
      <w:bookmarkEnd w:id="1"/>
    </w:p>
    <w:tbl>
      <w:tblPr>
        <w:tblW w:w="8578" w:type="dxa"/>
        <w:jc w:val="right"/>
        <w:tblLayout w:type="fixed"/>
        <w:tblCellMar>
          <w:left w:w="70" w:type="dxa"/>
          <w:right w:w="70" w:type="dxa"/>
        </w:tblCellMar>
        <w:tblLook w:val="0000" w:firstRow="0" w:lastRow="0" w:firstColumn="0" w:lastColumn="0" w:noHBand="0" w:noVBand="0"/>
      </w:tblPr>
      <w:tblGrid>
        <w:gridCol w:w="5245"/>
        <w:gridCol w:w="3333"/>
      </w:tblGrid>
      <w:tr w:rsidR="00280C8E" w:rsidRPr="0047620D" w14:paraId="30C3BDFE" w14:textId="77777777" w:rsidTr="00E43609">
        <w:trPr>
          <w:trHeight w:val="182"/>
          <w:jc w:val="right"/>
        </w:trPr>
        <w:tc>
          <w:tcPr>
            <w:tcW w:w="5245" w:type="dxa"/>
            <w:vAlign w:val="center"/>
          </w:tcPr>
          <w:p w14:paraId="728CD186" w14:textId="557A4FF5" w:rsidR="00280C8E" w:rsidRPr="0047620D" w:rsidRDefault="00B05592" w:rsidP="00B07452">
            <w:pPr>
              <w:jc w:val="center"/>
              <w:rPr>
                <w:lang w:val="es-ES_tradnl"/>
              </w:rPr>
            </w:pPr>
            <w:r>
              <w:rPr>
                <w:lang w:val="es-ES_tradnl"/>
              </w:rPr>
              <w:t>E</w:t>
            </w:r>
            <w:r w:rsidR="00786E71" w:rsidRPr="0047620D">
              <w:rPr>
                <w:lang w:val="es-ES_tradnl"/>
              </w:rPr>
              <w:t xml:space="preserve">l </w:t>
            </w:r>
            <w:r>
              <w:rPr>
                <w:lang w:val="es-ES_tradnl"/>
              </w:rPr>
              <w:t>C</w:t>
            </w:r>
            <w:r w:rsidR="00786E71" w:rsidRPr="0047620D">
              <w:rPr>
                <w:lang w:val="es-ES_tradnl"/>
              </w:rPr>
              <w:t xml:space="preserve">onsejero de </w:t>
            </w:r>
            <w:r>
              <w:rPr>
                <w:lang w:val="es-ES_tradnl"/>
              </w:rPr>
              <w:t>E</w:t>
            </w:r>
            <w:r w:rsidR="00786E71" w:rsidRPr="0047620D">
              <w:rPr>
                <w:lang w:val="es-ES_tradnl"/>
              </w:rPr>
              <w:t xml:space="preserve">conomía </w:t>
            </w:r>
          </w:p>
        </w:tc>
        <w:tc>
          <w:tcPr>
            <w:tcW w:w="3333" w:type="dxa"/>
          </w:tcPr>
          <w:p w14:paraId="1F4EE569" w14:textId="77777777" w:rsidR="00280C8E" w:rsidRPr="0047620D" w:rsidRDefault="00B05592" w:rsidP="00280C8E">
            <w:pPr>
              <w:rPr>
                <w:lang w:val="es-ES_tradnl"/>
              </w:rPr>
            </w:pPr>
          </w:p>
        </w:tc>
      </w:tr>
      <w:tr w:rsidR="00280C8E" w:rsidRPr="0047620D" w14:paraId="03636632" w14:textId="77777777" w:rsidTr="00E43609">
        <w:trPr>
          <w:trHeight w:val="216"/>
          <w:jc w:val="right"/>
        </w:trPr>
        <w:tc>
          <w:tcPr>
            <w:tcW w:w="5245" w:type="dxa"/>
            <w:vAlign w:val="center"/>
          </w:tcPr>
          <w:p w14:paraId="605C92BC" w14:textId="313A2F08" w:rsidR="00280C8E" w:rsidRPr="0047620D" w:rsidRDefault="00786E71" w:rsidP="00280C8E">
            <w:pPr>
              <w:jc w:val="center"/>
              <w:rPr>
                <w:lang w:val="es-ES_tradnl"/>
              </w:rPr>
            </w:pPr>
            <w:r w:rsidRPr="0047620D">
              <w:rPr>
                <w:lang w:val="es-ES_tradnl"/>
              </w:rPr>
              <w:t xml:space="preserve">y </w:t>
            </w:r>
            <w:r w:rsidR="00B05592">
              <w:rPr>
                <w:lang w:val="es-ES_tradnl"/>
              </w:rPr>
              <w:t>H</w:t>
            </w:r>
            <w:r w:rsidRPr="0047620D">
              <w:rPr>
                <w:lang w:val="es-ES_tradnl"/>
              </w:rPr>
              <w:t>acienda</w:t>
            </w:r>
          </w:p>
        </w:tc>
        <w:tc>
          <w:tcPr>
            <w:tcW w:w="3333" w:type="dxa"/>
          </w:tcPr>
          <w:p w14:paraId="5A7631DA" w14:textId="77777777" w:rsidR="00280C8E" w:rsidRPr="0047620D" w:rsidRDefault="00B05592" w:rsidP="00280C8E">
            <w:pPr>
              <w:rPr>
                <w:lang w:val="es-ES_tradnl"/>
              </w:rPr>
            </w:pPr>
          </w:p>
        </w:tc>
      </w:tr>
      <w:tr w:rsidR="00280C8E" w14:paraId="7FD02451" w14:textId="77777777" w:rsidTr="00E43609">
        <w:trPr>
          <w:trHeight w:val="1600"/>
          <w:jc w:val="right"/>
        </w:trPr>
        <w:tc>
          <w:tcPr>
            <w:tcW w:w="5245" w:type="dxa"/>
            <w:tcBorders>
              <w:bottom w:val="nil"/>
            </w:tcBorders>
          </w:tcPr>
          <w:p w14:paraId="17543228" w14:textId="77777777" w:rsidR="00280C8E" w:rsidRDefault="00B05592" w:rsidP="00280C8E">
            <w:pPr>
              <w:rPr>
                <w:rFonts w:ascii="Courier (W1)" w:hAnsi="Courier (W1)"/>
              </w:rPr>
            </w:pPr>
          </w:p>
        </w:tc>
        <w:tc>
          <w:tcPr>
            <w:tcW w:w="3333" w:type="dxa"/>
            <w:tcBorders>
              <w:bottom w:val="nil"/>
            </w:tcBorders>
          </w:tcPr>
          <w:p w14:paraId="1414DF88" w14:textId="77777777" w:rsidR="00280C8E" w:rsidRDefault="00B05592" w:rsidP="00280C8E">
            <w:pPr>
              <w:rPr>
                <w:rFonts w:ascii="Courier (W1)" w:hAnsi="Courier (W1)"/>
              </w:rPr>
            </w:pPr>
          </w:p>
        </w:tc>
      </w:tr>
      <w:tr w:rsidR="00280C8E" w14:paraId="52A844BF" w14:textId="77777777" w:rsidTr="00E43609">
        <w:trPr>
          <w:trHeight w:val="450"/>
          <w:jc w:val="right"/>
        </w:trPr>
        <w:tc>
          <w:tcPr>
            <w:tcW w:w="5245" w:type="dxa"/>
          </w:tcPr>
          <w:p w14:paraId="6F0E354E" w14:textId="4586C574" w:rsidR="00280C8E" w:rsidRPr="0047620D" w:rsidRDefault="009C705F" w:rsidP="00280C8E">
            <w:pPr>
              <w:jc w:val="center"/>
            </w:pPr>
            <w:r w:rsidRPr="0047620D">
              <w:t>Juan Cruz Cigudosa García</w:t>
            </w:r>
          </w:p>
        </w:tc>
        <w:tc>
          <w:tcPr>
            <w:tcW w:w="3333" w:type="dxa"/>
          </w:tcPr>
          <w:p w14:paraId="0F1FD12C" w14:textId="77777777" w:rsidR="00280C8E" w:rsidRDefault="00B05592" w:rsidP="00280C8E">
            <w:pPr>
              <w:rPr>
                <w:rFonts w:ascii="Courier (W1)" w:hAnsi="Courier (W1)"/>
              </w:rPr>
            </w:pPr>
          </w:p>
        </w:tc>
      </w:tr>
    </w:tbl>
    <w:p w14:paraId="466C27DA" w14:textId="77777777" w:rsidR="00B9162D" w:rsidRDefault="00B9162D"/>
    <w:p w14:paraId="4E1A75ED" w14:textId="77777777" w:rsidR="00CF26A4" w:rsidRDefault="00CF26A4"/>
    <w:sectPr w:rsidR="00CF26A4">
      <w:footerReference w:type="even" r:id="rId10"/>
      <w:footerReference w:type="default" r:id="rId11"/>
      <w:type w:val="oddPage"/>
      <w:pgSz w:w="11907" w:h="16840"/>
      <w:pgMar w:top="2835"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810A" w14:textId="77777777" w:rsidR="00E74A3B" w:rsidRDefault="00E74A3B">
      <w:r>
        <w:separator/>
      </w:r>
    </w:p>
  </w:endnote>
  <w:endnote w:type="continuationSeparator" w:id="0">
    <w:p w14:paraId="49235056" w14:textId="77777777" w:rsidR="00E74A3B" w:rsidRDefault="00E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71F4" w14:textId="77777777" w:rsidR="00F3452F" w:rsidRDefault="00F3452F">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327070" w14:textId="77777777" w:rsidR="00F3452F" w:rsidRDefault="00F3452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49BB" w14:textId="77777777" w:rsidR="00F3452F" w:rsidRDefault="00F3452F">
    <w:pPr>
      <w:pStyle w:val="Piedepgina"/>
      <w:framePr w:wrap="around" w:vAnchor="text" w:hAnchor="margin" w:xAlign="outside" w:y="1"/>
      <w:rPr>
        <w:rStyle w:val="Nmerodepgina"/>
      </w:rPr>
    </w:pPr>
  </w:p>
  <w:p w14:paraId="46DD35F1" w14:textId="77777777" w:rsidR="00F3452F" w:rsidRDefault="00F3452F">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898C" w14:textId="77777777" w:rsidR="00E74A3B" w:rsidRDefault="00E74A3B">
      <w:r>
        <w:separator/>
      </w:r>
    </w:p>
  </w:footnote>
  <w:footnote w:type="continuationSeparator" w:id="0">
    <w:p w14:paraId="2170BF99" w14:textId="77777777" w:rsidR="00E74A3B" w:rsidRDefault="00E7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1"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num w:numId="1" w16cid:durableId="440615002">
    <w:abstractNumId w:val="0"/>
  </w:num>
  <w:num w:numId="2" w16cid:durableId="446776062">
    <w:abstractNumId w:val="1"/>
  </w:num>
  <w:num w:numId="3" w16cid:durableId="137700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55"/>
    <w:rsid w:val="00031E5C"/>
    <w:rsid w:val="000334E2"/>
    <w:rsid w:val="0008429F"/>
    <w:rsid w:val="000B3964"/>
    <w:rsid w:val="000B5767"/>
    <w:rsid w:val="000D43DB"/>
    <w:rsid w:val="000F28AE"/>
    <w:rsid w:val="001300C9"/>
    <w:rsid w:val="001618B1"/>
    <w:rsid w:val="00167004"/>
    <w:rsid w:val="00185EE8"/>
    <w:rsid w:val="001E6489"/>
    <w:rsid w:val="00234953"/>
    <w:rsid w:val="00271183"/>
    <w:rsid w:val="00274244"/>
    <w:rsid w:val="002863F9"/>
    <w:rsid w:val="00341FDF"/>
    <w:rsid w:val="00394284"/>
    <w:rsid w:val="003F418E"/>
    <w:rsid w:val="00427D26"/>
    <w:rsid w:val="00432316"/>
    <w:rsid w:val="004704E5"/>
    <w:rsid w:val="0047620D"/>
    <w:rsid w:val="00482EC5"/>
    <w:rsid w:val="004F37E3"/>
    <w:rsid w:val="004F57E9"/>
    <w:rsid w:val="00536701"/>
    <w:rsid w:val="005567A8"/>
    <w:rsid w:val="005D4140"/>
    <w:rsid w:val="00605D70"/>
    <w:rsid w:val="00632AA4"/>
    <w:rsid w:val="00663B94"/>
    <w:rsid w:val="00685B81"/>
    <w:rsid w:val="006A24B2"/>
    <w:rsid w:val="006A5377"/>
    <w:rsid w:val="006C7DB1"/>
    <w:rsid w:val="00702123"/>
    <w:rsid w:val="0070598B"/>
    <w:rsid w:val="00744ED7"/>
    <w:rsid w:val="00753650"/>
    <w:rsid w:val="00786E71"/>
    <w:rsid w:val="00790E64"/>
    <w:rsid w:val="007D7349"/>
    <w:rsid w:val="007E24E0"/>
    <w:rsid w:val="007F6FEE"/>
    <w:rsid w:val="00802597"/>
    <w:rsid w:val="00822BB8"/>
    <w:rsid w:val="00835124"/>
    <w:rsid w:val="008C6AE7"/>
    <w:rsid w:val="008D22CE"/>
    <w:rsid w:val="008D62A2"/>
    <w:rsid w:val="008E5450"/>
    <w:rsid w:val="008F63EF"/>
    <w:rsid w:val="00936EC9"/>
    <w:rsid w:val="00937001"/>
    <w:rsid w:val="00980252"/>
    <w:rsid w:val="009954E6"/>
    <w:rsid w:val="009A2156"/>
    <w:rsid w:val="009B1D06"/>
    <w:rsid w:val="009B4B27"/>
    <w:rsid w:val="009C705F"/>
    <w:rsid w:val="00A378DB"/>
    <w:rsid w:val="00A65C8A"/>
    <w:rsid w:val="00A77E61"/>
    <w:rsid w:val="00A869A0"/>
    <w:rsid w:val="00A97C8E"/>
    <w:rsid w:val="00AB7E7E"/>
    <w:rsid w:val="00AC6D61"/>
    <w:rsid w:val="00AD7D43"/>
    <w:rsid w:val="00B05592"/>
    <w:rsid w:val="00B42E2E"/>
    <w:rsid w:val="00B433AD"/>
    <w:rsid w:val="00B67620"/>
    <w:rsid w:val="00B9162D"/>
    <w:rsid w:val="00B93164"/>
    <w:rsid w:val="00BB4F61"/>
    <w:rsid w:val="00BF5501"/>
    <w:rsid w:val="00C05919"/>
    <w:rsid w:val="00CC0B30"/>
    <w:rsid w:val="00CF26A4"/>
    <w:rsid w:val="00CF4538"/>
    <w:rsid w:val="00D82355"/>
    <w:rsid w:val="00D84266"/>
    <w:rsid w:val="00D91FDD"/>
    <w:rsid w:val="00DC1E2D"/>
    <w:rsid w:val="00DF795A"/>
    <w:rsid w:val="00E04FE8"/>
    <w:rsid w:val="00E05C4A"/>
    <w:rsid w:val="00E24C7B"/>
    <w:rsid w:val="00E3750A"/>
    <w:rsid w:val="00E61B39"/>
    <w:rsid w:val="00E74A3B"/>
    <w:rsid w:val="00EB21AC"/>
    <w:rsid w:val="00EE7A58"/>
    <w:rsid w:val="00F26F7B"/>
    <w:rsid w:val="00F3452F"/>
    <w:rsid w:val="00F6407D"/>
    <w:rsid w:val="00F84B00"/>
    <w:rsid w:val="00FD0EB5"/>
    <w:rsid w:val="00FE5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15:chartTrackingRefBased/>
  <w15:docId w15:val="{12CA0BE1-3942-45AC-952D-3E36D3D5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lang w:val="es-ES" w:eastAsia="es-ES" w:bidi="ar-SA"/>
      </w:rPr>
    </w:rPrDefault>
    <w:pPrDefault>
      <w:pPr>
        <w:spacing w:line="380" w:lineRule="atLeast"/>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lang w:val="es-ES_tradnl"/>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s-ES" w:eastAsia="es-ES" w:bidi="ar-SA"/>
    </w:rPr>
  </w:style>
  <w:style w:type="character" w:customStyle="1" w:styleId="EncabezadoCar">
    <w:name w:val="Encabezado Car"/>
    <w:link w:val="Encabezado"/>
    <w:rsid w:val="00D82355"/>
    <w:rPr>
      <w:rFonts w:ascii="Courier New" w:hAnsi="Courier New"/>
      <w:sz w:val="24"/>
      <w:szCs w:val="22"/>
      <w:lang w:val="es-ES" w:eastAsia="es-ES" w:bidi="ar-SA"/>
    </w:rPr>
  </w:style>
  <w:style w:type="paragraph" w:styleId="Prrafodelista">
    <w:name w:val="List Paragraph"/>
    <w:basedOn w:val="Normal"/>
    <w:uiPriority w:val="34"/>
    <w:qFormat/>
    <w:rsid w:val="0047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DD42AD21ECBF14F8D01347050816082" ma:contentTypeVersion="6" ma:contentTypeDescription="" ma:contentTypeScope="" ma:versionID="404b9f7d6ceea3b4374fa95e56d6d183">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F2FA8-5DC0-4D81-AA97-1A6D8A821808}">
  <ds:schemaRefs>
    <ds:schemaRef ds:uri="http://schemas.microsoft.com/sharepoint/v3/contenttype/forms"/>
  </ds:schemaRefs>
</ds:datastoreItem>
</file>

<file path=customXml/itemProps2.xml><?xml version="1.0" encoding="utf-8"?>
<ds:datastoreItem xmlns:ds="http://schemas.openxmlformats.org/officeDocument/2006/customXml" ds:itemID="{BB8DC726-8784-4C02-9D57-097D0421F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E73C3C-CE0A-40E7-BD95-C118C95A137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997</Words>
  <Characters>5241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Mauleón, Fernando</cp:lastModifiedBy>
  <cp:revision>30</cp:revision>
  <cp:lastPrinted>2023-07-19T07:04:00Z</cp:lastPrinted>
  <dcterms:created xsi:type="dcterms:W3CDTF">2020-05-12T11:05:00Z</dcterms:created>
  <dcterms:modified xsi:type="dcterms:W3CDTF">2023-07-19T07:16:00Z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0x010100ADD42AD21ECBF14F8D01347050816082</vt:lpwstr>
  </property>
</Properties>
</file>