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2ED3" w14:textId="7D330838" w:rsidR="00C902CD" w:rsidRPr="00034F6F" w:rsidRDefault="00186256" w:rsidP="00186256">
      <w:pPr>
        <w:pStyle w:val="Style"/>
        <w:spacing w:before="100" w:beforeAutospacing="1" w:after="200" w:line="276" w:lineRule="auto"/>
        <w:ind w:left="247" w:right="418" w:firstLine="708"/>
        <w:textAlignment w:val="baseline"/>
        <w:rPr>
          <w:rFonts w:ascii="Calibri" w:hAnsi="Calibri" w:cs="Calibri"/>
          <w:bCs/>
          <w:sz w:val="22"/>
          <w:szCs w:val="22"/>
        </w:rPr>
      </w:pPr>
      <w:r w:rsidRPr="00034F6F">
        <w:rPr>
          <w:rFonts w:ascii="Calibri" w:eastAsia="Arial" w:hAnsi="Calibri" w:cs="Calibri"/>
          <w:bCs/>
          <w:sz w:val="22"/>
          <w:szCs w:val="22"/>
        </w:rPr>
        <w:t>23PES-196</w:t>
      </w:r>
    </w:p>
    <w:p w14:paraId="0EDB3E14" w14:textId="58915D09" w:rsidR="00186256" w:rsidRPr="00186256" w:rsidRDefault="00186256" w:rsidP="00186256">
      <w:pPr>
        <w:pStyle w:val="Style"/>
        <w:spacing w:before="100" w:beforeAutospacing="1" w:after="200" w:line="276" w:lineRule="auto"/>
        <w:ind w:left="955" w:right="418"/>
        <w:jc w:val="both"/>
        <w:textAlignment w:val="baseline"/>
        <w:rPr>
          <w:rFonts w:ascii="Calibri" w:hAnsi="Calibri" w:cs="Calibri"/>
          <w:sz w:val="22"/>
          <w:szCs w:val="22"/>
        </w:rPr>
      </w:pPr>
      <w:r w:rsidRPr="00186256">
        <w:rPr>
          <w:rFonts w:ascii="Calibri" w:eastAsia="Arial" w:hAnsi="Calibri" w:cs="Calibri"/>
          <w:sz w:val="22"/>
          <w:szCs w:val="22"/>
        </w:rPr>
        <w:t xml:space="preserve">Txomin González </w:t>
      </w:r>
      <w:r w:rsidR="00224349" w:rsidRPr="00186256">
        <w:rPr>
          <w:rFonts w:ascii="Calibri" w:eastAsia="Arial" w:hAnsi="Calibri" w:cs="Calibri"/>
          <w:sz w:val="22"/>
          <w:szCs w:val="22"/>
        </w:rPr>
        <w:t>Mart</w:t>
      </w:r>
      <w:r w:rsidR="00224349">
        <w:rPr>
          <w:rFonts w:ascii="Calibri" w:eastAsia="Arial" w:hAnsi="Calibri" w:cs="Calibri"/>
          <w:sz w:val="22"/>
          <w:szCs w:val="22"/>
        </w:rPr>
        <w:t>í</w:t>
      </w:r>
      <w:r w:rsidR="00224349" w:rsidRPr="00186256">
        <w:rPr>
          <w:rFonts w:ascii="Calibri" w:eastAsia="Arial" w:hAnsi="Calibri" w:cs="Calibri"/>
          <w:sz w:val="22"/>
          <w:szCs w:val="22"/>
        </w:rPr>
        <w:t>nez</w:t>
      </w:r>
      <w:r w:rsidRPr="00186256">
        <w:rPr>
          <w:rFonts w:ascii="Calibri" w:eastAsia="Arial" w:hAnsi="Calibri" w:cs="Calibri"/>
          <w:sz w:val="22"/>
          <w:szCs w:val="22"/>
        </w:rPr>
        <w:t xml:space="preserve">, </w:t>
      </w:r>
      <w:r w:rsidR="00680204" w:rsidRPr="00186256">
        <w:rPr>
          <w:rFonts w:ascii="Calibri" w:eastAsia="Arial" w:hAnsi="Calibri" w:cs="Calibri"/>
          <w:sz w:val="22"/>
          <w:szCs w:val="22"/>
        </w:rPr>
        <w:t xml:space="preserve">del grupo parlamentario de EH </w:t>
      </w:r>
      <w:r w:rsidRPr="00186256">
        <w:rPr>
          <w:rFonts w:ascii="Calibri" w:eastAsia="Arial" w:hAnsi="Calibri" w:cs="Calibri"/>
          <w:sz w:val="22"/>
          <w:szCs w:val="22"/>
        </w:rPr>
        <w:t>Bildu Nafarroa</w:t>
      </w:r>
      <w:r w:rsidR="00680204" w:rsidRPr="00186256">
        <w:rPr>
          <w:rFonts w:ascii="Calibri" w:eastAsia="Arial" w:hAnsi="Calibri" w:cs="Calibri"/>
          <w:sz w:val="22"/>
          <w:szCs w:val="22"/>
        </w:rPr>
        <w:t xml:space="preserve">, al amparo de lo establecido en el Reglamento de la Cámara, realiza la siguiente </w:t>
      </w:r>
      <w:r w:rsidRPr="00186256">
        <w:rPr>
          <w:rFonts w:ascii="Calibri" w:eastAsia="Arial" w:hAnsi="Calibri" w:cs="Calibri"/>
          <w:bCs/>
          <w:w w:val="91"/>
          <w:sz w:val="22"/>
          <w:szCs w:val="22"/>
        </w:rPr>
        <w:t>pregunta escrita</w:t>
      </w:r>
      <w:r w:rsidRPr="00186256">
        <w:rPr>
          <w:rFonts w:ascii="Calibri" w:eastAsia="Arial" w:hAnsi="Calibri" w:cs="Calibri"/>
          <w:b/>
          <w:w w:val="91"/>
          <w:sz w:val="22"/>
          <w:szCs w:val="22"/>
        </w:rPr>
        <w:t xml:space="preserve"> </w:t>
      </w:r>
      <w:r w:rsidR="00680204" w:rsidRPr="00186256">
        <w:rPr>
          <w:rFonts w:ascii="Calibri" w:eastAsia="Arial" w:hAnsi="Calibri" w:cs="Calibri"/>
          <w:sz w:val="22"/>
          <w:szCs w:val="22"/>
        </w:rPr>
        <w:t xml:space="preserve">para que sea remitida por el Gobierno de Navarra. </w:t>
      </w:r>
    </w:p>
    <w:p w14:paraId="0D358292" w14:textId="4D8A6252" w:rsidR="00186256" w:rsidRPr="00186256" w:rsidRDefault="00680204" w:rsidP="00186256">
      <w:pPr>
        <w:pStyle w:val="Style"/>
        <w:spacing w:before="100" w:beforeAutospacing="1" w:after="200" w:line="276" w:lineRule="auto"/>
        <w:ind w:left="955" w:right="422"/>
        <w:jc w:val="both"/>
        <w:textAlignment w:val="baseline"/>
        <w:rPr>
          <w:rFonts w:ascii="Calibri" w:hAnsi="Calibri" w:cs="Calibri"/>
          <w:sz w:val="22"/>
          <w:szCs w:val="22"/>
        </w:rPr>
      </w:pPr>
      <w:r w:rsidRPr="00186256">
        <w:rPr>
          <w:rFonts w:ascii="Calibri" w:eastAsia="Arial" w:hAnsi="Calibri" w:cs="Calibri"/>
          <w:sz w:val="22"/>
          <w:szCs w:val="22"/>
        </w:rPr>
        <w:t xml:space="preserve">El Anexo IX del Real Decreto 1030/2006, de 15 de septiembre, por el que se establece la Cartera de servicios comunes del Sistema Nacional de Salud y el procedimiento para su actualización, recoge los supuestos en los que la Asistencia Sanitaria a de reclamarse a los terceros obligados a pago, entre estas se encuentran </w:t>
      </w:r>
      <w:r w:rsidR="00224349" w:rsidRPr="00186256">
        <w:rPr>
          <w:rFonts w:ascii="Calibri" w:eastAsia="Arial" w:hAnsi="Calibri" w:cs="Calibri"/>
          <w:sz w:val="22"/>
          <w:szCs w:val="22"/>
        </w:rPr>
        <w:t>las</w:t>
      </w:r>
      <w:r w:rsidRPr="00186256">
        <w:rPr>
          <w:rFonts w:ascii="Calibri" w:eastAsia="Arial" w:hAnsi="Calibri" w:cs="Calibri"/>
          <w:sz w:val="22"/>
          <w:szCs w:val="22"/>
        </w:rPr>
        <w:t xml:space="preserve"> entidades de seguro y las mutuas de funcionarios civiles (MUFACE), militares (ISFAS) y judiciales (MUGEJU). </w:t>
      </w:r>
    </w:p>
    <w:p w14:paraId="75F61783" w14:textId="77777777" w:rsidR="00186256" w:rsidRPr="00186256" w:rsidRDefault="00680204" w:rsidP="00186256">
      <w:pPr>
        <w:pStyle w:val="Style"/>
        <w:spacing w:before="100" w:beforeAutospacing="1" w:after="200" w:line="276" w:lineRule="auto"/>
        <w:ind w:left="950" w:right="422"/>
        <w:jc w:val="both"/>
        <w:textAlignment w:val="baseline"/>
        <w:rPr>
          <w:rFonts w:ascii="Calibri" w:hAnsi="Calibri" w:cs="Calibri"/>
          <w:sz w:val="22"/>
          <w:szCs w:val="22"/>
        </w:rPr>
      </w:pPr>
      <w:r w:rsidRPr="00186256">
        <w:rPr>
          <w:rFonts w:ascii="Calibri" w:eastAsia="Arial" w:hAnsi="Calibri" w:cs="Calibri"/>
          <w:sz w:val="22"/>
          <w:szCs w:val="22"/>
        </w:rPr>
        <w:t xml:space="preserve">Como norma general, esos conciertos sanitarios estipulan que cuando un afiliado o beneficiario de las mutuas utilice medios ajenos a las aseguradoras, ya sea por decisión propia o por la de sus familiares, deberá pagar "sin derecho a reintegro" los gastos que ocasione esa prestación sanitaria en centros no concertados (incluidos los públicos), excepto en los casos en que se haya producido por una "denegación injustificada de asistencia" por parte de la compañía que les presta la cobertura o de que sea una urgencia de carácter vital. </w:t>
      </w:r>
    </w:p>
    <w:p w14:paraId="417B47CF" w14:textId="2A2BA29E" w:rsidR="00186256" w:rsidRPr="00186256" w:rsidRDefault="00680204" w:rsidP="00186256">
      <w:pPr>
        <w:pStyle w:val="Style"/>
        <w:spacing w:before="100" w:beforeAutospacing="1" w:after="200" w:line="276" w:lineRule="auto"/>
        <w:ind w:left="955" w:right="422"/>
        <w:jc w:val="both"/>
        <w:textAlignment w:val="baseline"/>
        <w:rPr>
          <w:rFonts w:ascii="Calibri" w:hAnsi="Calibri" w:cs="Calibri"/>
          <w:sz w:val="22"/>
          <w:szCs w:val="22"/>
        </w:rPr>
      </w:pPr>
      <w:r w:rsidRPr="00186256">
        <w:rPr>
          <w:rFonts w:ascii="Calibri" w:eastAsia="Arial" w:hAnsi="Calibri" w:cs="Calibri"/>
          <w:sz w:val="22"/>
          <w:szCs w:val="22"/>
        </w:rPr>
        <w:t>En estos casos las aseguradoras están obligadas a garantizar a los mutualistas la prestación de los servicios incluidos en la cartera del Sistema Nacional de Salud. También la prestación de los servicios ligados a la atención sanitaría motivada por la C</w:t>
      </w:r>
      <w:r w:rsidR="00572EAA">
        <w:rPr>
          <w:rFonts w:ascii="Calibri" w:eastAsia="Arial" w:hAnsi="Calibri" w:cs="Calibri"/>
          <w:sz w:val="22"/>
          <w:szCs w:val="22"/>
        </w:rPr>
        <w:t>OVID-</w:t>
      </w:r>
      <w:r w:rsidRPr="00186256">
        <w:rPr>
          <w:rFonts w:ascii="Calibri" w:eastAsia="Arial" w:hAnsi="Calibri" w:cs="Calibri"/>
          <w:sz w:val="22"/>
          <w:szCs w:val="22"/>
        </w:rPr>
        <w:t>19 y que personas, afiliadas o beneficiarias de las mutuas M</w:t>
      </w:r>
      <w:r w:rsidR="002C410D">
        <w:rPr>
          <w:rFonts w:ascii="Calibri" w:eastAsia="Arial" w:hAnsi="Calibri" w:cs="Calibri"/>
          <w:sz w:val="22"/>
          <w:szCs w:val="22"/>
        </w:rPr>
        <w:t>UFACE</w:t>
      </w:r>
      <w:r w:rsidRPr="00186256">
        <w:rPr>
          <w:rFonts w:ascii="Calibri" w:eastAsia="Arial" w:hAnsi="Calibri" w:cs="Calibri"/>
          <w:sz w:val="22"/>
          <w:szCs w:val="22"/>
        </w:rPr>
        <w:t>, M</w:t>
      </w:r>
      <w:r w:rsidR="002C410D">
        <w:rPr>
          <w:rFonts w:ascii="Calibri" w:eastAsia="Arial" w:hAnsi="Calibri" w:cs="Calibri"/>
          <w:sz w:val="22"/>
          <w:szCs w:val="22"/>
        </w:rPr>
        <w:t>UGEJU</w:t>
      </w:r>
      <w:r w:rsidRPr="00186256">
        <w:rPr>
          <w:rFonts w:ascii="Calibri" w:eastAsia="Arial" w:hAnsi="Calibri" w:cs="Calibri"/>
          <w:sz w:val="22"/>
          <w:szCs w:val="22"/>
        </w:rPr>
        <w:t xml:space="preserve"> e </w:t>
      </w:r>
      <w:r w:rsidR="002C410D">
        <w:rPr>
          <w:rFonts w:ascii="Calibri" w:eastAsia="Arial" w:hAnsi="Calibri" w:cs="Calibri"/>
          <w:sz w:val="22"/>
          <w:szCs w:val="22"/>
        </w:rPr>
        <w:t>ISFAS</w:t>
      </w:r>
      <w:r w:rsidRPr="00186256">
        <w:rPr>
          <w:rFonts w:ascii="Calibri" w:eastAsia="Arial" w:hAnsi="Calibri" w:cs="Calibri"/>
          <w:sz w:val="22"/>
          <w:szCs w:val="22"/>
        </w:rPr>
        <w:t xml:space="preserve"> han requerido los años 2020</w:t>
      </w:r>
      <w:r w:rsidR="00034F6F">
        <w:rPr>
          <w:rFonts w:ascii="Calibri" w:eastAsia="Arial" w:hAnsi="Calibri" w:cs="Calibri"/>
          <w:sz w:val="22"/>
          <w:szCs w:val="22"/>
        </w:rPr>
        <w:t xml:space="preserve">, </w:t>
      </w:r>
      <w:r w:rsidRPr="00186256">
        <w:rPr>
          <w:rFonts w:ascii="Calibri" w:eastAsia="Arial" w:hAnsi="Calibri" w:cs="Calibri"/>
          <w:sz w:val="22"/>
          <w:szCs w:val="22"/>
        </w:rPr>
        <w:t xml:space="preserve">2021 y 2022. </w:t>
      </w:r>
    </w:p>
    <w:p w14:paraId="64A703C9" w14:textId="0F3B65E7" w:rsidR="00186256" w:rsidRPr="00186256" w:rsidRDefault="00680204" w:rsidP="00186256">
      <w:pPr>
        <w:pStyle w:val="Style"/>
        <w:spacing w:before="100" w:beforeAutospacing="1" w:after="200" w:line="276" w:lineRule="auto"/>
        <w:ind w:left="955" w:right="427"/>
        <w:textAlignment w:val="baseline"/>
        <w:rPr>
          <w:rFonts w:ascii="Calibri" w:hAnsi="Calibri" w:cs="Calibri"/>
          <w:sz w:val="22"/>
          <w:szCs w:val="22"/>
        </w:rPr>
      </w:pPr>
      <w:r w:rsidRPr="00186256">
        <w:rPr>
          <w:rFonts w:ascii="Calibri" w:eastAsia="Arial" w:hAnsi="Calibri" w:cs="Calibri"/>
          <w:sz w:val="22"/>
          <w:szCs w:val="22"/>
        </w:rPr>
        <w:t xml:space="preserve">A este respecto, </w:t>
      </w:r>
      <w:r w:rsidR="00186256">
        <w:rPr>
          <w:rFonts w:ascii="Calibri" w:eastAsia="Arial" w:hAnsi="Calibri" w:cs="Calibri"/>
          <w:sz w:val="22"/>
          <w:szCs w:val="22"/>
        </w:rPr>
        <w:t>e</w:t>
      </w:r>
      <w:r w:rsidRPr="00186256">
        <w:rPr>
          <w:rFonts w:ascii="Calibri" w:eastAsia="Arial" w:hAnsi="Calibri" w:cs="Calibri"/>
          <w:sz w:val="22"/>
          <w:szCs w:val="22"/>
        </w:rPr>
        <w:t xml:space="preserve">ste parlamentario realiza las siguientes preguntas escritas: </w:t>
      </w:r>
    </w:p>
    <w:p w14:paraId="6C81F620" w14:textId="032C2E77" w:rsidR="00186256" w:rsidRPr="00186256" w:rsidRDefault="00680204" w:rsidP="00186256">
      <w:pPr>
        <w:pStyle w:val="Style"/>
        <w:numPr>
          <w:ilvl w:val="0"/>
          <w:numId w:val="1"/>
        </w:numPr>
        <w:spacing w:before="100" w:beforeAutospacing="1" w:after="200" w:line="276" w:lineRule="auto"/>
        <w:ind w:right="422"/>
        <w:textAlignment w:val="baseline"/>
        <w:rPr>
          <w:rFonts w:ascii="Calibri" w:hAnsi="Calibri" w:cs="Calibri"/>
          <w:sz w:val="22"/>
          <w:szCs w:val="22"/>
        </w:rPr>
      </w:pPr>
      <w:r w:rsidRPr="00186256">
        <w:rPr>
          <w:rFonts w:ascii="Calibri" w:eastAsia="Arial" w:hAnsi="Calibri" w:cs="Calibri"/>
          <w:sz w:val="22"/>
          <w:szCs w:val="22"/>
        </w:rPr>
        <w:t xml:space="preserve"> Qu</w:t>
      </w:r>
      <w:r w:rsidR="00186256">
        <w:rPr>
          <w:rFonts w:ascii="Calibri" w:eastAsia="Arial" w:hAnsi="Calibri" w:cs="Calibri"/>
          <w:sz w:val="22"/>
          <w:szCs w:val="22"/>
        </w:rPr>
        <w:t>é</w:t>
      </w:r>
      <w:r w:rsidRPr="00186256">
        <w:rPr>
          <w:rFonts w:ascii="Calibri" w:eastAsia="Arial" w:hAnsi="Calibri" w:cs="Calibri"/>
          <w:sz w:val="22"/>
          <w:szCs w:val="22"/>
        </w:rPr>
        <w:t xml:space="preserve"> coste ha generado al SNS-Osasunbidea la atención sanitaria a las personas afiliadas o beneficiarias de Muface, Mugeju e lsfas atendidas por la C</w:t>
      </w:r>
      <w:r w:rsidR="00CB0181">
        <w:rPr>
          <w:rFonts w:ascii="Calibri" w:eastAsia="Arial" w:hAnsi="Calibri" w:cs="Calibri"/>
          <w:sz w:val="22"/>
          <w:szCs w:val="22"/>
        </w:rPr>
        <w:t>OVID</w:t>
      </w:r>
      <w:r w:rsidR="00034F6F">
        <w:rPr>
          <w:rFonts w:ascii="Calibri" w:eastAsia="Arial" w:hAnsi="Calibri" w:cs="Calibri"/>
          <w:sz w:val="22"/>
          <w:szCs w:val="22"/>
        </w:rPr>
        <w:t>-1</w:t>
      </w:r>
      <w:r w:rsidRPr="00186256">
        <w:rPr>
          <w:rFonts w:ascii="Calibri" w:eastAsia="Arial" w:hAnsi="Calibri" w:cs="Calibri"/>
          <w:sz w:val="22"/>
          <w:szCs w:val="22"/>
        </w:rPr>
        <w:t xml:space="preserve">9 en el SNS-Osasunbidea . </w:t>
      </w:r>
    </w:p>
    <w:p w14:paraId="413A151C" w14:textId="000E8ACC" w:rsidR="00186256" w:rsidRPr="00186256" w:rsidRDefault="00186256" w:rsidP="00186256">
      <w:pPr>
        <w:pStyle w:val="Style"/>
        <w:numPr>
          <w:ilvl w:val="0"/>
          <w:numId w:val="1"/>
        </w:numPr>
        <w:spacing w:before="100" w:beforeAutospacing="1" w:after="200" w:line="276" w:lineRule="auto"/>
        <w:ind w:right="413"/>
        <w:textAlignment w:val="baseline"/>
        <w:rPr>
          <w:rFonts w:ascii="Calibri" w:hAnsi="Calibri" w:cs="Calibri"/>
          <w:sz w:val="22"/>
          <w:szCs w:val="22"/>
        </w:rPr>
      </w:pPr>
      <w:r>
        <w:rPr>
          <w:rFonts w:ascii="Calibri" w:eastAsia="Arial" w:hAnsi="Calibri" w:cs="Calibri"/>
          <w:sz w:val="22"/>
          <w:szCs w:val="22"/>
        </w:rPr>
        <w:t>Si se</w:t>
      </w:r>
      <w:r w:rsidR="00680204" w:rsidRPr="00186256">
        <w:rPr>
          <w:rFonts w:ascii="Calibri" w:eastAsia="Arial" w:hAnsi="Calibri" w:cs="Calibri"/>
          <w:sz w:val="22"/>
          <w:szCs w:val="22"/>
        </w:rPr>
        <w:t xml:space="preserve"> ha facturado la atención sanitaria a las correspondientes mutuas o empresas aseguradoras. </w:t>
      </w:r>
    </w:p>
    <w:p w14:paraId="2B69F11F" w14:textId="79FA93E5" w:rsidR="00C902CD" w:rsidRPr="00186256" w:rsidRDefault="00680204" w:rsidP="00186256">
      <w:pPr>
        <w:pStyle w:val="Style"/>
        <w:numPr>
          <w:ilvl w:val="0"/>
          <w:numId w:val="1"/>
        </w:numPr>
        <w:spacing w:before="100" w:beforeAutospacing="1" w:after="200" w:line="276" w:lineRule="auto"/>
        <w:ind w:right="418"/>
        <w:textAlignment w:val="baseline"/>
        <w:rPr>
          <w:rFonts w:ascii="Calibri" w:hAnsi="Calibri" w:cs="Calibri"/>
          <w:sz w:val="22"/>
          <w:szCs w:val="22"/>
        </w:rPr>
      </w:pPr>
      <w:r w:rsidRPr="00186256">
        <w:rPr>
          <w:rFonts w:ascii="Calibri" w:eastAsia="Arial" w:hAnsi="Calibri" w:cs="Calibri"/>
          <w:sz w:val="22"/>
          <w:szCs w:val="22"/>
        </w:rPr>
        <w:t xml:space="preserve"> </w:t>
      </w:r>
      <w:r w:rsidR="00186256">
        <w:rPr>
          <w:rFonts w:ascii="Calibri" w:eastAsia="Arial" w:hAnsi="Calibri" w:cs="Calibri"/>
          <w:sz w:val="22"/>
          <w:szCs w:val="22"/>
        </w:rPr>
        <w:t>Si a</w:t>
      </w:r>
      <w:r w:rsidRPr="00186256">
        <w:rPr>
          <w:rFonts w:ascii="Calibri" w:eastAsia="Arial" w:hAnsi="Calibri" w:cs="Calibri"/>
          <w:sz w:val="22"/>
          <w:szCs w:val="22"/>
        </w:rPr>
        <w:t>lguna de estas mutuas o aseguradoras han rechazado pagar la correspondiente facturación, cu</w:t>
      </w:r>
      <w:r w:rsidR="00034F6F">
        <w:rPr>
          <w:rFonts w:ascii="Calibri" w:eastAsia="Arial" w:hAnsi="Calibri" w:cs="Calibri"/>
          <w:sz w:val="22"/>
          <w:szCs w:val="22"/>
        </w:rPr>
        <w:t>á</w:t>
      </w:r>
      <w:r w:rsidRPr="00186256">
        <w:rPr>
          <w:rFonts w:ascii="Calibri" w:eastAsia="Arial" w:hAnsi="Calibri" w:cs="Calibri"/>
          <w:sz w:val="22"/>
          <w:szCs w:val="22"/>
        </w:rPr>
        <w:t>les y a cuánto ascienden las factura</w:t>
      </w:r>
      <w:r w:rsidR="00186256">
        <w:rPr>
          <w:rFonts w:ascii="Calibri" w:eastAsia="Arial" w:hAnsi="Calibri" w:cs="Calibri"/>
          <w:sz w:val="22"/>
          <w:szCs w:val="22"/>
        </w:rPr>
        <w:t>s</w:t>
      </w:r>
      <w:r w:rsidRPr="00186256">
        <w:rPr>
          <w:rFonts w:ascii="Calibri" w:eastAsia="Arial" w:hAnsi="Calibri" w:cs="Calibri"/>
          <w:sz w:val="22"/>
          <w:szCs w:val="22"/>
        </w:rPr>
        <w:t xml:space="preserve"> no cobradas.</w:t>
      </w:r>
    </w:p>
    <w:p w14:paraId="2779A560" w14:textId="71EB71D2" w:rsidR="00186256" w:rsidRDefault="00186256" w:rsidP="00186256">
      <w:pPr>
        <w:pStyle w:val="Style"/>
        <w:spacing w:before="100" w:beforeAutospacing="1" w:after="200" w:line="276" w:lineRule="auto"/>
        <w:ind w:left="1320"/>
        <w:textAlignment w:val="baseline"/>
        <w:rPr>
          <w:rFonts w:ascii="Calibri" w:eastAsia="Arial" w:hAnsi="Calibri" w:cs="Calibri"/>
          <w:sz w:val="22"/>
          <w:szCs w:val="22"/>
        </w:rPr>
      </w:pPr>
      <w:r w:rsidRPr="00186256">
        <w:rPr>
          <w:rFonts w:ascii="Calibri" w:eastAsia="Arial" w:hAnsi="Calibri" w:cs="Calibri"/>
          <w:sz w:val="22"/>
          <w:szCs w:val="22"/>
        </w:rPr>
        <w:t>lruñea/Pamplona, 8 de noviembre de 2023</w:t>
      </w:r>
    </w:p>
    <w:p w14:paraId="4E1EC2BC" w14:textId="03256FD8" w:rsidR="00186256" w:rsidRPr="00186256" w:rsidRDefault="00186256" w:rsidP="004E5190">
      <w:pPr>
        <w:pStyle w:val="Style"/>
        <w:spacing w:before="100" w:beforeAutospacing="1" w:after="200" w:line="276" w:lineRule="auto"/>
        <w:ind w:left="1320"/>
        <w:textAlignment w:val="baseline"/>
        <w:rPr>
          <w:rFonts w:ascii="Calibri" w:hAnsi="Calibri" w:cs="Calibri"/>
          <w:sz w:val="22"/>
          <w:szCs w:val="22"/>
        </w:rPr>
      </w:pPr>
      <w:r>
        <w:rPr>
          <w:rFonts w:ascii="Calibri" w:eastAsia="Arial" w:hAnsi="Calibri" w:cs="Calibri"/>
          <w:sz w:val="22"/>
          <w:szCs w:val="22"/>
        </w:rPr>
        <w:t>El Parlamentario Foral: Domingo González Martínez</w:t>
      </w:r>
    </w:p>
    <w:sectPr w:rsidR="00186256" w:rsidRPr="00186256" w:rsidSect="004E5190">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14F03"/>
    <w:multiLevelType w:val="hybridMultilevel"/>
    <w:tmpl w:val="A5FAD61E"/>
    <w:lvl w:ilvl="0" w:tplc="7DCEED84">
      <w:numFmt w:val="bullet"/>
      <w:lvlText w:val="–"/>
      <w:lvlJc w:val="left"/>
      <w:pPr>
        <w:ind w:left="1320" w:hanging="360"/>
      </w:pPr>
      <w:rPr>
        <w:rFonts w:ascii="Calibri" w:eastAsia="Arial" w:hAnsi="Calibri" w:cs="Calibri"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num w:numId="1" w16cid:durableId="77621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902CD"/>
    <w:rsid w:val="0001052B"/>
    <w:rsid w:val="00034F6F"/>
    <w:rsid w:val="00186256"/>
    <w:rsid w:val="00224349"/>
    <w:rsid w:val="002C410D"/>
    <w:rsid w:val="004E5190"/>
    <w:rsid w:val="00572EAA"/>
    <w:rsid w:val="00680204"/>
    <w:rsid w:val="00AB5404"/>
    <w:rsid w:val="00B7587B"/>
    <w:rsid w:val="00C902CD"/>
    <w:rsid w:val="00CB0181"/>
    <w:rsid w:val="00F41B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268"/>
  <w15:docId w15:val="{128F3AA1-79D8-49CA-BE15-039473F2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335</Words>
  <Characters>1848</Characters>
  <Application>Microsoft Office Word</Application>
  <DocSecurity>0</DocSecurity>
  <Lines>15</Lines>
  <Paragraphs>4</Paragraphs>
  <ScaleCrop>false</ScaleCrop>
  <Company>HP Inc.</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23PES-196</dc:title>
  <dc:creator>informatica</dc:creator>
  <cp:keywords>CreatedByIRIS_Readiris_17.0</cp:keywords>
  <cp:lastModifiedBy>Mauleón, Fernando</cp:lastModifiedBy>
  <cp:revision>13</cp:revision>
  <dcterms:created xsi:type="dcterms:W3CDTF">2023-11-09T09:37:00Z</dcterms:created>
  <dcterms:modified xsi:type="dcterms:W3CDTF">2023-11-15T11:39:00Z</dcterms:modified>
</cp:coreProperties>
</file>