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F4C0" w14:textId="77777777" w:rsidR="00737ED5" w:rsidRDefault="005C03DB" w:rsidP="00E87145">
      <w:pPr>
        <w:spacing w:line="360" w:lineRule="auto"/>
        <w:jc w:val="both"/>
        <w:rPr>
          <w:rFonts w:asciiTheme="minorHAnsi" w:hAnsiTheme="minorHAnsi" w:cstheme="minorHAnsi"/>
        </w:rPr>
      </w:pPr>
      <w:r w:rsidRPr="007631EC">
        <w:rPr>
          <w:rFonts w:asciiTheme="minorHAnsi" w:hAnsiTheme="minorHAnsi" w:cstheme="minorHAnsi"/>
        </w:rPr>
        <w:t>El</w:t>
      </w:r>
      <w:r w:rsidR="00864DCD" w:rsidRPr="007631EC">
        <w:rPr>
          <w:rFonts w:asciiTheme="minorHAnsi" w:hAnsiTheme="minorHAnsi" w:cstheme="minorHAnsi"/>
        </w:rPr>
        <w:t xml:space="preserve"> Consejer</w:t>
      </w:r>
      <w:r w:rsidRPr="007631EC">
        <w:rPr>
          <w:rFonts w:asciiTheme="minorHAnsi" w:hAnsiTheme="minorHAnsi" w:cstheme="minorHAnsi"/>
        </w:rPr>
        <w:t>o</w:t>
      </w:r>
      <w:r w:rsidR="00864DCD" w:rsidRPr="007631EC">
        <w:rPr>
          <w:rFonts w:asciiTheme="minorHAnsi" w:hAnsiTheme="minorHAnsi" w:cstheme="minorHAnsi"/>
        </w:rPr>
        <w:t xml:space="preserve"> del Departamento de Econom</w:t>
      </w:r>
      <w:r w:rsidR="00737ED5">
        <w:rPr>
          <w:rFonts w:asciiTheme="minorHAnsi" w:hAnsiTheme="minorHAnsi" w:cstheme="minorHAnsi"/>
        </w:rPr>
        <w:t>í</w:t>
      </w:r>
      <w:r w:rsidR="00864DCD" w:rsidRPr="007631EC">
        <w:rPr>
          <w:rFonts w:asciiTheme="minorHAnsi" w:hAnsiTheme="minorHAnsi" w:cstheme="minorHAnsi"/>
        </w:rPr>
        <w:t xml:space="preserve">a y Hacienda, </w:t>
      </w:r>
      <w:r w:rsidR="00737ED5" w:rsidRPr="007631EC">
        <w:rPr>
          <w:rFonts w:asciiTheme="minorHAnsi" w:hAnsiTheme="minorHAnsi" w:cstheme="minorHAnsi"/>
        </w:rPr>
        <w:t>en relación con</w:t>
      </w:r>
      <w:r w:rsidR="00864DCD" w:rsidRPr="007631EC">
        <w:rPr>
          <w:rFonts w:asciiTheme="minorHAnsi" w:hAnsiTheme="minorHAnsi" w:cstheme="minorHAnsi"/>
        </w:rPr>
        <w:t xml:space="preserve"> la Pregunta escrita formulada </w:t>
      </w:r>
      <w:r w:rsidR="001C5BBC" w:rsidRPr="007631EC">
        <w:rPr>
          <w:rFonts w:asciiTheme="minorHAnsi" w:hAnsiTheme="minorHAnsi" w:cstheme="minorHAnsi"/>
        </w:rPr>
        <w:t xml:space="preserve">por </w:t>
      </w:r>
      <w:r w:rsidR="00797449" w:rsidRPr="007631EC">
        <w:rPr>
          <w:rFonts w:asciiTheme="minorHAnsi" w:hAnsiTheme="minorHAnsi" w:cstheme="minorHAnsi"/>
        </w:rPr>
        <w:t xml:space="preserve">D. </w:t>
      </w:r>
      <w:r w:rsidR="00561BAD" w:rsidRPr="007631EC">
        <w:rPr>
          <w:rFonts w:asciiTheme="minorHAnsi" w:hAnsiTheme="minorHAnsi" w:cstheme="minorHAnsi"/>
        </w:rPr>
        <w:t>Adolfo Araiz Flamarique</w:t>
      </w:r>
      <w:r w:rsidR="001C5BBC" w:rsidRPr="007631EC">
        <w:rPr>
          <w:rFonts w:asciiTheme="minorHAnsi" w:hAnsiTheme="minorHAnsi" w:cstheme="minorHAnsi"/>
        </w:rPr>
        <w:t>, parlamentari</w:t>
      </w:r>
      <w:r w:rsidR="00797449" w:rsidRPr="007631EC">
        <w:rPr>
          <w:rFonts w:asciiTheme="minorHAnsi" w:hAnsiTheme="minorHAnsi" w:cstheme="minorHAnsi"/>
        </w:rPr>
        <w:t>o</w:t>
      </w:r>
      <w:r w:rsidR="001C5BBC" w:rsidRPr="007631EC">
        <w:rPr>
          <w:rFonts w:asciiTheme="minorHAnsi" w:hAnsiTheme="minorHAnsi" w:cstheme="minorHAnsi"/>
        </w:rPr>
        <w:t xml:space="preserve"> foral adscrit</w:t>
      </w:r>
      <w:r w:rsidR="00797449" w:rsidRPr="007631EC">
        <w:rPr>
          <w:rFonts w:asciiTheme="minorHAnsi" w:hAnsiTheme="minorHAnsi" w:cstheme="minorHAnsi"/>
        </w:rPr>
        <w:t>o</w:t>
      </w:r>
      <w:r w:rsidR="001C5BBC" w:rsidRPr="007631EC">
        <w:rPr>
          <w:rFonts w:asciiTheme="minorHAnsi" w:hAnsiTheme="minorHAnsi" w:cstheme="minorHAnsi"/>
        </w:rPr>
        <w:t xml:space="preserve"> al Grupo Parlamentario </w:t>
      </w:r>
      <w:r w:rsidR="00561BAD" w:rsidRPr="007631EC">
        <w:rPr>
          <w:rFonts w:asciiTheme="minorHAnsi" w:hAnsiTheme="minorHAnsi" w:cstheme="minorHAnsi"/>
        </w:rPr>
        <w:t>EH Bildu-Nafarroa</w:t>
      </w:r>
      <w:r w:rsidR="001C5BBC" w:rsidRPr="007631EC">
        <w:rPr>
          <w:rFonts w:asciiTheme="minorHAnsi" w:hAnsiTheme="minorHAnsi" w:cstheme="minorHAnsi"/>
        </w:rPr>
        <w:t xml:space="preserve">, registrada con número de </w:t>
      </w:r>
      <w:r w:rsidR="00561BAD" w:rsidRPr="007631EC">
        <w:rPr>
          <w:rFonts w:asciiTheme="minorHAnsi" w:hAnsiTheme="minorHAnsi" w:cstheme="minorHAnsi"/>
        </w:rPr>
        <w:t>salida</w:t>
      </w:r>
      <w:r w:rsidR="001C5BBC" w:rsidRPr="007631EC">
        <w:rPr>
          <w:rFonts w:asciiTheme="minorHAnsi" w:hAnsiTheme="minorHAnsi" w:cstheme="minorHAnsi"/>
        </w:rPr>
        <w:t xml:space="preserve"> del Parlamento de Navarra </w:t>
      </w:r>
      <w:r w:rsidRPr="007631EC">
        <w:rPr>
          <w:rFonts w:asciiTheme="minorHAnsi" w:hAnsiTheme="minorHAnsi" w:cstheme="minorHAnsi"/>
        </w:rPr>
        <w:t>3610</w:t>
      </w:r>
      <w:r w:rsidR="001C5BBC" w:rsidRPr="007631EC">
        <w:rPr>
          <w:rFonts w:asciiTheme="minorHAnsi" w:hAnsiTheme="minorHAnsi" w:cstheme="minorHAnsi"/>
        </w:rPr>
        <w:t xml:space="preserve">, de </w:t>
      </w:r>
      <w:r w:rsidR="00E87145" w:rsidRPr="007631EC">
        <w:rPr>
          <w:rFonts w:asciiTheme="minorHAnsi" w:hAnsiTheme="minorHAnsi" w:cstheme="minorHAnsi"/>
        </w:rPr>
        <w:t>2</w:t>
      </w:r>
      <w:r w:rsidR="001C5BBC" w:rsidRPr="007631EC">
        <w:rPr>
          <w:rFonts w:asciiTheme="minorHAnsi" w:hAnsiTheme="minorHAnsi" w:cstheme="minorHAnsi"/>
        </w:rPr>
        <w:t xml:space="preserve"> de </w:t>
      </w:r>
      <w:r w:rsidRPr="007631EC">
        <w:rPr>
          <w:rFonts w:asciiTheme="minorHAnsi" w:hAnsiTheme="minorHAnsi" w:cstheme="minorHAnsi"/>
        </w:rPr>
        <w:t>octubre</w:t>
      </w:r>
      <w:r w:rsidR="001C5BBC" w:rsidRPr="007631EC">
        <w:rPr>
          <w:rFonts w:asciiTheme="minorHAnsi" w:hAnsiTheme="minorHAnsi" w:cstheme="minorHAnsi"/>
        </w:rPr>
        <w:t xml:space="preserve"> de 20</w:t>
      </w:r>
      <w:r w:rsidR="00797449" w:rsidRPr="007631EC">
        <w:rPr>
          <w:rFonts w:asciiTheme="minorHAnsi" w:hAnsiTheme="minorHAnsi" w:cstheme="minorHAnsi"/>
        </w:rPr>
        <w:t>2</w:t>
      </w:r>
      <w:r w:rsidRPr="007631EC">
        <w:rPr>
          <w:rFonts w:asciiTheme="minorHAnsi" w:hAnsiTheme="minorHAnsi" w:cstheme="minorHAnsi"/>
        </w:rPr>
        <w:t>3</w:t>
      </w:r>
      <w:r w:rsidR="001C5BBC" w:rsidRPr="007631EC">
        <w:rPr>
          <w:rFonts w:asciiTheme="minorHAnsi" w:hAnsiTheme="minorHAnsi" w:cstheme="minorHAnsi"/>
        </w:rPr>
        <w:t>, (1</w:t>
      </w:r>
      <w:r w:rsidRPr="007631EC">
        <w:rPr>
          <w:rFonts w:asciiTheme="minorHAnsi" w:hAnsiTheme="minorHAnsi" w:cstheme="minorHAnsi"/>
        </w:rPr>
        <w:t>1</w:t>
      </w:r>
      <w:r w:rsidR="001C5BBC" w:rsidRPr="007631EC">
        <w:rPr>
          <w:rFonts w:asciiTheme="minorHAnsi" w:hAnsiTheme="minorHAnsi" w:cstheme="minorHAnsi"/>
        </w:rPr>
        <w:t>-</w:t>
      </w:r>
      <w:r w:rsidR="00797449" w:rsidRPr="007631EC">
        <w:rPr>
          <w:rFonts w:asciiTheme="minorHAnsi" w:hAnsiTheme="minorHAnsi" w:cstheme="minorHAnsi"/>
        </w:rPr>
        <w:t>2</w:t>
      </w:r>
      <w:r w:rsidRPr="007631EC">
        <w:rPr>
          <w:rFonts w:asciiTheme="minorHAnsi" w:hAnsiTheme="minorHAnsi" w:cstheme="minorHAnsi"/>
        </w:rPr>
        <w:t>3</w:t>
      </w:r>
      <w:r w:rsidR="001C5BBC" w:rsidRPr="007631EC">
        <w:rPr>
          <w:rFonts w:asciiTheme="minorHAnsi" w:hAnsiTheme="minorHAnsi" w:cstheme="minorHAnsi"/>
        </w:rPr>
        <w:t>/PE</w:t>
      </w:r>
      <w:r w:rsidR="00864DCD" w:rsidRPr="007631EC">
        <w:rPr>
          <w:rFonts w:asciiTheme="minorHAnsi" w:hAnsiTheme="minorHAnsi" w:cstheme="minorHAnsi"/>
        </w:rPr>
        <w:t>S</w:t>
      </w:r>
      <w:r w:rsidR="001C5BBC" w:rsidRPr="007631EC">
        <w:rPr>
          <w:rFonts w:asciiTheme="minorHAnsi" w:hAnsiTheme="minorHAnsi" w:cstheme="minorHAnsi"/>
        </w:rPr>
        <w:t>-</w:t>
      </w:r>
      <w:r w:rsidRPr="007631EC">
        <w:rPr>
          <w:rFonts w:asciiTheme="minorHAnsi" w:hAnsiTheme="minorHAnsi" w:cstheme="minorHAnsi"/>
        </w:rPr>
        <w:t>119</w:t>
      </w:r>
      <w:r w:rsidR="0042675C" w:rsidRPr="007631EC">
        <w:rPr>
          <w:rFonts w:asciiTheme="minorHAnsi" w:hAnsiTheme="minorHAnsi" w:cstheme="minorHAnsi"/>
        </w:rPr>
        <w:t>)</w:t>
      </w:r>
      <w:r w:rsidR="0073692F" w:rsidRPr="007631EC">
        <w:rPr>
          <w:rFonts w:asciiTheme="minorHAnsi" w:hAnsiTheme="minorHAnsi" w:cstheme="minorHAnsi"/>
        </w:rPr>
        <w:t>,</w:t>
      </w:r>
      <w:r w:rsidR="005F4F36" w:rsidRPr="007631EC">
        <w:rPr>
          <w:rFonts w:asciiTheme="minorHAnsi" w:hAnsiTheme="minorHAnsi" w:cstheme="minorHAnsi"/>
        </w:rPr>
        <w:t xml:space="preserve"> </w:t>
      </w:r>
      <w:r w:rsidR="00304774" w:rsidRPr="007631EC">
        <w:rPr>
          <w:rFonts w:asciiTheme="minorHAnsi" w:hAnsiTheme="minorHAnsi" w:cstheme="minorHAnsi"/>
        </w:rPr>
        <w:t>relativa</w:t>
      </w:r>
      <w:r w:rsidR="00DA07FB" w:rsidRPr="007631EC">
        <w:rPr>
          <w:rFonts w:asciiTheme="minorHAnsi" w:hAnsiTheme="minorHAnsi" w:cstheme="minorHAnsi"/>
        </w:rPr>
        <w:t xml:space="preserve"> </w:t>
      </w:r>
      <w:r w:rsidRPr="007631EC">
        <w:rPr>
          <w:rFonts w:asciiTheme="minorHAnsi" w:hAnsiTheme="minorHAnsi" w:cstheme="minorHAnsi"/>
        </w:rPr>
        <w:t xml:space="preserve">a diversas cuestiones </w:t>
      </w:r>
      <w:r w:rsidR="00233022" w:rsidRPr="007631EC">
        <w:rPr>
          <w:rFonts w:asciiTheme="minorHAnsi" w:hAnsiTheme="minorHAnsi" w:cstheme="minorHAnsi"/>
        </w:rPr>
        <w:t>referidas a la prescripción tributaria</w:t>
      </w:r>
      <w:r w:rsidR="00864DCD" w:rsidRPr="007631EC">
        <w:rPr>
          <w:rFonts w:asciiTheme="minorHAnsi" w:hAnsiTheme="minorHAnsi" w:cstheme="minorHAnsi"/>
        </w:rPr>
        <w:t>,</w:t>
      </w:r>
      <w:r w:rsidR="00E04955" w:rsidRPr="007631EC">
        <w:rPr>
          <w:rFonts w:asciiTheme="minorHAnsi" w:hAnsiTheme="minorHAnsi" w:cstheme="minorHAnsi"/>
        </w:rPr>
        <w:t xml:space="preserve"> </w:t>
      </w:r>
      <w:r w:rsidR="001C5BBC" w:rsidRPr="007631EC">
        <w:rPr>
          <w:rFonts w:asciiTheme="minorHAnsi" w:hAnsiTheme="minorHAnsi" w:cstheme="minorHAnsi"/>
        </w:rPr>
        <w:t xml:space="preserve">tiene el honor de </w:t>
      </w:r>
      <w:r w:rsidR="00E87145" w:rsidRPr="007631EC">
        <w:rPr>
          <w:rFonts w:asciiTheme="minorHAnsi" w:hAnsiTheme="minorHAnsi" w:cstheme="minorHAnsi"/>
        </w:rPr>
        <w:t>contestarle</w:t>
      </w:r>
      <w:r w:rsidR="00251B06" w:rsidRPr="007631EC">
        <w:rPr>
          <w:rFonts w:asciiTheme="minorHAnsi" w:hAnsiTheme="minorHAnsi" w:cstheme="minorHAnsi"/>
        </w:rPr>
        <w:t xml:space="preserve"> lo siguiente:</w:t>
      </w:r>
    </w:p>
    <w:p w14:paraId="6FDD19AD" w14:textId="77777777" w:rsidR="00737ED5"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t>¿De acuerdo con la información que se obtiene del CAT, en el periodo 2016-2022 qué cantidad dineraria total ha prescrito?</w:t>
      </w:r>
    </w:p>
    <w:p w14:paraId="73E4DBB2" w14:textId="77777777" w:rsidR="00737ED5"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t>¿Cuál es el importe de esa prescripción desglosado por años?</w:t>
      </w:r>
    </w:p>
    <w:p w14:paraId="77BD83BF" w14:textId="102EF11F" w:rsidR="00233022" w:rsidRPr="006F0E12" w:rsidRDefault="00233022" w:rsidP="00233022">
      <w:pPr>
        <w:ind w:left="360"/>
        <w:jc w:val="both"/>
        <w:rPr>
          <w:rFonts w:ascii="Calibri" w:hAnsi="Calibri" w:cs="Calibri"/>
          <w:sz w:val="23"/>
          <w:szCs w:val="23"/>
        </w:rPr>
      </w:pPr>
      <w:r w:rsidRPr="006F0E12">
        <w:rPr>
          <w:rFonts w:ascii="Calibri" w:hAnsi="Calibri" w:cs="Calibri"/>
          <w:sz w:val="23"/>
          <w:szCs w:val="23"/>
        </w:rPr>
        <w:t xml:space="preserve">A </w:t>
      </w:r>
      <w:r w:rsidR="007631EC" w:rsidRPr="006F0E12">
        <w:rPr>
          <w:rFonts w:ascii="Calibri" w:hAnsi="Calibri" w:cs="Calibri"/>
          <w:sz w:val="23"/>
          <w:szCs w:val="23"/>
        </w:rPr>
        <w:t>continuación,</w:t>
      </w:r>
      <w:r w:rsidRPr="006F0E12">
        <w:rPr>
          <w:rFonts w:ascii="Calibri" w:hAnsi="Calibri" w:cs="Calibri"/>
          <w:sz w:val="23"/>
          <w:szCs w:val="23"/>
        </w:rPr>
        <w:t xml:space="preserve"> se ofrecen los datos correspondientes a las preguntas 1 y 2:</w:t>
      </w:r>
    </w:p>
    <w:p w14:paraId="3C743A09" w14:textId="77777777" w:rsidR="00233022" w:rsidRDefault="00233022" w:rsidP="00233022">
      <w:pPr>
        <w:ind w:left="360"/>
        <w:jc w:val="both"/>
        <w:rPr>
          <w:rFonts w:ascii="Calibri" w:hAnsi="Calibri" w:cs="Calibri"/>
          <w:b/>
          <w:sz w:val="23"/>
          <w:szCs w:val="23"/>
        </w:rPr>
      </w:pPr>
    </w:p>
    <w:tbl>
      <w:tblPr>
        <w:tblW w:w="0" w:type="auto"/>
        <w:tblInd w:w="430" w:type="dxa"/>
        <w:tblCellMar>
          <w:left w:w="70" w:type="dxa"/>
          <w:right w:w="70" w:type="dxa"/>
        </w:tblCellMar>
        <w:tblLook w:val="04A0" w:firstRow="1" w:lastRow="0" w:firstColumn="1" w:lastColumn="0" w:noHBand="0" w:noVBand="1"/>
      </w:tblPr>
      <w:tblGrid>
        <w:gridCol w:w="1040"/>
        <w:gridCol w:w="2613"/>
        <w:gridCol w:w="3222"/>
      </w:tblGrid>
      <w:tr w:rsidR="00233022" w14:paraId="37BEA427" w14:textId="77777777" w:rsidTr="00737ED5">
        <w:trPr>
          <w:trHeight w:val="340"/>
        </w:trPr>
        <w:tc>
          <w:tcPr>
            <w:tcW w:w="1040" w:type="dxa"/>
            <w:tcBorders>
              <w:top w:val="single" w:sz="4" w:space="0" w:color="auto"/>
              <w:left w:val="single" w:sz="4" w:space="0" w:color="auto"/>
              <w:bottom w:val="single" w:sz="4" w:space="0" w:color="auto"/>
              <w:right w:val="nil"/>
            </w:tcBorders>
            <w:shd w:val="clear" w:color="auto" w:fill="auto"/>
            <w:noWrap/>
            <w:vAlign w:val="bottom"/>
            <w:hideMark/>
          </w:tcPr>
          <w:p w14:paraId="51E34AA7"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AÑO</w:t>
            </w:r>
          </w:p>
        </w:tc>
        <w:tc>
          <w:tcPr>
            <w:tcW w:w="2613" w:type="dxa"/>
            <w:tcBorders>
              <w:top w:val="single" w:sz="4" w:space="0" w:color="auto"/>
              <w:left w:val="nil"/>
              <w:bottom w:val="single" w:sz="4" w:space="0" w:color="auto"/>
              <w:right w:val="nil"/>
            </w:tcBorders>
            <w:shd w:val="clear" w:color="auto" w:fill="auto"/>
            <w:noWrap/>
            <w:vAlign w:val="bottom"/>
            <w:hideMark/>
          </w:tcPr>
          <w:p w14:paraId="17B3CB47"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NÚMERO</w:t>
            </w:r>
          </w:p>
        </w:tc>
        <w:tc>
          <w:tcPr>
            <w:tcW w:w="3222" w:type="dxa"/>
            <w:tcBorders>
              <w:top w:val="single" w:sz="4" w:space="0" w:color="auto"/>
              <w:left w:val="nil"/>
              <w:bottom w:val="single" w:sz="4" w:space="0" w:color="auto"/>
              <w:right w:val="single" w:sz="4" w:space="0" w:color="auto"/>
            </w:tcBorders>
            <w:shd w:val="clear" w:color="auto" w:fill="auto"/>
            <w:noWrap/>
            <w:vAlign w:val="bottom"/>
            <w:hideMark/>
          </w:tcPr>
          <w:p w14:paraId="678A17C4" w14:textId="77777777" w:rsidR="00233022" w:rsidRDefault="00233022" w:rsidP="00737ED5">
            <w:pPr>
              <w:ind w:right="508"/>
              <w:jc w:val="right"/>
              <w:rPr>
                <w:rFonts w:ascii="Calibri" w:hAnsi="Calibri" w:cs="Calibri"/>
                <w:b/>
                <w:bCs/>
                <w:color w:val="000000"/>
                <w:sz w:val="22"/>
                <w:szCs w:val="22"/>
              </w:rPr>
            </w:pPr>
            <w:r>
              <w:rPr>
                <w:rFonts w:ascii="Calibri" w:hAnsi="Calibri" w:cs="Calibri"/>
                <w:b/>
                <w:bCs/>
                <w:color w:val="000000"/>
                <w:sz w:val="22"/>
                <w:szCs w:val="22"/>
              </w:rPr>
              <w:t>IMPORTE</w:t>
            </w:r>
          </w:p>
        </w:tc>
      </w:tr>
      <w:tr w:rsidR="00233022" w14:paraId="70707902"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27AC3FDD"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2016</w:t>
            </w:r>
          </w:p>
        </w:tc>
        <w:tc>
          <w:tcPr>
            <w:tcW w:w="2613" w:type="dxa"/>
            <w:tcBorders>
              <w:top w:val="nil"/>
              <w:left w:val="nil"/>
              <w:bottom w:val="nil"/>
              <w:right w:val="nil"/>
            </w:tcBorders>
            <w:shd w:val="clear" w:color="auto" w:fill="auto"/>
            <w:noWrap/>
            <w:vAlign w:val="bottom"/>
            <w:hideMark/>
          </w:tcPr>
          <w:p w14:paraId="161AD70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7.159</w:t>
            </w:r>
          </w:p>
        </w:tc>
        <w:tc>
          <w:tcPr>
            <w:tcW w:w="3222" w:type="dxa"/>
            <w:tcBorders>
              <w:top w:val="nil"/>
              <w:left w:val="nil"/>
              <w:bottom w:val="nil"/>
              <w:right w:val="single" w:sz="4" w:space="0" w:color="auto"/>
            </w:tcBorders>
            <w:shd w:val="clear" w:color="auto" w:fill="auto"/>
            <w:noWrap/>
            <w:vAlign w:val="bottom"/>
            <w:hideMark/>
          </w:tcPr>
          <w:p w14:paraId="1EB7136A" w14:textId="77777777" w:rsidR="00233022" w:rsidRDefault="00233022" w:rsidP="00737ED5">
            <w:pPr>
              <w:ind w:right="508"/>
              <w:jc w:val="right"/>
              <w:rPr>
                <w:rFonts w:ascii="Calibri" w:hAnsi="Calibri" w:cs="Calibri"/>
                <w:color w:val="000000"/>
                <w:sz w:val="22"/>
                <w:szCs w:val="22"/>
              </w:rPr>
            </w:pPr>
            <w:r>
              <w:rPr>
                <w:rFonts w:ascii="Calibri" w:hAnsi="Calibri" w:cs="Calibri"/>
                <w:color w:val="000000"/>
                <w:sz w:val="22"/>
                <w:szCs w:val="22"/>
              </w:rPr>
              <w:t>40.710.049,68</w:t>
            </w:r>
          </w:p>
        </w:tc>
      </w:tr>
      <w:tr w:rsidR="00233022" w14:paraId="7AED8FC4"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25DF4813"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2017</w:t>
            </w:r>
          </w:p>
        </w:tc>
        <w:tc>
          <w:tcPr>
            <w:tcW w:w="2613" w:type="dxa"/>
            <w:tcBorders>
              <w:top w:val="nil"/>
              <w:left w:val="nil"/>
              <w:bottom w:val="nil"/>
              <w:right w:val="nil"/>
            </w:tcBorders>
            <w:shd w:val="clear" w:color="auto" w:fill="auto"/>
            <w:noWrap/>
            <w:vAlign w:val="bottom"/>
            <w:hideMark/>
          </w:tcPr>
          <w:p w14:paraId="01DCCE9B"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10.800</w:t>
            </w:r>
          </w:p>
        </w:tc>
        <w:tc>
          <w:tcPr>
            <w:tcW w:w="3222" w:type="dxa"/>
            <w:tcBorders>
              <w:top w:val="nil"/>
              <w:left w:val="nil"/>
              <w:bottom w:val="nil"/>
              <w:right w:val="single" w:sz="4" w:space="0" w:color="auto"/>
            </w:tcBorders>
            <w:shd w:val="clear" w:color="auto" w:fill="auto"/>
            <w:noWrap/>
            <w:vAlign w:val="bottom"/>
            <w:hideMark/>
          </w:tcPr>
          <w:p w14:paraId="0EEED1A6" w14:textId="77777777" w:rsidR="00233022" w:rsidRDefault="00233022" w:rsidP="00737ED5">
            <w:pPr>
              <w:ind w:right="508"/>
              <w:jc w:val="right"/>
              <w:rPr>
                <w:rFonts w:ascii="Calibri" w:hAnsi="Calibri" w:cs="Calibri"/>
                <w:color w:val="000000"/>
                <w:sz w:val="22"/>
                <w:szCs w:val="22"/>
              </w:rPr>
            </w:pPr>
            <w:r>
              <w:rPr>
                <w:rFonts w:ascii="Calibri" w:hAnsi="Calibri" w:cs="Calibri"/>
                <w:color w:val="000000"/>
                <w:sz w:val="22"/>
                <w:szCs w:val="22"/>
              </w:rPr>
              <w:t>13.771.871,76</w:t>
            </w:r>
          </w:p>
        </w:tc>
      </w:tr>
      <w:tr w:rsidR="00233022" w14:paraId="587DC3EB"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06B14778"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2018</w:t>
            </w:r>
          </w:p>
        </w:tc>
        <w:tc>
          <w:tcPr>
            <w:tcW w:w="2613" w:type="dxa"/>
            <w:tcBorders>
              <w:top w:val="nil"/>
              <w:left w:val="nil"/>
              <w:bottom w:val="nil"/>
              <w:right w:val="nil"/>
            </w:tcBorders>
            <w:shd w:val="clear" w:color="auto" w:fill="auto"/>
            <w:noWrap/>
            <w:vAlign w:val="bottom"/>
            <w:hideMark/>
          </w:tcPr>
          <w:p w14:paraId="5A0F8469"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18.441</w:t>
            </w:r>
          </w:p>
        </w:tc>
        <w:tc>
          <w:tcPr>
            <w:tcW w:w="3222" w:type="dxa"/>
            <w:tcBorders>
              <w:top w:val="nil"/>
              <w:left w:val="nil"/>
              <w:bottom w:val="nil"/>
              <w:right w:val="single" w:sz="4" w:space="0" w:color="auto"/>
            </w:tcBorders>
            <w:shd w:val="clear" w:color="auto" w:fill="auto"/>
            <w:noWrap/>
            <w:vAlign w:val="bottom"/>
            <w:hideMark/>
          </w:tcPr>
          <w:p w14:paraId="2057845E" w14:textId="77777777" w:rsidR="00233022" w:rsidRDefault="00233022" w:rsidP="00737ED5">
            <w:pPr>
              <w:ind w:right="508"/>
              <w:jc w:val="right"/>
              <w:rPr>
                <w:rFonts w:ascii="Calibri" w:hAnsi="Calibri" w:cs="Calibri"/>
                <w:color w:val="000000"/>
                <w:sz w:val="22"/>
                <w:szCs w:val="22"/>
              </w:rPr>
            </w:pPr>
            <w:r>
              <w:rPr>
                <w:rFonts w:ascii="Calibri" w:hAnsi="Calibri" w:cs="Calibri"/>
                <w:color w:val="000000"/>
                <w:sz w:val="22"/>
                <w:szCs w:val="22"/>
              </w:rPr>
              <w:t>33.155.895,22</w:t>
            </w:r>
          </w:p>
        </w:tc>
      </w:tr>
      <w:tr w:rsidR="00233022" w14:paraId="27110944"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6BD1E9EE"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2019</w:t>
            </w:r>
          </w:p>
        </w:tc>
        <w:tc>
          <w:tcPr>
            <w:tcW w:w="2613" w:type="dxa"/>
            <w:tcBorders>
              <w:top w:val="nil"/>
              <w:left w:val="nil"/>
              <w:bottom w:val="nil"/>
              <w:right w:val="nil"/>
            </w:tcBorders>
            <w:shd w:val="clear" w:color="auto" w:fill="auto"/>
            <w:noWrap/>
            <w:vAlign w:val="bottom"/>
            <w:hideMark/>
          </w:tcPr>
          <w:p w14:paraId="6F084E50"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13.537</w:t>
            </w:r>
          </w:p>
        </w:tc>
        <w:tc>
          <w:tcPr>
            <w:tcW w:w="3222" w:type="dxa"/>
            <w:tcBorders>
              <w:top w:val="nil"/>
              <w:left w:val="nil"/>
              <w:bottom w:val="nil"/>
              <w:right w:val="single" w:sz="4" w:space="0" w:color="auto"/>
            </w:tcBorders>
            <w:shd w:val="clear" w:color="auto" w:fill="auto"/>
            <w:noWrap/>
            <w:vAlign w:val="bottom"/>
            <w:hideMark/>
          </w:tcPr>
          <w:p w14:paraId="2CB140D5" w14:textId="77777777" w:rsidR="00233022" w:rsidRDefault="00233022" w:rsidP="00737ED5">
            <w:pPr>
              <w:ind w:right="508"/>
              <w:jc w:val="right"/>
              <w:rPr>
                <w:rFonts w:ascii="Calibri" w:hAnsi="Calibri" w:cs="Calibri"/>
                <w:color w:val="000000"/>
                <w:sz w:val="22"/>
                <w:szCs w:val="22"/>
              </w:rPr>
            </w:pPr>
            <w:r>
              <w:rPr>
                <w:rFonts w:ascii="Calibri" w:hAnsi="Calibri" w:cs="Calibri"/>
                <w:color w:val="000000"/>
                <w:sz w:val="22"/>
                <w:szCs w:val="22"/>
              </w:rPr>
              <w:t>16.149.625,56</w:t>
            </w:r>
          </w:p>
        </w:tc>
      </w:tr>
      <w:tr w:rsidR="00233022" w14:paraId="47408758"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539D4008"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2020</w:t>
            </w:r>
          </w:p>
        </w:tc>
        <w:tc>
          <w:tcPr>
            <w:tcW w:w="2613" w:type="dxa"/>
            <w:tcBorders>
              <w:top w:val="nil"/>
              <w:left w:val="nil"/>
              <w:bottom w:val="nil"/>
              <w:right w:val="nil"/>
            </w:tcBorders>
            <w:shd w:val="clear" w:color="auto" w:fill="auto"/>
            <w:noWrap/>
            <w:vAlign w:val="bottom"/>
            <w:hideMark/>
          </w:tcPr>
          <w:p w14:paraId="52AE53F0"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6.443</w:t>
            </w:r>
          </w:p>
        </w:tc>
        <w:tc>
          <w:tcPr>
            <w:tcW w:w="3222" w:type="dxa"/>
            <w:tcBorders>
              <w:top w:val="nil"/>
              <w:left w:val="nil"/>
              <w:bottom w:val="nil"/>
              <w:right w:val="single" w:sz="4" w:space="0" w:color="auto"/>
            </w:tcBorders>
            <w:shd w:val="clear" w:color="auto" w:fill="auto"/>
            <w:noWrap/>
            <w:vAlign w:val="bottom"/>
            <w:hideMark/>
          </w:tcPr>
          <w:p w14:paraId="04D700A6" w14:textId="77777777" w:rsidR="00233022" w:rsidRDefault="00233022" w:rsidP="00737ED5">
            <w:pPr>
              <w:ind w:right="508"/>
              <w:jc w:val="right"/>
              <w:rPr>
                <w:rFonts w:ascii="Calibri" w:hAnsi="Calibri" w:cs="Calibri"/>
                <w:color w:val="000000"/>
                <w:sz w:val="22"/>
                <w:szCs w:val="22"/>
              </w:rPr>
            </w:pPr>
            <w:r>
              <w:rPr>
                <w:rFonts w:ascii="Calibri" w:hAnsi="Calibri" w:cs="Calibri"/>
                <w:color w:val="000000"/>
                <w:sz w:val="22"/>
                <w:szCs w:val="22"/>
              </w:rPr>
              <w:t>22.775.021,82</w:t>
            </w:r>
          </w:p>
        </w:tc>
      </w:tr>
      <w:tr w:rsidR="00233022" w14:paraId="1836C5BB"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119506CD"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2021</w:t>
            </w:r>
          </w:p>
        </w:tc>
        <w:tc>
          <w:tcPr>
            <w:tcW w:w="2613" w:type="dxa"/>
            <w:tcBorders>
              <w:top w:val="nil"/>
              <w:left w:val="nil"/>
              <w:bottom w:val="nil"/>
              <w:right w:val="nil"/>
            </w:tcBorders>
            <w:shd w:val="clear" w:color="auto" w:fill="auto"/>
            <w:noWrap/>
            <w:vAlign w:val="bottom"/>
            <w:hideMark/>
          </w:tcPr>
          <w:p w14:paraId="1D32930F"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1.248</w:t>
            </w:r>
          </w:p>
        </w:tc>
        <w:tc>
          <w:tcPr>
            <w:tcW w:w="3222" w:type="dxa"/>
            <w:tcBorders>
              <w:top w:val="nil"/>
              <w:left w:val="nil"/>
              <w:bottom w:val="nil"/>
              <w:right w:val="single" w:sz="4" w:space="0" w:color="auto"/>
            </w:tcBorders>
            <w:shd w:val="clear" w:color="auto" w:fill="auto"/>
            <w:noWrap/>
            <w:vAlign w:val="bottom"/>
            <w:hideMark/>
          </w:tcPr>
          <w:p w14:paraId="38405CD9" w14:textId="77777777" w:rsidR="00233022" w:rsidRDefault="00233022" w:rsidP="00737ED5">
            <w:pPr>
              <w:ind w:right="508"/>
              <w:jc w:val="right"/>
              <w:rPr>
                <w:rFonts w:ascii="Calibri" w:hAnsi="Calibri" w:cs="Calibri"/>
                <w:color w:val="000000"/>
                <w:sz w:val="22"/>
                <w:szCs w:val="22"/>
              </w:rPr>
            </w:pPr>
            <w:r>
              <w:rPr>
                <w:rFonts w:ascii="Calibri" w:hAnsi="Calibri" w:cs="Calibri"/>
                <w:color w:val="000000"/>
                <w:sz w:val="22"/>
                <w:szCs w:val="22"/>
              </w:rPr>
              <w:t>11.980.227,08</w:t>
            </w:r>
          </w:p>
        </w:tc>
      </w:tr>
      <w:tr w:rsidR="00233022" w14:paraId="06A372EB" w14:textId="77777777" w:rsidTr="00737ED5">
        <w:trPr>
          <w:trHeight w:val="340"/>
        </w:trPr>
        <w:tc>
          <w:tcPr>
            <w:tcW w:w="1040" w:type="dxa"/>
            <w:tcBorders>
              <w:top w:val="nil"/>
              <w:left w:val="single" w:sz="4" w:space="0" w:color="auto"/>
              <w:bottom w:val="nil"/>
              <w:right w:val="nil"/>
            </w:tcBorders>
            <w:shd w:val="clear" w:color="auto" w:fill="auto"/>
            <w:noWrap/>
            <w:vAlign w:val="bottom"/>
            <w:hideMark/>
          </w:tcPr>
          <w:p w14:paraId="084C42B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2022</w:t>
            </w:r>
          </w:p>
        </w:tc>
        <w:tc>
          <w:tcPr>
            <w:tcW w:w="2613" w:type="dxa"/>
            <w:tcBorders>
              <w:top w:val="nil"/>
              <w:left w:val="nil"/>
              <w:bottom w:val="nil"/>
              <w:right w:val="nil"/>
            </w:tcBorders>
            <w:shd w:val="clear" w:color="auto" w:fill="auto"/>
            <w:noWrap/>
            <w:vAlign w:val="bottom"/>
            <w:hideMark/>
          </w:tcPr>
          <w:p w14:paraId="70A75D2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598</w:t>
            </w:r>
          </w:p>
        </w:tc>
        <w:tc>
          <w:tcPr>
            <w:tcW w:w="3222" w:type="dxa"/>
            <w:tcBorders>
              <w:top w:val="nil"/>
              <w:left w:val="nil"/>
              <w:bottom w:val="nil"/>
              <w:right w:val="single" w:sz="4" w:space="0" w:color="auto"/>
            </w:tcBorders>
            <w:shd w:val="clear" w:color="auto" w:fill="auto"/>
            <w:noWrap/>
            <w:vAlign w:val="bottom"/>
            <w:hideMark/>
          </w:tcPr>
          <w:p w14:paraId="5FACE393" w14:textId="77777777" w:rsidR="00233022" w:rsidRDefault="00233022" w:rsidP="00737ED5">
            <w:pPr>
              <w:ind w:right="508"/>
              <w:jc w:val="right"/>
              <w:rPr>
                <w:rFonts w:ascii="Calibri" w:hAnsi="Calibri" w:cs="Calibri"/>
                <w:color w:val="000000"/>
                <w:sz w:val="22"/>
                <w:szCs w:val="22"/>
              </w:rPr>
            </w:pPr>
            <w:r>
              <w:rPr>
                <w:rFonts w:ascii="Calibri" w:hAnsi="Calibri" w:cs="Calibri"/>
                <w:color w:val="000000"/>
                <w:sz w:val="22"/>
                <w:szCs w:val="22"/>
              </w:rPr>
              <w:t>15.242.542,37</w:t>
            </w:r>
          </w:p>
        </w:tc>
      </w:tr>
      <w:tr w:rsidR="00233022" w14:paraId="5A83F760" w14:textId="77777777" w:rsidTr="00737ED5">
        <w:trPr>
          <w:trHeight w:val="340"/>
        </w:trPr>
        <w:tc>
          <w:tcPr>
            <w:tcW w:w="1040" w:type="dxa"/>
            <w:tcBorders>
              <w:top w:val="single" w:sz="4" w:space="0" w:color="auto"/>
              <w:left w:val="single" w:sz="4" w:space="0" w:color="auto"/>
              <w:bottom w:val="single" w:sz="4" w:space="0" w:color="auto"/>
              <w:right w:val="nil"/>
            </w:tcBorders>
            <w:shd w:val="clear" w:color="auto" w:fill="auto"/>
            <w:noWrap/>
            <w:vAlign w:val="bottom"/>
            <w:hideMark/>
          </w:tcPr>
          <w:p w14:paraId="5DBB3918" w14:textId="77777777" w:rsidR="00233022" w:rsidRDefault="00233022" w:rsidP="00737ED5">
            <w:pPr>
              <w:ind w:firstLine="80"/>
              <w:rPr>
                <w:rFonts w:ascii="Calibri" w:hAnsi="Calibri" w:cs="Calibri"/>
                <w:color w:val="000000"/>
                <w:sz w:val="22"/>
                <w:szCs w:val="22"/>
              </w:rPr>
            </w:pPr>
            <w:r>
              <w:rPr>
                <w:rFonts w:ascii="Calibri" w:hAnsi="Calibri" w:cs="Calibri"/>
                <w:color w:val="000000"/>
                <w:sz w:val="22"/>
                <w:szCs w:val="22"/>
              </w:rPr>
              <w:t>TOTAL</w:t>
            </w:r>
          </w:p>
        </w:tc>
        <w:tc>
          <w:tcPr>
            <w:tcW w:w="2613" w:type="dxa"/>
            <w:tcBorders>
              <w:top w:val="single" w:sz="4" w:space="0" w:color="auto"/>
              <w:left w:val="nil"/>
              <w:bottom w:val="single" w:sz="4" w:space="0" w:color="auto"/>
              <w:right w:val="nil"/>
            </w:tcBorders>
            <w:shd w:val="clear" w:color="auto" w:fill="auto"/>
            <w:noWrap/>
            <w:vAlign w:val="bottom"/>
            <w:hideMark/>
          </w:tcPr>
          <w:p w14:paraId="728A3D6F"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58.226</w:t>
            </w:r>
          </w:p>
        </w:tc>
        <w:tc>
          <w:tcPr>
            <w:tcW w:w="3222" w:type="dxa"/>
            <w:tcBorders>
              <w:top w:val="single" w:sz="4" w:space="0" w:color="auto"/>
              <w:left w:val="nil"/>
              <w:bottom w:val="single" w:sz="4" w:space="0" w:color="auto"/>
              <w:right w:val="single" w:sz="4" w:space="0" w:color="auto"/>
            </w:tcBorders>
            <w:shd w:val="clear" w:color="auto" w:fill="auto"/>
            <w:noWrap/>
            <w:vAlign w:val="bottom"/>
            <w:hideMark/>
          </w:tcPr>
          <w:p w14:paraId="3C63C4DC" w14:textId="77777777" w:rsidR="00233022" w:rsidRDefault="00233022" w:rsidP="00737ED5">
            <w:pPr>
              <w:ind w:right="508"/>
              <w:jc w:val="right"/>
              <w:rPr>
                <w:rFonts w:ascii="Calibri" w:hAnsi="Calibri" w:cs="Calibri"/>
                <w:color w:val="000000"/>
                <w:sz w:val="22"/>
                <w:szCs w:val="22"/>
              </w:rPr>
            </w:pPr>
            <w:r>
              <w:rPr>
                <w:rFonts w:ascii="Calibri" w:hAnsi="Calibri" w:cs="Calibri"/>
                <w:color w:val="000000"/>
                <w:sz w:val="22"/>
                <w:szCs w:val="22"/>
              </w:rPr>
              <w:t>153.785.233,49</w:t>
            </w:r>
          </w:p>
        </w:tc>
      </w:tr>
    </w:tbl>
    <w:p w14:paraId="2DCD26AA" w14:textId="77777777" w:rsidR="00737ED5" w:rsidRDefault="00737ED5" w:rsidP="00233022">
      <w:pPr>
        <w:jc w:val="both"/>
        <w:rPr>
          <w:rFonts w:ascii="Calibri" w:hAnsi="Calibri" w:cs="Calibri"/>
          <w:b/>
          <w:sz w:val="23"/>
          <w:szCs w:val="23"/>
        </w:rPr>
      </w:pPr>
    </w:p>
    <w:p w14:paraId="29BE897B" w14:textId="5B7322F5" w:rsidR="00233022"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t>¿Desglosado por figuras impositivas (IRPF, IS, IVA…)</w:t>
      </w:r>
      <w:r w:rsidR="00DF1925">
        <w:rPr>
          <w:rFonts w:ascii="Calibri" w:hAnsi="Calibri" w:cs="Calibri"/>
          <w:b/>
          <w:sz w:val="23"/>
          <w:szCs w:val="23"/>
        </w:rPr>
        <w:t>,</w:t>
      </w:r>
      <w:r w:rsidRPr="00323D3C">
        <w:rPr>
          <w:rFonts w:ascii="Calibri" w:hAnsi="Calibri" w:cs="Calibri"/>
          <w:b/>
          <w:sz w:val="23"/>
          <w:szCs w:val="23"/>
        </w:rPr>
        <w:t xml:space="preserve"> cuáles son los importes?</w:t>
      </w:r>
    </w:p>
    <w:p w14:paraId="0DACF10E" w14:textId="77777777" w:rsidR="00233022" w:rsidRDefault="00233022" w:rsidP="00233022">
      <w:pPr>
        <w:jc w:val="both"/>
        <w:rPr>
          <w:rFonts w:ascii="Calibri" w:hAnsi="Calibri" w:cs="Calibri"/>
          <w:b/>
          <w:sz w:val="23"/>
          <w:szCs w:val="23"/>
        </w:rPr>
      </w:pPr>
    </w:p>
    <w:tbl>
      <w:tblPr>
        <w:tblW w:w="8553" w:type="dxa"/>
        <w:tblInd w:w="708" w:type="dxa"/>
        <w:tblCellMar>
          <w:left w:w="70" w:type="dxa"/>
          <w:right w:w="70" w:type="dxa"/>
        </w:tblCellMar>
        <w:tblLook w:val="04A0" w:firstRow="1" w:lastRow="0" w:firstColumn="1" w:lastColumn="0" w:noHBand="0" w:noVBand="1"/>
      </w:tblPr>
      <w:tblGrid>
        <w:gridCol w:w="7020"/>
        <w:gridCol w:w="1533"/>
      </w:tblGrid>
      <w:tr w:rsidR="00233022" w14:paraId="554A222A" w14:textId="77777777" w:rsidTr="005C039A">
        <w:trPr>
          <w:trHeight w:val="288"/>
        </w:trPr>
        <w:tc>
          <w:tcPr>
            <w:tcW w:w="7020" w:type="dxa"/>
            <w:tcBorders>
              <w:top w:val="single" w:sz="4" w:space="0" w:color="auto"/>
              <w:left w:val="single" w:sz="4" w:space="0" w:color="auto"/>
              <w:bottom w:val="nil"/>
              <w:right w:val="nil"/>
            </w:tcBorders>
            <w:shd w:val="clear" w:color="auto" w:fill="auto"/>
            <w:noWrap/>
            <w:vAlign w:val="bottom"/>
            <w:hideMark/>
          </w:tcPr>
          <w:p w14:paraId="3EA8507F" w14:textId="77777777" w:rsidR="00233022" w:rsidRDefault="00233022" w:rsidP="006E13B2">
            <w:pPr>
              <w:rPr>
                <w:sz w:val="20"/>
                <w:szCs w:val="20"/>
              </w:rPr>
            </w:pP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14:paraId="5A24EAA2"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TOTAL</w:t>
            </w:r>
          </w:p>
        </w:tc>
      </w:tr>
      <w:tr w:rsidR="00233022" w14:paraId="3886FFA3"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180D92E1"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la Renta de las Personas Físicas</w:t>
            </w:r>
          </w:p>
        </w:tc>
        <w:tc>
          <w:tcPr>
            <w:tcW w:w="1533" w:type="dxa"/>
            <w:tcBorders>
              <w:top w:val="nil"/>
              <w:left w:val="nil"/>
              <w:bottom w:val="nil"/>
              <w:right w:val="single" w:sz="4" w:space="0" w:color="auto"/>
            </w:tcBorders>
            <w:shd w:val="clear" w:color="auto" w:fill="auto"/>
            <w:noWrap/>
            <w:vAlign w:val="bottom"/>
            <w:hideMark/>
          </w:tcPr>
          <w:p w14:paraId="5BC8919C"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20.604.702,48</w:t>
            </w:r>
          </w:p>
        </w:tc>
      </w:tr>
      <w:tr w:rsidR="00233022" w14:paraId="70A3FA72"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2E09F49F"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Sociedades</w:t>
            </w:r>
          </w:p>
        </w:tc>
        <w:tc>
          <w:tcPr>
            <w:tcW w:w="1533" w:type="dxa"/>
            <w:tcBorders>
              <w:top w:val="nil"/>
              <w:left w:val="nil"/>
              <w:bottom w:val="nil"/>
              <w:right w:val="single" w:sz="4" w:space="0" w:color="auto"/>
            </w:tcBorders>
            <w:shd w:val="clear" w:color="auto" w:fill="auto"/>
            <w:noWrap/>
            <w:vAlign w:val="bottom"/>
            <w:hideMark/>
          </w:tcPr>
          <w:p w14:paraId="4EFA3A86"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5.890.614,42</w:t>
            </w:r>
          </w:p>
        </w:tc>
      </w:tr>
      <w:tr w:rsidR="00233022" w14:paraId="4845A5A5"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5DCBEA76"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la renta de no residentes</w:t>
            </w:r>
          </w:p>
        </w:tc>
        <w:tc>
          <w:tcPr>
            <w:tcW w:w="1533" w:type="dxa"/>
            <w:tcBorders>
              <w:top w:val="nil"/>
              <w:left w:val="nil"/>
              <w:bottom w:val="nil"/>
              <w:right w:val="single" w:sz="4" w:space="0" w:color="auto"/>
            </w:tcBorders>
            <w:shd w:val="clear" w:color="auto" w:fill="auto"/>
            <w:noWrap/>
            <w:vAlign w:val="bottom"/>
            <w:hideMark/>
          </w:tcPr>
          <w:p w14:paraId="72EEA53A"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646.043,50</w:t>
            </w:r>
          </w:p>
        </w:tc>
      </w:tr>
      <w:tr w:rsidR="00233022" w14:paraId="426C3018"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32F08348"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el Patrimonio</w:t>
            </w:r>
          </w:p>
        </w:tc>
        <w:tc>
          <w:tcPr>
            <w:tcW w:w="1533" w:type="dxa"/>
            <w:tcBorders>
              <w:top w:val="nil"/>
              <w:left w:val="nil"/>
              <w:bottom w:val="nil"/>
              <w:right w:val="single" w:sz="4" w:space="0" w:color="auto"/>
            </w:tcBorders>
            <w:shd w:val="clear" w:color="auto" w:fill="auto"/>
            <w:noWrap/>
            <w:vAlign w:val="bottom"/>
            <w:hideMark/>
          </w:tcPr>
          <w:p w14:paraId="4FE940EA"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12.257,45</w:t>
            </w:r>
          </w:p>
        </w:tc>
      </w:tr>
      <w:tr w:rsidR="00233022" w14:paraId="077C8809"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4B7DCF73"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Tributos Patrimoniales</w:t>
            </w:r>
          </w:p>
        </w:tc>
        <w:tc>
          <w:tcPr>
            <w:tcW w:w="1533" w:type="dxa"/>
            <w:tcBorders>
              <w:top w:val="nil"/>
              <w:left w:val="nil"/>
              <w:bottom w:val="nil"/>
              <w:right w:val="single" w:sz="4" w:space="0" w:color="auto"/>
            </w:tcBorders>
            <w:shd w:val="clear" w:color="auto" w:fill="auto"/>
            <w:noWrap/>
            <w:vAlign w:val="bottom"/>
            <w:hideMark/>
          </w:tcPr>
          <w:p w14:paraId="348C5A9A"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1.123.995,97</w:t>
            </w:r>
          </w:p>
        </w:tc>
      </w:tr>
      <w:tr w:rsidR="00233022" w14:paraId="619D123F"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4F7B7CB0"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valor producción energía eléctrica</w:t>
            </w:r>
          </w:p>
        </w:tc>
        <w:tc>
          <w:tcPr>
            <w:tcW w:w="1533" w:type="dxa"/>
            <w:tcBorders>
              <w:top w:val="nil"/>
              <w:left w:val="nil"/>
              <w:bottom w:val="nil"/>
              <w:right w:val="single" w:sz="4" w:space="0" w:color="auto"/>
            </w:tcBorders>
            <w:shd w:val="clear" w:color="auto" w:fill="auto"/>
            <w:noWrap/>
            <w:vAlign w:val="bottom"/>
            <w:hideMark/>
          </w:tcPr>
          <w:p w14:paraId="4F6B4759"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292.103,95</w:t>
            </w:r>
          </w:p>
        </w:tc>
      </w:tr>
      <w:tr w:rsidR="00233022" w14:paraId="6F8D01E9"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61D1F0D2"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el valor añadido</w:t>
            </w:r>
          </w:p>
        </w:tc>
        <w:tc>
          <w:tcPr>
            <w:tcW w:w="1533" w:type="dxa"/>
            <w:tcBorders>
              <w:top w:val="nil"/>
              <w:left w:val="nil"/>
              <w:bottom w:val="nil"/>
              <w:right w:val="single" w:sz="4" w:space="0" w:color="auto"/>
            </w:tcBorders>
            <w:shd w:val="clear" w:color="auto" w:fill="auto"/>
            <w:noWrap/>
            <w:vAlign w:val="bottom"/>
            <w:hideMark/>
          </w:tcPr>
          <w:p w14:paraId="4E10A4BF"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67.456.673,18</w:t>
            </w:r>
          </w:p>
        </w:tc>
      </w:tr>
      <w:tr w:rsidR="00233022" w14:paraId="63115EFC"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0F8F2F46"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Impuestos sobre el alcohol y bebidas derivadas</w:t>
            </w:r>
          </w:p>
        </w:tc>
        <w:tc>
          <w:tcPr>
            <w:tcW w:w="1533" w:type="dxa"/>
            <w:tcBorders>
              <w:top w:val="nil"/>
              <w:left w:val="nil"/>
              <w:bottom w:val="nil"/>
              <w:right w:val="single" w:sz="4" w:space="0" w:color="auto"/>
            </w:tcBorders>
            <w:shd w:val="clear" w:color="auto" w:fill="auto"/>
            <w:noWrap/>
            <w:vAlign w:val="bottom"/>
            <w:hideMark/>
          </w:tcPr>
          <w:p w14:paraId="03154C00"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85.875,55</w:t>
            </w:r>
          </w:p>
        </w:tc>
      </w:tr>
      <w:tr w:rsidR="00233022" w14:paraId="33506B41"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2C75D23A"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determinados medios de transporte</w:t>
            </w:r>
          </w:p>
        </w:tc>
        <w:tc>
          <w:tcPr>
            <w:tcW w:w="1533" w:type="dxa"/>
            <w:tcBorders>
              <w:top w:val="nil"/>
              <w:left w:val="nil"/>
              <w:bottom w:val="nil"/>
              <w:right w:val="single" w:sz="4" w:space="0" w:color="auto"/>
            </w:tcBorders>
            <w:shd w:val="clear" w:color="auto" w:fill="auto"/>
            <w:noWrap/>
            <w:vAlign w:val="bottom"/>
            <w:hideMark/>
          </w:tcPr>
          <w:p w14:paraId="3F0EBC09"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56.493,40</w:t>
            </w:r>
          </w:p>
        </w:tc>
      </w:tr>
      <w:tr w:rsidR="00233022" w14:paraId="64229169"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2F2F691E"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hidrocarburos</w:t>
            </w:r>
          </w:p>
        </w:tc>
        <w:tc>
          <w:tcPr>
            <w:tcW w:w="1533" w:type="dxa"/>
            <w:tcBorders>
              <w:top w:val="nil"/>
              <w:left w:val="nil"/>
              <w:bottom w:val="nil"/>
              <w:right w:val="single" w:sz="4" w:space="0" w:color="auto"/>
            </w:tcBorders>
            <w:shd w:val="clear" w:color="auto" w:fill="auto"/>
            <w:noWrap/>
            <w:vAlign w:val="bottom"/>
            <w:hideMark/>
          </w:tcPr>
          <w:p w14:paraId="48E068D5"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-234.004,55</w:t>
            </w:r>
          </w:p>
        </w:tc>
      </w:tr>
      <w:tr w:rsidR="00233022" w14:paraId="0707490D"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1D3167C7"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electricidad</w:t>
            </w:r>
          </w:p>
        </w:tc>
        <w:tc>
          <w:tcPr>
            <w:tcW w:w="1533" w:type="dxa"/>
            <w:tcBorders>
              <w:top w:val="nil"/>
              <w:left w:val="nil"/>
              <w:bottom w:val="nil"/>
              <w:right w:val="single" w:sz="4" w:space="0" w:color="auto"/>
            </w:tcBorders>
            <w:shd w:val="clear" w:color="auto" w:fill="auto"/>
            <w:noWrap/>
            <w:vAlign w:val="bottom"/>
            <w:hideMark/>
          </w:tcPr>
          <w:p w14:paraId="0B66EFB9"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47.287,43</w:t>
            </w:r>
          </w:p>
        </w:tc>
      </w:tr>
      <w:tr w:rsidR="00233022" w14:paraId="70925B5C"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3D8A3E15"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w:t>
            </w:r>
            <w:r>
              <w:rPr>
                <w:rFonts w:ascii="Calibri" w:hAnsi="Calibri" w:cs="Calibri"/>
                <w:sz w:val="23"/>
                <w:szCs w:val="23"/>
              </w:rPr>
              <w:t>uest</w:t>
            </w:r>
            <w:r w:rsidRPr="009E0C20">
              <w:rPr>
                <w:rFonts w:ascii="Calibri" w:hAnsi="Calibri" w:cs="Calibri"/>
                <w:sz w:val="23"/>
                <w:szCs w:val="23"/>
              </w:rPr>
              <w:t>o ventas minoristas de determinados hidrocarburos</w:t>
            </w:r>
          </w:p>
        </w:tc>
        <w:tc>
          <w:tcPr>
            <w:tcW w:w="1533" w:type="dxa"/>
            <w:tcBorders>
              <w:top w:val="nil"/>
              <w:left w:val="nil"/>
              <w:bottom w:val="nil"/>
              <w:right w:val="single" w:sz="4" w:space="0" w:color="auto"/>
            </w:tcBorders>
            <w:shd w:val="clear" w:color="auto" w:fill="auto"/>
            <w:noWrap/>
            <w:vAlign w:val="bottom"/>
            <w:hideMark/>
          </w:tcPr>
          <w:p w14:paraId="7B7C749B"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167.769,83</w:t>
            </w:r>
          </w:p>
        </w:tc>
      </w:tr>
      <w:tr w:rsidR="00233022" w14:paraId="509C8D67"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39C7DEC5"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Impuesto sobre las primas de seguros</w:t>
            </w:r>
          </w:p>
        </w:tc>
        <w:tc>
          <w:tcPr>
            <w:tcW w:w="1533" w:type="dxa"/>
            <w:tcBorders>
              <w:top w:val="nil"/>
              <w:left w:val="nil"/>
              <w:bottom w:val="nil"/>
              <w:right w:val="single" w:sz="4" w:space="0" w:color="auto"/>
            </w:tcBorders>
            <w:shd w:val="clear" w:color="auto" w:fill="auto"/>
            <w:noWrap/>
            <w:vAlign w:val="bottom"/>
            <w:hideMark/>
          </w:tcPr>
          <w:p w14:paraId="43B9F944"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205.102,55</w:t>
            </w:r>
          </w:p>
        </w:tc>
      </w:tr>
      <w:tr w:rsidR="00233022" w14:paraId="329746D4"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20E9913F"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Tasas derivadas de la actividad del juego</w:t>
            </w:r>
          </w:p>
        </w:tc>
        <w:tc>
          <w:tcPr>
            <w:tcW w:w="1533" w:type="dxa"/>
            <w:tcBorders>
              <w:top w:val="nil"/>
              <w:left w:val="nil"/>
              <w:bottom w:val="nil"/>
              <w:right w:val="single" w:sz="4" w:space="0" w:color="auto"/>
            </w:tcBorders>
            <w:shd w:val="clear" w:color="auto" w:fill="auto"/>
            <w:noWrap/>
            <w:vAlign w:val="bottom"/>
            <w:hideMark/>
          </w:tcPr>
          <w:p w14:paraId="3B75D5C9"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129.106,52</w:t>
            </w:r>
          </w:p>
        </w:tc>
      </w:tr>
      <w:tr w:rsidR="00233022" w14:paraId="2BF24979"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7084FF71"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Tasas por servicios industr., energ. y mineros</w:t>
            </w:r>
          </w:p>
        </w:tc>
        <w:tc>
          <w:tcPr>
            <w:tcW w:w="1533" w:type="dxa"/>
            <w:tcBorders>
              <w:top w:val="nil"/>
              <w:left w:val="nil"/>
              <w:bottom w:val="nil"/>
              <w:right w:val="single" w:sz="4" w:space="0" w:color="auto"/>
            </w:tcBorders>
            <w:shd w:val="clear" w:color="auto" w:fill="auto"/>
            <w:noWrap/>
            <w:vAlign w:val="bottom"/>
            <w:hideMark/>
          </w:tcPr>
          <w:p w14:paraId="3948766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43,12</w:t>
            </w:r>
          </w:p>
        </w:tc>
      </w:tr>
      <w:tr w:rsidR="00233022" w14:paraId="799F37B3"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08F95F75"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Multas y sanciones</w:t>
            </w:r>
          </w:p>
        </w:tc>
        <w:tc>
          <w:tcPr>
            <w:tcW w:w="1533" w:type="dxa"/>
            <w:tcBorders>
              <w:top w:val="nil"/>
              <w:left w:val="nil"/>
              <w:bottom w:val="nil"/>
              <w:right w:val="single" w:sz="4" w:space="0" w:color="auto"/>
            </w:tcBorders>
            <w:shd w:val="clear" w:color="auto" w:fill="auto"/>
            <w:noWrap/>
            <w:vAlign w:val="bottom"/>
            <w:hideMark/>
          </w:tcPr>
          <w:p w14:paraId="61CFBD54"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17.162.984,38</w:t>
            </w:r>
          </w:p>
        </w:tc>
      </w:tr>
      <w:tr w:rsidR="00233022" w14:paraId="63D69471"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6C28B55A"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No Fiscales</w:t>
            </w:r>
          </w:p>
        </w:tc>
        <w:tc>
          <w:tcPr>
            <w:tcW w:w="1533" w:type="dxa"/>
            <w:tcBorders>
              <w:top w:val="nil"/>
              <w:left w:val="nil"/>
              <w:bottom w:val="nil"/>
              <w:right w:val="single" w:sz="4" w:space="0" w:color="auto"/>
            </w:tcBorders>
            <w:shd w:val="clear" w:color="auto" w:fill="auto"/>
            <w:noWrap/>
            <w:vAlign w:val="bottom"/>
            <w:hideMark/>
          </w:tcPr>
          <w:p w14:paraId="70C22A1D"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39.844.093,25</w:t>
            </w:r>
          </w:p>
        </w:tc>
      </w:tr>
      <w:tr w:rsidR="00233022" w14:paraId="31450227" w14:textId="77777777" w:rsidTr="005C039A">
        <w:trPr>
          <w:trHeight w:val="288"/>
        </w:trPr>
        <w:tc>
          <w:tcPr>
            <w:tcW w:w="7020" w:type="dxa"/>
            <w:tcBorders>
              <w:top w:val="nil"/>
              <w:left w:val="single" w:sz="4" w:space="0" w:color="auto"/>
              <w:bottom w:val="nil"/>
              <w:right w:val="nil"/>
            </w:tcBorders>
            <w:shd w:val="clear" w:color="auto" w:fill="auto"/>
            <w:noWrap/>
            <w:vAlign w:val="bottom"/>
            <w:hideMark/>
          </w:tcPr>
          <w:p w14:paraId="3A09A145" w14:textId="77777777" w:rsidR="00233022" w:rsidRPr="009E0C20" w:rsidRDefault="00233022" w:rsidP="006E13B2">
            <w:pPr>
              <w:rPr>
                <w:rFonts w:ascii="Calibri" w:hAnsi="Calibri" w:cs="Calibri"/>
                <w:sz w:val="23"/>
                <w:szCs w:val="23"/>
              </w:rPr>
            </w:pPr>
            <w:r w:rsidRPr="009E0C20">
              <w:rPr>
                <w:rFonts w:ascii="Calibri" w:hAnsi="Calibri" w:cs="Calibri"/>
                <w:sz w:val="23"/>
                <w:szCs w:val="23"/>
              </w:rPr>
              <w:t>Otros</w:t>
            </w:r>
          </w:p>
        </w:tc>
        <w:tc>
          <w:tcPr>
            <w:tcW w:w="1533" w:type="dxa"/>
            <w:tcBorders>
              <w:top w:val="nil"/>
              <w:left w:val="nil"/>
              <w:bottom w:val="single" w:sz="4" w:space="0" w:color="auto"/>
              <w:right w:val="single" w:sz="4" w:space="0" w:color="auto"/>
            </w:tcBorders>
            <w:shd w:val="clear" w:color="auto" w:fill="auto"/>
            <w:noWrap/>
            <w:vAlign w:val="bottom"/>
            <w:hideMark/>
          </w:tcPr>
          <w:p w14:paraId="1E7CB553"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294.091,06</w:t>
            </w:r>
          </w:p>
        </w:tc>
      </w:tr>
      <w:tr w:rsidR="00233022" w14:paraId="76E4E8D2" w14:textId="77777777" w:rsidTr="005C039A">
        <w:trPr>
          <w:trHeight w:val="348"/>
        </w:trPr>
        <w:tc>
          <w:tcPr>
            <w:tcW w:w="7020" w:type="dxa"/>
            <w:tcBorders>
              <w:top w:val="nil"/>
              <w:left w:val="single" w:sz="4" w:space="0" w:color="auto"/>
              <w:bottom w:val="single" w:sz="4" w:space="0" w:color="auto"/>
              <w:right w:val="nil"/>
            </w:tcBorders>
            <w:shd w:val="clear" w:color="auto" w:fill="auto"/>
            <w:noWrap/>
            <w:vAlign w:val="bottom"/>
            <w:hideMark/>
          </w:tcPr>
          <w:p w14:paraId="41BB3486" w14:textId="77777777" w:rsidR="00233022" w:rsidRDefault="00233022" w:rsidP="006E13B2">
            <w:pPr>
              <w:rPr>
                <w:sz w:val="20"/>
                <w:szCs w:val="20"/>
              </w:rPr>
            </w:pPr>
          </w:p>
        </w:tc>
        <w:tc>
          <w:tcPr>
            <w:tcW w:w="1533" w:type="dxa"/>
            <w:tcBorders>
              <w:top w:val="nil"/>
              <w:left w:val="nil"/>
              <w:bottom w:val="single" w:sz="4" w:space="0" w:color="auto"/>
              <w:right w:val="single" w:sz="4" w:space="0" w:color="auto"/>
            </w:tcBorders>
            <w:shd w:val="clear" w:color="auto" w:fill="auto"/>
            <w:noWrap/>
            <w:vAlign w:val="bottom"/>
            <w:hideMark/>
          </w:tcPr>
          <w:p w14:paraId="45DAD33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153.785.233,49</w:t>
            </w:r>
          </w:p>
        </w:tc>
      </w:tr>
    </w:tbl>
    <w:p w14:paraId="325109EC" w14:textId="77777777" w:rsidR="00737ED5" w:rsidRDefault="00737ED5" w:rsidP="00233022">
      <w:pPr>
        <w:jc w:val="both"/>
        <w:rPr>
          <w:rFonts w:ascii="Calibri" w:hAnsi="Calibri" w:cs="Calibri"/>
          <w:sz w:val="23"/>
          <w:szCs w:val="23"/>
        </w:rPr>
      </w:pPr>
    </w:p>
    <w:p w14:paraId="385B91CB" w14:textId="77777777" w:rsidR="004263A1" w:rsidRDefault="004263A1" w:rsidP="00233022">
      <w:pPr>
        <w:jc w:val="both"/>
        <w:rPr>
          <w:rFonts w:ascii="Calibri" w:hAnsi="Calibri" w:cs="Calibri"/>
          <w:sz w:val="23"/>
          <w:szCs w:val="23"/>
        </w:rPr>
      </w:pPr>
    </w:p>
    <w:p w14:paraId="2C922D8E" w14:textId="77777777" w:rsidR="00737ED5" w:rsidRDefault="00233022" w:rsidP="00233022">
      <w:pPr>
        <w:numPr>
          <w:ilvl w:val="0"/>
          <w:numId w:val="9"/>
        </w:numPr>
        <w:tabs>
          <w:tab w:val="num" w:pos="360"/>
        </w:tabs>
        <w:ind w:left="360"/>
        <w:jc w:val="both"/>
        <w:rPr>
          <w:rFonts w:ascii="Calibri" w:hAnsi="Calibri" w:cs="Calibri"/>
          <w:b/>
          <w:sz w:val="23"/>
          <w:szCs w:val="23"/>
        </w:rPr>
      </w:pPr>
      <w:bookmarkStart w:id="0" w:name="_Hlk154492084"/>
      <w:r w:rsidRPr="00323D3C">
        <w:rPr>
          <w:rFonts w:ascii="Calibri" w:hAnsi="Calibri" w:cs="Calibri"/>
          <w:b/>
          <w:sz w:val="23"/>
          <w:szCs w:val="23"/>
        </w:rPr>
        <w:t>¿Qué número de contribuyentes se encuentran afectados por tales prescripciones?</w:t>
      </w:r>
    </w:p>
    <w:p w14:paraId="022B7302" w14:textId="77777777" w:rsidR="00737ED5"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lastRenderedPageBreak/>
        <w:t>¿Qué porcentaje de esos contribuyentes son personas físicas y cuál corresponde a personas jurídicas, según su tipo?</w:t>
      </w:r>
    </w:p>
    <w:p w14:paraId="23E045E7" w14:textId="7EEA6B83" w:rsidR="00233022" w:rsidRPr="006F0E12" w:rsidRDefault="00233022" w:rsidP="00233022">
      <w:pPr>
        <w:ind w:left="360"/>
        <w:jc w:val="both"/>
        <w:rPr>
          <w:rFonts w:ascii="Calibri" w:hAnsi="Calibri" w:cs="Calibri"/>
          <w:sz w:val="23"/>
          <w:szCs w:val="23"/>
        </w:rPr>
      </w:pPr>
      <w:r w:rsidRPr="006F0E12">
        <w:rPr>
          <w:rFonts w:ascii="Calibri" w:hAnsi="Calibri" w:cs="Calibri"/>
          <w:sz w:val="23"/>
          <w:szCs w:val="23"/>
        </w:rPr>
        <w:t xml:space="preserve">A continuación se ofrecen los datos correspondientes a las preguntas </w:t>
      </w:r>
      <w:r>
        <w:rPr>
          <w:rFonts w:ascii="Calibri" w:hAnsi="Calibri" w:cs="Calibri"/>
          <w:sz w:val="23"/>
          <w:szCs w:val="23"/>
        </w:rPr>
        <w:t>4</w:t>
      </w:r>
      <w:r w:rsidRPr="006F0E12">
        <w:rPr>
          <w:rFonts w:ascii="Calibri" w:hAnsi="Calibri" w:cs="Calibri"/>
          <w:sz w:val="23"/>
          <w:szCs w:val="23"/>
        </w:rPr>
        <w:t xml:space="preserve"> y </w:t>
      </w:r>
      <w:r>
        <w:rPr>
          <w:rFonts w:ascii="Calibri" w:hAnsi="Calibri" w:cs="Calibri"/>
          <w:sz w:val="23"/>
          <w:szCs w:val="23"/>
        </w:rPr>
        <w:t>5</w:t>
      </w:r>
      <w:r w:rsidRPr="006F0E12">
        <w:rPr>
          <w:rFonts w:ascii="Calibri" w:hAnsi="Calibri" w:cs="Calibri"/>
          <w:sz w:val="23"/>
          <w:szCs w:val="23"/>
        </w:rPr>
        <w:t>:</w:t>
      </w:r>
    </w:p>
    <w:p w14:paraId="6DE6622B" w14:textId="77777777" w:rsidR="00233022" w:rsidRDefault="00233022" w:rsidP="00233022">
      <w:pPr>
        <w:ind w:left="360"/>
        <w:jc w:val="both"/>
        <w:rPr>
          <w:rFonts w:ascii="Calibri" w:hAnsi="Calibri" w:cs="Calibri"/>
          <w:sz w:val="23"/>
          <w:szCs w:val="23"/>
        </w:rPr>
      </w:pPr>
    </w:p>
    <w:tbl>
      <w:tblPr>
        <w:tblW w:w="4920" w:type="dxa"/>
        <w:tblInd w:w="430" w:type="dxa"/>
        <w:tblCellMar>
          <w:left w:w="70" w:type="dxa"/>
          <w:right w:w="70" w:type="dxa"/>
        </w:tblCellMar>
        <w:tblLook w:val="04A0" w:firstRow="1" w:lastRow="0" w:firstColumn="1" w:lastColumn="0" w:noHBand="0" w:noVBand="1"/>
      </w:tblPr>
      <w:tblGrid>
        <w:gridCol w:w="2620"/>
        <w:gridCol w:w="1300"/>
        <w:gridCol w:w="1000"/>
      </w:tblGrid>
      <w:tr w:rsidR="00233022" w14:paraId="5C8529F0" w14:textId="77777777" w:rsidTr="00A77322">
        <w:trPr>
          <w:trHeight w:val="288"/>
        </w:trPr>
        <w:tc>
          <w:tcPr>
            <w:tcW w:w="2620" w:type="dxa"/>
            <w:tcBorders>
              <w:top w:val="single" w:sz="4" w:space="0" w:color="auto"/>
              <w:left w:val="single" w:sz="4" w:space="0" w:color="auto"/>
              <w:bottom w:val="nil"/>
              <w:right w:val="nil"/>
            </w:tcBorders>
            <w:shd w:val="clear" w:color="auto" w:fill="auto"/>
            <w:noWrap/>
            <w:vAlign w:val="bottom"/>
            <w:hideMark/>
          </w:tcPr>
          <w:p w14:paraId="3A50EEC0" w14:textId="77777777" w:rsidR="00233022" w:rsidRDefault="00233022" w:rsidP="006E13B2">
            <w:pPr>
              <w:rPr>
                <w:sz w:val="20"/>
                <w:szCs w:val="20"/>
              </w:rPr>
            </w:pPr>
          </w:p>
        </w:tc>
        <w:tc>
          <w:tcPr>
            <w:tcW w:w="1300" w:type="dxa"/>
            <w:tcBorders>
              <w:top w:val="single" w:sz="4" w:space="0" w:color="auto"/>
              <w:left w:val="nil"/>
              <w:bottom w:val="single" w:sz="4" w:space="0" w:color="auto"/>
              <w:right w:val="nil"/>
            </w:tcBorders>
            <w:shd w:val="clear" w:color="auto" w:fill="auto"/>
            <w:noWrap/>
            <w:vAlign w:val="bottom"/>
            <w:hideMark/>
          </w:tcPr>
          <w:p w14:paraId="4DE42194"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NÚMERO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3E8FED6"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w:t>
            </w:r>
          </w:p>
        </w:tc>
      </w:tr>
      <w:tr w:rsidR="00233022" w14:paraId="1111CC94" w14:textId="77777777" w:rsidTr="00A77322">
        <w:trPr>
          <w:trHeight w:val="288"/>
        </w:trPr>
        <w:tc>
          <w:tcPr>
            <w:tcW w:w="2620" w:type="dxa"/>
            <w:tcBorders>
              <w:top w:val="nil"/>
              <w:left w:val="single" w:sz="4" w:space="0" w:color="auto"/>
              <w:bottom w:val="nil"/>
              <w:right w:val="nil"/>
            </w:tcBorders>
            <w:shd w:val="clear" w:color="auto" w:fill="auto"/>
            <w:noWrap/>
            <w:vAlign w:val="bottom"/>
            <w:hideMark/>
          </w:tcPr>
          <w:p w14:paraId="7BA6BFFD" w14:textId="77777777" w:rsidR="00233022" w:rsidRDefault="00233022" w:rsidP="00A77322">
            <w:pPr>
              <w:spacing w:before="120"/>
              <w:rPr>
                <w:rFonts w:ascii="Calibri" w:hAnsi="Calibri" w:cs="Calibri"/>
                <w:color w:val="000000"/>
                <w:sz w:val="22"/>
                <w:szCs w:val="22"/>
              </w:rPr>
            </w:pPr>
            <w:r>
              <w:rPr>
                <w:rFonts w:ascii="Calibri" w:hAnsi="Calibri" w:cs="Calibri"/>
                <w:color w:val="000000"/>
                <w:sz w:val="22"/>
                <w:szCs w:val="22"/>
              </w:rPr>
              <w:t>PERSONAS FÍSICAS</w:t>
            </w:r>
          </w:p>
        </w:tc>
        <w:tc>
          <w:tcPr>
            <w:tcW w:w="1300" w:type="dxa"/>
            <w:tcBorders>
              <w:top w:val="nil"/>
              <w:left w:val="nil"/>
              <w:bottom w:val="nil"/>
              <w:right w:val="nil"/>
            </w:tcBorders>
            <w:shd w:val="clear" w:color="auto" w:fill="auto"/>
            <w:noWrap/>
            <w:vAlign w:val="bottom"/>
            <w:hideMark/>
          </w:tcPr>
          <w:p w14:paraId="47204B04"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26.335</w:t>
            </w:r>
          </w:p>
        </w:tc>
        <w:tc>
          <w:tcPr>
            <w:tcW w:w="1000" w:type="dxa"/>
            <w:tcBorders>
              <w:top w:val="nil"/>
              <w:left w:val="nil"/>
              <w:bottom w:val="nil"/>
              <w:right w:val="single" w:sz="4" w:space="0" w:color="auto"/>
            </w:tcBorders>
            <w:shd w:val="clear" w:color="auto" w:fill="auto"/>
            <w:noWrap/>
            <w:vAlign w:val="bottom"/>
            <w:hideMark/>
          </w:tcPr>
          <w:p w14:paraId="3CEAA6E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76,60%</w:t>
            </w:r>
          </w:p>
        </w:tc>
      </w:tr>
      <w:tr w:rsidR="00233022" w14:paraId="5AD45EA8" w14:textId="77777777" w:rsidTr="00A77322">
        <w:trPr>
          <w:trHeight w:val="288"/>
        </w:trPr>
        <w:tc>
          <w:tcPr>
            <w:tcW w:w="2620" w:type="dxa"/>
            <w:tcBorders>
              <w:top w:val="nil"/>
              <w:left w:val="single" w:sz="4" w:space="0" w:color="auto"/>
              <w:bottom w:val="nil"/>
              <w:right w:val="nil"/>
            </w:tcBorders>
            <w:shd w:val="clear" w:color="auto" w:fill="auto"/>
            <w:noWrap/>
            <w:vAlign w:val="bottom"/>
            <w:hideMark/>
          </w:tcPr>
          <w:p w14:paraId="72E20961" w14:textId="77777777" w:rsidR="00233022" w:rsidRDefault="00233022" w:rsidP="00A77322">
            <w:pPr>
              <w:spacing w:before="120"/>
              <w:rPr>
                <w:rFonts w:ascii="Calibri" w:hAnsi="Calibri" w:cs="Calibri"/>
                <w:color w:val="000000"/>
                <w:sz w:val="22"/>
                <w:szCs w:val="22"/>
              </w:rPr>
            </w:pPr>
            <w:r>
              <w:rPr>
                <w:rFonts w:ascii="Calibri" w:hAnsi="Calibri" w:cs="Calibri"/>
                <w:color w:val="000000"/>
                <w:sz w:val="22"/>
                <w:szCs w:val="22"/>
              </w:rPr>
              <w:t>PERSONAS JURÍDICAS</w:t>
            </w:r>
          </w:p>
        </w:tc>
        <w:tc>
          <w:tcPr>
            <w:tcW w:w="1300" w:type="dxa"/>
            <w:tcBorders>
              <w:top w:val="nil"/>
              <w:left w:val="nil"/>
              <w:bottom w:val="nil"/>
              <w:right w:val="nil"/>
            </w:tcBorders>
            <w:shd w:val="clear" w:color="auto" w:fill="auto"/>
            <w:noWrap/>
            <w:vAlign w:val="bottom"/>
            <w:hideMark/>
          </w:tcPr>
          <w:p w14:paraId="648EB03E"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8.044</w:t>
            </w:r>
          </w:p>
        </w:tc>
        <w:tc>
          <w:tcPr>
            <w:tcW w:w="1000" w:type="dxa"/>
            <w:tcBorders>
              <w:top w:val="nil"/>
              <w:left w:val="nil"/>
              <w:bottom w:val="nil"/>
              <w:right w:val="single" w:sz="4" w:space="0" w:color="auto"/>
            </w:tcBorders>
            <w:shd w:val="clear" w:color="auto" w:fill="auto"/>
            <w:noWrap/>
            <w:vAlign w:val="bottom"/>
            <w:hideMark/>
          </w:tcPr>
          <w:p w14:paraId="510C2AD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23,40%</w:t>
            </w:r>
          </w:p>
        </w:tc>
      </w:tr>
      <w:tr w:rsidR="00233022" w14:paraId="108B830A" w14:textId="77777777" w:rsidTr="00A77322">
        <w:trPr>
          <w:trHeight w:val="288"/>
        </w:trPr>
        <w:tc>
          <w:tcPr>
            <w:tcW w:w="2620" w:type="dxa"/>
            <w:tcBorders>
              <w:top w:val="nil"/>
              <w:left w:val="single" w:sz="4" w:space="0" w:color="auto"/>
              <w:bottom w:val="single" w:sz="4" w:space="0" w:color="auto"/>
              <w:right w:val="nil"/>
            </w:tcBorders>
            <w:shd w:val="clear" w:color="auto" w:fill="auto"/>
            <w:noWrap/>
            <w:vAlign w:val="bottom"/>
            <w:hideMark/>
          </w:tcPr>
          <w:p w14:paraId="20404A18" w14:textId="77777777" w:rsidR="00233022" w:rsidRDefault="00233022" w:rsidP="006E13B2">
            <w:pPr>
              <w:jc w:val="right"/>
              <w:rPr>
                <w:rFonts w:ascii="Calibri" w:hAnsi="Calibri" w:cs="Calibri"/>
                <w:color w:val="000000"/>
                <w:sz w:val="22"/>
                <w:szCs w:val="22"/>
              </w:rPr>
            </w:pPr>
          </w:p>
        </w:tc>
        <w:tc>
          <w:tcPr>
            <w:tcW w:w="1300" w:type="dxa"/>
            <w:tcBorders>
              <w:top w:val="nil"/>
              <w:left w:val="nil"/>
              <w:bottom w:val="single" w:sz="4" w:space="0" w:color="auto"/>
              <w:right w:val="nil"/>
            </w:tcBorders>
            <w:shd w:val="clear" w:color="auto" w:fill="auto"/>
            <w:noWrap/>
            <w:vAlign w:val="bottom"/>
            <w:hideMark/>
          </w:tcPr>
          <w:p w14:paraId="5D67463F" w14:textId="77777777" w:rsidR="00233022" w:rsidRDefault="00233022" w:rsidP="006E13B2">
            <w:pPr>
              <w:rPr>
                <w:sz w:val="20"/>
                <w:szCs w:val="20"/>
              </w:rPr>
            </w:pPr>
          </w:p>
        </w:tc>
        <w:tc>
          <w:tcPr>
            <w:tcW w:w="1000" w:type="dxa"/>
            <w:tcBorders>
              <w:top w:val="nil"/>
              <w:left w:val="nil"/>
              <w:bottom w:val="single" w:sz="4" w:space="0" w:color="auto"/>
              <w:right w:val="single" w:sz="4" w:space="0" w:color="auto"/>
            </w:tcBorders>
            <w:shd w:val="clear" w:color="auto" w:fill="auto"/>
            <w:noWrap/>
            <w:vAlign w:val="bottom"/>
            <w:hideMark/>
          </w:tcPr>
          <w:p w14:paraId="5DFEBC52" w14:textId="77777777" w:rsidR="00233022" w:rsidRDefault="00233022" w:rsidP="006E13B2">
            <w:pPr>
              <w:rPr>
                <w:sz w:val="20"/>
                <w:szCs w:val="20"/>
              </w:rPr>
            </w:pPr>
          </w:p>
        </w:tc>
      </w:tr>
      <w:tr w:rsidR="00233022" w14:paraId="4D6E1CB5" w14:textId="77777777" w:rsidTr="00A77322">
        <w:trPr>
          <w:trHeight w:val="288"/>
        </w:trPr>
        <w:tc>
          <w:tcPr>
            <w:tcW w:w="2620" w:type="dxa"/>
            <w:tcBorders>
              <w:top w:val="single" w:sz="4" w:space="0" w:color="auto"/>
              <w:left w:val="single" w:sz="4" w:space="0" w:color="auto"/>
              <w:bottom w:val="single" w:sz="4" w:space="0" w:color="auto"/>
              <w:right w:val="nil"/>
            </w:tcBorders>
            <w:shd w:val="clear" w:color="auto" w:fill="auto"/>
            <w:noWrap/>
            <w:vAlign w:val="bottom"/>
            <w:hideMark/>
          </w:tcPr>
          <w:p w14:paraId="532EC3AA" w14:textId="77777777" w:rsidR="00233022" w:rsidRDefault="00233022" w:rsidP="006E13B2">
            <w:pPr>
              <w:rPr>
                <w:rFonts w:ascii="Calibri" w:hAnsi="Calibri" w:cs="Calibri"/>
                <w:color w:val="000000"/>
                <w:sz w:val="22"/>
                <w:szCs w:val="22"/>
              </w:rPr>
            </w:pPr>
            <w:r>
              <w:rPr>
                <w:rFonts w:ascii="Calibri" w:hAnsi="Calibri" w:cs="Calibri"/>
                <w:color w:val="000000"/>
                <w:sz w:val="22"/>
                <w:szCs w:val="22"/>
              </w:rPr>
              <w:t>TOTAL</w:t>
            </w:r>
          </w:p>
        </w:tc>
        <w:tc>
          <w:tcPr>
            <w:tcW w:w="1300" w:type="dxa"/>
            <w:tcBorders>
              <w:top w:val="single" w:sz="4" w:space="0" w:color="auto"/>
              <w:left w:val="nil"/>
              <w:bottom w:val="single" w:sz="4" w:space="0" w:color="auto"/>
              <w:right w:val="nil"/>
            </w:tcBorders>
            <w:shd w:val="clear" w:color="auto" w:fill="auto"/>
            <w:noWrap/>
            <w:vAlign w:val="bottom"/>
            <w:hideMark/>
          </w:tcPr>
          <w:p w14:paraId="441530F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34.379</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C04564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100,00%</w:t>
            </w:r>
          </w:p>
        </w:tc>
      </w:tr>
      <w:bookmarkEnd w:id="0"/>
    </w:tbl>
    <w:p w14:paraId="57E7D54A" w14:textId="77777777" w:rsidR="00737ED5" w:rsidRDefault="00737ED5" w:rsidP="00233022">
      <w:pPr>
        <w:jc w:val="both"/>
        <w:rPr>
          <w:rFonts w:ascii="Calibri" w:hAnsi="Calibri" w:cs="Calibri"/>
          <w:sz w:val="23"/>
          <w:szCs w:val="23"/>
        </w:rPr>
      </w:pPr>
    </w:p>
    <w:p w14:paraId="23BBCB7B" w14:textId="77777777" w:rsidR="00233022" w:rsidRDefault="00233022" w:rsidP="00233022">
      <w:pPr>
        <w:numPr>
          <w:ilvl w:val="0"/>
          <w:numId w:val="9"/>
        </w:numPr>
        <w:tabs>
          <w:tab w:val="num" w:pos="360"/>
        </w:tabs>
        <w:ind w:left="360"/>
        <w:jc w:val="both"/>
        <w:rPr>
          <w:rFonts w:ascii="Calibri" w:hAnsi="Calibri" w:cs="Calibri"/>
          <w:b/>
          <w:sz w:val="23"/>
          <w:szCs w:val="23"/>
        </w:rPr>
      </w:pPr>
      <w:bookmarkStart w:id="1" w:name="_Hlk154493582"/>
      <w:bookmarkStart w:id="2" w:name="_Hlk154494276"/>
      <w:r w:rsidRPr="00323D3C">
        <w:rPr>
          <w:rFonts w:ascii="Calibri" w:hAnsi="Calibri" w:cs="Calibri"/>
          <w:b/>
          <w:sz w:val="23"/>
          <w:szCs w:val="23"/>
        </w:rPr>
        <w:t>¿Cuántos contribuyentes superaban el medio millón de euros de deuda prescrita y cuántos superaban el millón de euros?</w:t>
      </w:r>
    </w:p>
    <w:tbl>
      <w:tblPr>
        <w:tblW w:w="7040" w:type="dxa"/>
        <w:tblInd w:w="708" w:type="dxa"/>
        <w:tblCellMar>
          <w:left w:w="70" w:type="dxa"/>
          <w:right w:w="70" w:type="dxa"/>
        </w:tblCellMar>
        <w:tblLook w:val="04A0" w:firstRow="1" w:lastRow="0" w:firstColumn="1" w:lastColumn="0" w:noHBand="0" w:noVBand="1"/>
      </w:tblPr>
      <w:tblGrid>
        <w:gridCol w:w="4680"/>
        <w:gridCol w:w="2360"/>
      </w:tblGrid>
      <w:tr w:rsidR="00233022" w14:paraId="1921795A" w14:textId="77777777" w:rsidTr="006E13B2">
        <w:trPr>
          <w:trHeight w:val="288"/>
        </w:trPr>
        <w:tc>
          <w:tcPr>
            <w:tcW w:w="4680" w:type="dxa"/>
            <w:tcBorders>
              <w:top w:val="nil"/>
              <w:left w:val="nil"/>
              <w:bottom w:val="nil"/>
              <w:right w:val="nil"/>
            </w:tcBorders>
            <w:shd w:val="clear" w:color="auto" w:fill="auto"/>
            <w:noWrap/>
            <w:vAlign w:val="bottom"/>
            <w:hideMark/>
          </w:tcPr>
          <w:p w14:paraId="7679EEB8" w14:textId="77777777" w:rsidR="00233022" w:rsidRDefault="00233022" w:rsidP="006E13B2">
            <w:pPr>
              <w:rPr>
                <w:sz w:val="20"/>
                <w:szCs w:val="20"/>
              </w:rPr>
            </w:pPr>
          </w:p>
        </w:tc>
        <w:tc>
          <w:tcPr>
            <w:tcW w:w="2360" w:type="dxa"/>
            <w:tcBorders>
              <w:top w:val="nil"/>
              <w:left w:val="nil"/>
              <w:bottom w:val="single" w:sz="4" w:space="0" w:color="auto"/>
              <w:right w:val="nil"/>
            </w:tcBorders>
            <w:shd w:val="clear" w:color="auto" w:fill="auto"/>
            <w:noWrap/>
            <w:vAlign w:val="bottom"/>
            <w:hideMark/>
          </w:tcPr>
          <w:p w14:paraId="3EC7FC29" w14:textId="77777777" w:rsidR="00233022" w:rsidRDefault="00233022" w:rsidP="006E13B2">
            <w:pPr>
              <w:jc w:val="center"/>
              <w:rPr>
                <w:rFonts w:ascii="Calibri" w:hAnsi="Calibri" w:cs="Calibri"/>
                <w:b/>
                <w:bCs/>
                <w:color w:val="000000"/>
                <w:sz w:val="22"/>
                <w:szCs w:val="22"/>
              </w:rPr>
            </w:pPr>
            <w:r>
              <w:rPr>
                <w:rFonts w:ascii="Calibri" w:hAnsi="Calibri" w:cs="Calibri"/>
                <w:b/>
                <w:bCs/>
                <w:color w:val="000000"/>
                <w:sz w:val="22"/>
                <w:szCs w:val="22"/>
              </w:rPr>
              <w:t>Nº CONTRIBUYENTES</w:t>
            </w:r>
          </w:p>
        </w:tc>
      </w:tr>
      <w:tr w:rsidR="00233022" w14:paraId="3403223B" w14:textId="77777777" w:rsidTr="006E13B2">
        <w:trPr>
          <w:trHeight w:val="288"/>
        </w:trPr>
        <w:tc>
          <w:tcPr>
            <w:tcW w:w="4680" w:type="dxa"/>
            <w:tcBorders>
              <w:top w:val="nil"/>
              <w:left w:val="nil"/>
              <w:bottom w:val="nil"/>
              <w:right w:val="nil"/>
            </w:tcBorders>
            <w:shd w:val="clear" w:color="auto" w:fill="auto"/>
            <w:noWrap/>
            <w:vAlign w:val="bottom"/>
            <w:hideMark/>
          </w:tcPr>
          <w:p w14:paraId="34393DF9" w14:textId="77777777" w:rsidR="00233022" w:rsidRDefault="00233022" w:rsidP="006E13B2">
            <w:pPr>
              <w:rPr>
                <w:rFonts w:ascii="Calibri" w:hAnsi="Calibri" w:cs="Calibri"/>
                <w:color w:val="000000"/>
                <w:sz w:val="22"/>
                <w:szCs w:val="22"/>
              </w:rPr>
            </w:pPr>
            <w:r>
              <w:rPr>
                <w:rFonts w:ascii="Calibri" w:hAnsi="Calibri" w:cs="Calibri"/>
                <w:color w:val="000000"/>
                <w:sz w:val="22"/>
                <w:szCs w:val="22"/>
              </w:rPr>
              <w:t>Deuda prescrita superior a 1 millón de Euros</w:t>
            </w:r>
          </w:p>
        </w:tc>
        <w:tc>
          <w:tcPr>
            <w:tcW w:w="2360" w:type="dxa"/>
            <w:tcBorders>
              <w:top w:val="nil"/>
              <w:left w:val="nil"/>
              <w:bottom w:val="nil"/>
              <w:right w:val="nil"/>
            </w:tcBorders>
            <w:shd w:val="clear" w:color="auto" w:fill="auto"/>
            <w:noWrap/>
            <w:vAlign w:val="bottom"/>
            <w:hideMark/>
          </w:tcPr>
          <w:p w14:paraId="130B4FDA"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23</w:t>
            </w:r>
          </w:p>
        </w:tc>
      </w:tr>
      <w:tr w:rsidR="00233022" w14:paraId="39B030EC" w14:textId="77777777" w:rsidTr="006E13B2">
        <w:trPr>
          <w:trHeight w:val="288"/>
        </w:trPr>
        <w:tc>
          <w:tcPr>
            <w:tcW w:w="4680" w:type="dxa"/>
            <w:tcBorders>
              <w:top w:val="nil"/>
              <w:left w:val="nil"/>
              <w:bottom w:val="nil"/>
              <w:right w:val="nil"/>
            </w:tcBorders>
            <w:shd w:val="clear" w:color="auto" w:fill="auto"/>
            <w:noWrap/>
            <w:vAlign w:val="bottom"/>
            <w:hideMark/>
          </w:tcPr>
          <w:p w14:paraId="77450892" w14:textId="77777777" w:rsidR="00233022" w:rsidRDefault="00233022" w:rsidP="006E13B2">
            <w:pPr>
              <w:rPr>
                <w:rFonts w:ascii="Calibri" w:hAnsi="Calibri" w:cs="Calibri"/>
                <w:color w:val="000000"/>
                <w:sz w:val="22"/>
                <w:szCs w:val="22"/>
              </w:rPr>
            </w:pPr>
            <w:r>
              <w:rPr>
                <w:rFonts w:ascii="Calibri" w:hAnsi="Calibri" w:cs="Calibri"/>
                <w:color w:val="000000"/>
                <w:sz w:val="22"/>
                <w:szCs w:val="22"/>
              </w:rPr>
              <w:t>Deuda prescrita entre medio millón y 1 millón</w:t>
            </w:r>
          </w:p>
        </w:tc>
        <w:tc>
          <w:tcPr>
            <w:tcW w:w="2360" w:type="dxa"/>
            <w:tcBorders>
              <w:top w:val="nil"/>
              <w:left w:val="nil"/>
              <w:bottom w:val="nil"/>
              <w:right w:val="nil"/>
            </w:tcBorders>
            <w:shd w:val="clear" w:color="auto" w:fill="auto"/>
            <w:noWrap/>
            <w:vAlign w:val="bottom"/>
            <w:hideMark/>
          </w:tcPr>
          <w:p w14:paraId="2E66D2C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24</w:t>
            </w:r>
          </w:p>
        </w:tc>
      </w:tr>
      <w:bookmarkEnd w:id="1"/>
    </w:tbl>
    <w:p w14:paraId="73EE4F40" w14:textId="77777777" w:rsidR="00737ED5" w:rsidRDefault="00737ED5" w:rsidP="00233022">
      <w:pPr>
        <w:jc w:val="both"/>
        <w:rPr>
          <w:rFonts w:ascii="Calibri" w:hAnsi="Calibri" w:cs="Calibri"/>
          <w:sz w:val="23"/>
          <w:szCs w:val="23"/>
        </w:rPr>
      </w:pPr>
    </w:p>
    <w:p w14:paraId="30AE1E09" w14:textId="77777777" w:rsidR="00737ED5"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t>¿Cuántos contribuyentes presentaban una deuda prescrita inferior a 500 euros?</w:t>
      </w:r>
    </w:p>
    <w:p w14:paraId="2E2EE0CF" w14:textId="77777777" w:rsidR="00737ED5" w:rsidRDefault="00233022" w:rsidP="00233022">
      <w:pPr>
        <w:jc w:val="both"/>
        <w:rPr>
          <w:rFonts w:ascii="Calibri" w:hAnsi="Calibri" w:cs="Calibri"/>
          <w:sz w:val="23"/>
          <w:szCs w:val="23"/>
        </w:rPr>
      </w:pPr>
      <w:r>
        <w:rPr>
          <w:rFonts w:ascii="Calibri" w:hAnsi="Calibri" w:cs="Calibri"/>
          <w:sz w:val="23"/>
          <w:szCs w:val="23"/>
        </w:rPr>
        <w:t xml:space="preserve">       El número de contribuyentes con deuda prescrita inferior a 500,00 euros es de 8.958.</w:t>
      </w:r>
    </w:p>
    <w:p w14:paraId="7691CA7D" w14:textId="77777777" w:rsidR="00737ED5"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t>¿Cuántos deudores responden a entidades en situación de concurso de acreedores que finalizaban con liquidación de la entidad?</w:t>
      </w:r>
    </w:p>
    <w:p w14:paraId="1C0401FD" w14:textId="77777777" w:rsidR="00737ED5" w:rsidRDefault="00233022" w:rsidP="00233022">
      <w:pPr>
        <w:ind w:left="360"/>
        <w:jc w:val="both"/>
        <w:rPr>
          <w:rFonts w:ascii="Calibri" w:hAnsi="Calibri" w:cs="Calibri"/>
          <w:sz w:val="23"/>
          <w:szCs w:val="23"/>
        </w:rPr>
      </w:pPr>
      <w:r>
        <w:rPr>
          <w:rFonts w:ascii="Calibri" w:hAnsi="Calibri" w:cs="Calibri"/>
          <w:sz w:val="23"/>
          <w:szCs w:val="23"/>
        </w:rPr>
        <w:t>El número de contribuyentes en situación de concurso de acreedores finalizado con la liquidación de la entidad y con deuda prescrita es de 388.</w:t>
      </w:r>
    </w:p>
    <w:p w14:paraId="40DD2B41" w14:textId="52121D89" w:rsidR="00233022" w:rsidRPr="00323D3C" w:rsidRDefault="00233022" w:rsidP="00233022">
      <w:pPr>
        <w:pStyle w:val="Prrafodelista"/>
        <w:rPr>
          <w:rFonts w:ascii="Calibri" w:hAnsi="Calibri" w:cs="Calibri"/>
          <w:b/>
          <w:sz w:val="23"/>
          <w:szCs w:val="23"/>
        </w:rPr>
      </w:pPr>
    </w:p>
    <w:p w14:paraId="7FD14044" w14:textId="77777777" w:rsidR="00233022"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t>¿Qué porcentaje suponen las prescripciones, por ejercicio anual, en relación con los ingresos tributarios reconocidos y con la recaudación líquida del año de la prescripción?</w:t>
      </w:r>
    </w:p>
    <w:p w14:paraId="199B60E0" w14:textId="77777777" w:rsidR="00233022" w:rsidRDefault="00233022" w:rsidP="00233022">
      <w:pPr>
        <w:jc w:val="both"/>
        <w:rPr>
          <w:rFonts w:ascii="Calibri" w:hAnsi="Calibri" w:cs="Calibri"/>
          <w:b/>
          <w:sz w:val="23"/>
          <w:szCs w:val="23"/>
        </w:rPr>
      </w:pPr>
    </w:p>
    <w:tbl>
      <w:tblPr>
        <w:tblW w:w="8222" w:type="dxa"/>
        <w:tblInd w:w="637" w:type="dxa"/>
        <w:tblCellMar>
          <w:left w:w="70" w:type="dxa"/>
          <w:right w:w="70" w:type="dxa"/>
        </w:tblCellMar>
        <w:tblLook w:val="04A0" w:firstRow="1" w:lastRow="0" w:firstColumn="1" w:lastColumn="0" w:noHBand="0" w:noVBand="1"/>
      </w:tblPr>
      <w:tblGrid>
        <w:gridCol w:w="71"/>
        <w:gridCol w:w="869"/>
        <w:gridCol w:w="71"/>
        <w:gridCol w:w="2289"/>
        <w:gridCol w:w="71"/>
        <w:gridCol w:w="2489"/>
        <w:gridCol w:w="71"/>
        <w:gridCol w:w="1669"/>
        <w:gridCol w:w="622"/>
      </w:tblGrid>
      <w:tr w:rsidR="00233022" w14:paraId="6002C52D" w14:textId="77777777" w:rsidTr="005D4934">
        <w:trPr>
          <w:gridBefore w:val="1"/>
          <w:wBefore w:w="71" w:type="dxa"/>
          <w:trHeight w:val="288"/>
        </w:trPr>
        <w:tc>
          <w:tcPr>
            <w:tcW w:w="940" w:type="dxa"/>
            <w:gridSpan w:val="2"/>
            <w:tcBorders>
              <w:bottom w:val="single" w:sz="4" w:space="0" w:color="auto"/>
            </w:tcBorders>
            <w:shd w:val="clear" w:color="auto" w:fill="auto"/>
            <w:noWrap/>
            <w:vAlign w:val="bottom"/>
            <w:hideMark/>
          </w:tcPr>
          <w:p w14:paraId="78E021B3"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AÑO</w:t>
            </w:r>
          </w:p>
        </w:tc>
        <w:tc>
          <w:tcPr>
            <w:tcW w:w="2360" w:type="dxa"/>
            <w:gridSpan w:val="2"/>
            <w:tcBorders>
              <w:bottom w:val="single" w:sz="4" w:space="0" w:color="auto"/>
            </w:tcBorders>
            <w:shd w:val="clear" w:color="auto" w:fill="auto"/>
            <w:noWrap/>
            <w:vAlign w:val="bottom"/>
            <w:hideMark/>
          </w:tcPr>
          <w:p w14:paraId="4979D64C"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PRESCRIPCIONES</w:t>
            </w:r>
          </w:p>
        </w:tc>
        <w:tc>
          <w:tcPr>
            <w:tcW w:w="2560" w:type="dxa"/>
            <w:gridSpan w:val="2"/>
            <w:tcBorders>
              <w:bottom w:val="single" w:sz="4" w:space="0" w:color="auto"/>
            </w:tcBorders>
            <w:shd w:val="clear" w:color="auto" w:fill="auto"/>
            <w:noWrap/>
            <w:vAlign w:val="bottom"/>
            <w:hideMark/>
          </w:tcPr>
          <w:p w14:paraId="621F0EA1" w14:textId="19C10AF3"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 xml:space="preserve">INGRESOS </w:t>
            </w:r>
            <w:r w:rsidR="00F71055">
              <w:rPr>
                <w:rFonts w:ascii="Calibri" w:hAnsi="Calibri" w:cs="Calibri"/>
                <w:b/>
                <w:bCs/>
                <w:color w:val="000000"/>
                <w:sz w:val="22"/>
                <w:szCs w:val="22"/>
              </w:rPr>
              <w:br/>
            </w:r>
            <w:r>
              <w:rPr>
                <w:rFonts w:ascii="Calibri" w:hAnsi="Calibri" w:cs="Calibri"/>
                <w:b/>
                <w:bCs/>
                <w:color w:val="000000"/>
                <w:sz w:val="22"/>
                <w:szCs w:val="22"/>
              </w:rPr>
              <w:t>TRIBUTARIOS (*)</w:t>
            </w:r>
          </w:p>
        </w:tc>
        <w:tc>
          <w:tcPr>
            <w:tcW w:w="2291" w:type="dxa"/>
            <w:gridSpan w:val="2"/>
            <w:tcBorders>
              <w:bottom w:val="single" w:sz="4" w:space="0" w:color="auto"/>
            </w:tcBorders>
            <w:shd w:val="clear" w:color="auto" w:fill="auto"/>
            <w:noWrap/>
            <w:vAlign w:val="bottom"/>
            <w:hideMark/>
          </w:tcPr>
          <w:p w14:paraId="5C811B57" w14:textId="77777777" w:rsidR="00233022" w:rsidRDefault="00233022" w:rsidP="00F71055">
            <w:pPr>
              <w:ind w:right="209"/>
              <w:jc w:val="right"/>
              <w:rPr>
                <w:rFonts w:ascii="Calibri" w:hAnsi="Calibri" w:cs="Calibri"/>
                <w:b/>
                <w:bCs/>
                <w:color w:val="000000"/>
                <w:sz w:val="22"/>
                <w:szCs w:val="22"/>
              </w:rPr>
            </w:pPr>
            <w:r>
              <w:rPr>
                <w:rFonts w:ascii="Calibri" w:hAnsi="Calibri" w:cs="Calibri"/>
                <w:b/>
                <w:bCs/>
                <w:color w:val="000000"/>
                <w:sz w:val="22"/>
                <w:szCs w:val="22"/>
              </w:rPr>
              <w:t>%S/ ING TRIB</w:t>
            </w:r>
          </w:p>
        </w:tc>
      </w:tr>
      <w:tr w:rsidR="00233022" w14:paraId="2A40373B" w14:textId="77777777" w:rsidTr="005D4934">
        <w:trPr>
          <w:gridBefore w:val="1"/>
          <w:wBefore w:w="71" w:type="dxa"/>
          <w:trHeight w:val="288"/>
        </w:trPr>
        <w:tc>
          <w:tcPr>
            <w:tcW w:w="940" w:type="dxa"/>
            <w:gridSpan w:val="2"/>
            <w:tcBorders>
              <w:top w:val="single" w:sz="4" w:space="0" w:color="auto"/>
            </w:tcBorders>
            <w:shd w:val="clear" w:color="auto" w:fill="auto"/>
            <w:noWrap/>
            <w:vAlign w:val="bottom"/>
            <w:hideMark/>
          </w:tcPr>
          <w:p w14:paraId="655330C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2016</w:t>
            </w:r>
          </w:p>
        </w:tc>
        <w:tc>
          <w:tcPr>
            <w:tcW w:w="2360" w:type="dxa"/>
            <w:gridSpan w:val="2"/>
            <w:tcBorders>
              <w:top w:val="single" w:sz="4" w:space="0" w:color="auto"/>
            </w:tcBorders>
            <w:shd w:val="clear" w:color="auto" w:fill="auto"/>
            <w:noWrap/>
            <w:vAlign w:val="bottom"/>
            <w:hideMark/>
          </w:tcPr>
          <w:p w14:paraId="43823B0C"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40.710.049,68</w:t>
            </w:r>
          </w:p>
        </w:tc>
        <w:tc>
          <w:tcPr>
            <w:tcW w:w="2560" w:type="dxa"/>
            <w:gridSpan w:val="2"/>
            <w:tcBorders>
              <w:top w:val="single" w:sz="4" w:space="0" w:color="auto"/>
            </w:tcBorders>
            <w:shd w:val="clear" w:color="auto" w:fill="auto"/>
            <w:noWrap/>
            <w:vAlign w:val="bottom"/>
            <w:hideMark/>
          </w:tcPr>
          <w:p w14:paraId="76201A84"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3.219.184.072,00</w:t>
            </w:r>
          </w:p>
        </w:tc>
        <w:tc>
          <w:tcPr>
            <w:tcW w:w="2291" w:type="dxa"/>
            <w:gridSpan w:val="2"/>
            <w:tcBorders>
              <w:top w:val="single" w:sz="4" w:space="0" w:color="auto"/>
            </w:tcBorders>
            <w:shd w:val="clear" w:color="auto" w:fill="auto"/>
            <w:noWrap/>
            <w:vAlign w:val="bottom"/>
            <w:hideMark/>
          </w:tcPr>
          <w:p w14:paraId="48A62E04"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1,26%</w:t>
            </w:r>
          </w:p>
        </w:tc>
      </w:tr>
      <w:tr w:rsidR="00233022" w14:paraId="3DA249ED" w14:textId="77777777" w:rsidTr="005D4934">
        <w:trPr>
          <w:gridBefore w:val="1"/>
          <w:wBefore w:w="71" w:type="dxa"/>
          <w:trHeight w:val="288"/>
        </w:trPr>
        <w:tc>
          <w:tcPr>
            <w:tcW w:w="940" w:type="dxa"/>
            <w:gridSpan w:val="2"/>
            <w:shd w:val="clear" w:color="auto" w:fill="auto"/>
            <w:noWrap/>
            <w:vAlign w:val="bottom"/>
            <w:hideMark/>
          </w:tcPr>
          <w:p w14:paraId="7C939BDC"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2017</w:t>
            </w:r>
          </w:p>
        </w:tc>
        <w:tc>
          <w:tcPr>
            <w:tcW w:w="2360" w:type="dxa"/>
            <w:gridSpan w:val="2"/>
            <w:shd w:val="clear" w:color="auto" w:fill="auto"/>
            <w:noWrap/>
            <w:vAlign w:val="bottom"/>
            <w:hideMark/>
          </w:tcPr>
          <w:p w14:paraId="45CF476D"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13.771.871,76</w:t>
            </w:r>
          </w:p>
        </w:tc>
        <w:tc>
          <w:tcPr>
            <w:tcW w:w="2560" w:type="dxa"/>
            <w:gridSpan w:val="2"/>
            <w:shd w:val="clear" w:color="auto" w:fill="auto"/>
            <w:noWrap/>
            <w:vAlign w:val="bottom"/>
            <w:hideMark/>
          </w:tcPr>
          <w:p w14:paraId="3BF3E7DB"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3.671.213.295,00</w:t>
            </w:r>
          </w:p>
        </w:tc>
        <w:tc>
          <w:tcPr>
            <w:tcW w:w="2291" w:type="dxa"/>
            <w:gridSpan w:val="2"/>
            <w:shd w:val="clear" w:color="auto" w:fill="auto"/>
            <w:noWrap/>
            <w:vAlign w:val="bottom"/>
            <w:hideMark/>
          </w:tcPr>
          <w:p w14:paraId="17128C6F"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0,38%</w:t>
            </w:r>
          </w:p>
        </w:tc>
      </w:tr>
      <w:tr w:rsidR="00233022" w14:paraId="000CC3AB" w14:textId="77777777" w:rsidTr="005D4934">
        <w:trPr>
          <w:gridBefore w:val="1"/>
          <w:wBefore w:w="71" w:type="dxa"/>
          <w:trHeight w:val="288"/>
        </w:trPr>
        <w:tc>
          <w:tcPr>
            <w:tcW w:w="940" w:type="dxa"/>
            <w:gridSpan w:val="2"/>
            <w:shd w:val="clear" w:color="auto" w:fill="auto"/>
            <w:noWrap/>
            <w:vAlign w:val="bottom"/>
            <w:hideMark/>
          </w:tcPr>
          <w:p w14:paraId="15FAED8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2018</w:t>
            </w:r>
          </w:p>
        </w:tc>
        <w:tc>
          <w:tcPr>
            <w:tcW w:w="2360" w:type="dxa"/>
            <w:gridSpan w:val="2"/>
            <w:shd w:val="clear" w:color="auto" w:fill="auto"/>
            <w:noWrap/>
            <w:vAlign w:val="bottom"/>
            <w:hideMark/>
          </w:tcPr>
          <w:p w14:paraId="567630A0"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33.155.895,22</w:t>
            </w:r>
          </w:p>
        </w:tc>
        <w:tc>
          <w:tcPr>
            <w:tcW w:w="2560" w:type="dxa"/>
            <w:gridSpan w:val="2"/>
            <w:shd w:val="clear" w:color="auto" w:fill="auto"/>
            <w:noWrap/>
            <w:vAlign w:val="bottom"/>
            <w:hideMark/>
          </w:tcPr>
          <w:p w14:paraId="0F343DE6"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3.622.999.309,00</w:t>
            </w:r>
          </w:p>
        </w:tc>
        <w:tc>
          <w:tcPr>
            <w:tcW w:w="2291" w:type="dxa"/>
            <w:gridSpan w:val="2"/>
            <w:shd w:val="clear" w:color="auto" w:fill="auto"/>
            <w:noWrap/>
            <w:vAlign w:val="bottom"/>
            <w:hideMark/>
          </w:tcPr>
          <w:p w14:paraId="623756E0"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0,92%</w:t>
            </w:r>
          </w:p>
        </w:tc>
      </w:tr>
      <w:tr w:rsidR="00233022" w14:paraId="065D6D81" w14:textId="77777777" w:rsidTr="005D4934">
        <w:trPr>
          <w:gridBefore w:val="1"/>
          <w:wBefore w:w="71" w:type="dxa"/>
          <w:trHeight w:val="288"/>
        </w:trPr>
        <w:tc>
          <w:tcPr>
            <w:tcW w:w="940" w:type="dxa"/>
            <w:gridSpan w:val="2"/>
            <w:shd w:val="clear" w:color="auto" w:fill="auto"/>
            <w:noWrap/>
            <w:vAlign w:val="bottom"/>
            <w:hideMark/>
          </w:tcPr>
          <w:p w14:paraId="04BB270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2019</w:t>
            </w:r>
          </w:p>
        </w:tc>
        <w:tc>
          <w:tcPr>
            <w:tcW w:w="2360" w:type="dxa"/>
            <w:gridSpan w:val="2"/>
            <w:shd w:val="clear" w:color="auto" w:fill="auto"/>
            <w:noWrap/>
            <w:vAlign w:val="bottom"/>
            <w:hideMark/>
          </w:tcPr>
          <w:p w14:paraId="1AD4077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16.149.625,56</w:t>
            </w:r>
          </w:p>
        </w:tc>
        <w:tc>
          <w:tcPr>
            <w:tcW w:w="2560" w:type="dxa"/>
            <w:gridSpan w:val="2"/>
            <w:shd w:val="clear" w:color="auto" w:fill="auto"/>
            <w:noWrap/>
            <w:vAlign w:val="bottom"/>
            <w:hideMark/>
          </w:tcPr>
          <w:p w14:paraId="532F26E8"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3.960.218.480,00</w:t>
            </w:r>
          </w:p>
        </w:tc>
        <w:tc>
          <w:tcPr>
            <w:tcW w:w="2291" w:type="dxa"/>
            <w:gridSpan w:val="2"/>
            <w:shd w:val="clear" w:color="auto" w:fill="auto"/>
            <w:noWrap/>
            <w:vAlign w:val="bottom"/>
            <w:hideMark/>
          </w:tcPr>
          <w:p w14:paraId="52F46F44"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0,41%</w:t>
            </w:r>
          </w:p>
        </w:tc>
      </w:tr>
      <w:tr w:rsidR="00233022" w14:paraId="6F0D4DC2" w14:textId="77777777" w:rsidTr="005D4934">
        <w:trPr>
          <w:gridBefore w:val="1"/>
          <w:wBefore w:w="71" w:type="dxa"/>
          <w:trHeight w:val="288"/>
        </w:trPr>
        <w:tc>
          <w:tcPr>
            <w:tcW w:w="940" w:type="dxa"/>
            <w:gridSpan w:val="2"/>
            <w:shd w:val="clear" w:color="auto" w:fill="auto"/>
            <w:noWrap/>
            <w:vAlign w:val="bottom"/>
            <w:hideMark/>
          </w:tcPr>
          <w:p w14:paraId="493EB39F"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2020</w:t>
            </w:r>
          </w:p>
        </w:tc>
        <w:tc>
          <w:tcPr>
            <w:tcW w:w="2360" w:type="dxa"/>
            <w:gridSpan w:val="2"/>
            <w:shd w:val="clear" w:color="auto" w:fill="auto"/>
            <w:noWrap/>
            <w:vAlign w:val="bottom"/>
            <w:hideMark/>
          </w:tcPr>
          <w:p w14:paraId="057DB8BA"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22.775.021,82</w:t>
            </w:r>
          </w:p>
        </w:tc>
        <w:tc>
          <w:tcPr>
            <w:tcW w:w="2560" w:type="dxa"/>
            <w:gridSpan w:val="2"/>
            <w:shd w:val="clear" w:color="auto" w:fill="auto"/>
            <w:noWrap/>
            <w:vAlign w:val="bottom"/>
            <w:hideMark/>
          </w:tcPr>
          <w:p w14:paraId="4324628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3.671.975.015,00</w:t>
            </w:r>
          </w:p>
        </w:tc>
        <w:tc>
          <w:tcPr>
            <w:tcW w:w="2291" w:type="dxa"/>
            <w:gridSpan w:val="2"/>
            <w:shd w:val="clear" w:color="auto" w:fill="auto"/>
            <w:noWrap/>
            <w:vAlign w:val="bottom"/>
            <w:hideMark/>
          </w:tcPr>
          <w:p w14:paraId="65E3CBC6"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0,62%</w:t>
            </w:r>
          </w:p>
        </w:tc>
      </w:tr>
      <w:tr w:rsidR="00233022" w14:paraId="12D9B275" w14:textId="77777777" w:rsidTr="005D4934">
        <w:trPr>
          <w:gridBefore w:val="1"/>
          <w:wBefore w:w="71" w:type="dxa"/>
          <w:trHeight w:val="288"/>
        </w:trPr>
        <w:tc>
          <w:tcPr>
            <w:tcW w:w="940" w:type="dxa"/>
            <w:gridSpan w:val="2"/>
            <w:shd w:val="clear" w:color="auto" w:fill="auto"/>
            <w:noWrap/>
            <w:vAlign w:val="bottom"/>
            <w:hideMark/>
          </w:tcPr>
          <w:p w14:paraId="6C6CFBB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2021</w:t>
            </w:r>
          </w:p>
        </w:tc>
        <w:tc>
          <w:tcPr>
            <w:tcW w:w="2360" w:type="dxa"/>
            <w:gridSpan w:val="2"/>
            <w:shd w:val="clear" w:color="auto" w:fill="auto"/>
            <w:noWrap/>
            <w:vAlign w:val="bottom"/>
            <w:hideMark/>
          </w:tcPr>
          <w:p w14:paraId="2C019F95"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11.980.227,08</w:t>
            </w:r>
          </w:p>
        </w:tc>
        <w:tc>
          <w:tcPr>
            <w:tcW w:w="2560" w:type="dxa"/>
            <w:gridSpan w:val="2"/>
            <w:shd w:val="clear" w:color="auto" w:fill="auto"/>
            <w:noWrap/>
            <w:vAlign w:val="bottom"/>
            <w:hideMark/>
          </w:tcPr>
          <w:p w14:paraId="5553D398"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4.187.868.145,00</w:t>
            </w:r>
          </w:p>
        </w:tc>
        <w:tc>
          <w:tcPr>
            <w:tcW w:w="2291" w:type="dxa"/>
            <w:gridSpan w:val="2"/>
            <w:shd w:val="clear" w:color="auto" w:fill="auto"/>
            <w:noWrap/>
            <w:vAlign w:val="bottom"/>
            <w:hideMark/>
          </w:tcPr>
          <w:p w14:paraId="0BE95E77"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0,29%</w:t>
            </w:r>
          </w:p>
        </w:tc>
      </w:tr>
      <w:tr w:rsidR="00233022" w14:paraId="052EAFE6" w14:textId="77777777" w:rsidTr="005D4934">
        <w:trPr>
          <w:gridBefore w:val="1"/>
          <w:wBefore w:w="71" w:type="dxa"/>
          <w:trHeight w:val="288"/>
        </w:trPr>
        <w:tc>
          <w:tcPr>
            <w:tcW w:w="940" w:type="dxa"/>
            <w:gridSpan w:val="2"/>
            <w:shd w:val="clear" w:color="auto" w:fill="auto"/>
            <w:noWrap/>
            <w:vAlign w:val="bottom"/>
            <w:hideMark/>
          </w:tcPr>
          <w:p w14:paraId="449FE0F6"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2022</w:t>
            </w:r>
          </w:p>
        </w:tc>
        <w:tc>
          <w:tcPr>
            <w:tcW w:w="2360" w:type="dxa"/>
            <w:gridSpan w:val="2"/>
            <w:shd w:val="clear" w:color="auto" w:fill="auto"/>
            <w:noWrap/>
            <w:vAlign w:val="bottom"/>
            <w:hideMark/>
          </w:tcPr>
          <w:p w14:paraId="44860885"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15.242.542,37</w:t>
            </w:r>
          </w:p>
        </w:tc>
        <w:tc>
          <w:tcPr>
            <w:tcW w:w="2560" w:type="dxa"/>
            <w:gridSpan w:val="2"/>
            <w:shd w:val="clear" w:color="auto" w:fill="auto"/>
            <w:noWrap/>
            <w:vAlign w:val="bottom"/>
            <w:hideMark/>
          </w:tcPr>
          <w:p w14:paraId="6501B746"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4.926.691.155,24</w:t>
            </w:r>
          </w:p>
        </w:tc>
        <w:tc>
          <w:tcPr>
            <w:tcW w:w="2291" w:type="dxa"/>
            <w:gridSpan w:val="2"/>
            <w:shd w:val="clear" w:color="auto" w:fill="auto"/>
            <w:noWrap/>
            <w:vAlign w:val="bottom"/>
            <w:hideMark/>
          </w:tcPr>
          <w:p w14:paraId="0DE0D3EC"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0,31%</w:t>
            </w:r>
          </w:p>
        </w:tc>
      </w:tr>
      <w:tr w:rsidR="00233022" w14:paraId="5BCDF829" w14:textId="77777777" w:rsidTr="005D4934">
        <w:trPr>
          <w:gridBefore w:val="1"/>
          <w:wBefore w:w="71" w:type="dxa"/>
          <w:trHeight w:val="288"/>
        </w:trPr>
        <w:tc>
          <w:tcPr>
            <w:tcW w:w="940" w:type="dxa"/>
            <w:gridSpan w:val="2"/>
            <w:shd w:val="clear" w:color="auto" w:fill="auto"/>
            <w:noWrap/>
            <w:vAlign w:val="bottom"/>
            <w:hideMark/>
          </w:tcPr>
          <w:p w14:paraId="6B1EAFA4" w14:textId="77777777" w:rsidR="00233022" w:rsidRDefault="00233022" w:rsidP="006E13B2">
            <w:pPr>
              <w:jc w:val="right"/>
              <w:rPr>
                <w:rFonts w:ascii="Calibri" w:hAnsi="Calibri" w:cs="Calibri"/>
                <w:color w:val="000000"/>
                <w:sz w:val="22"/>
                <w:szCs w:val="22"/>
              </w:rPr>
            </w:pPr>
          </w:p>
        </w:tc>
        <w:tc>
          <w:tcPr>
            <w:tcW w:w="2360" w:type="dxa"/>
            <w:gridSpan w:val="2"/>
            <w:shd w:val="clear" w:color="auto" w:fill="auto"/>
            <w:noWrap/>
            <w:vAlign w:val="bottom"/>
            <w:hideMark/>
          </w:tcPr>
          <w:p w14:paraId="13452369" w14:textId="77777777" w:rsidR="00233022" w:rsidRDefault="00233022" w:rsidP="006E13B2">
            <w:pPr>
              <w:rPr>
                <w:sz w:val="20"/>
                <w:szCs w:val="20"/>
              </w:rPr>
            </w:pPr>
          </w:p>
        </w:tc>
        <w:tc>
          <w:tcPr>
            <w:tcW w:w="2560" w:type="dxa"/>
            <w:gridSpan w:val="2"/>
            <w:shd w:val="clear" w:color="auto" w:fill="auto"/>
            <w:noWrap/>
            <w:vAlign w:val="bottom"/>
            <w:hideMark/>
          </w:tcPr>
          <w:p w14:paraId="5E6C3E4C" w14:textId="77777777" w:rsidR="00233022" w:rsidRDefault="00233022" w:rsidP="006E13B2">
            <w:pPr>
              <w:rPr>
                <w:sz w:val="20"/>
                <w:szCs w:val="20"/>
              </w:rPr>
            </w:pPr>
          </w:p>
        </w:tc>
        <w:tc>
          <w:tcPr>
            <w:tcW w:w="2291" w:type="dxa"/>
            <w:gridSpan w:val="2"/>
            <w:shd w:val="clear" w:color="auto" w:fill="auto"/>
            <w:noWrap/>
            <w:vAlign w:val="bottom"/>
            <w:hideMark/>
          </w:tcPr>
          <w:p w14:paraId="799ECA90" w14:textId="77777777" w:rsidR="00233022" w:rsidRDefault="00233022" w:rsidP="00F71055">
            <w:pPr>
              <w:ind w:right="209"/>
              <w:rPr>
                <w:sz w:val="20"/>
                <w:szCs w:val="20"/>
              </w:rPr>
            </w:pPr>
          </w:p>
        </w:tc>
      </w:tr>
      <w:tr w:rsidR="00233022" w14:paraId="6D379463" w14:textId="77777777" w:rsidTr="005D4934">
        <w:trPr>
          <w:gridBefore w:val="1"/>
          <w:wBefore w:w="71" w:type="dxa"/>
          <w:trHeight w:val="288"/>
        </w:trPr>
        <w:tc>
          <w:tcPr>
            <w:tcW w:w="940" w:type="dxa"/>
            <w:gridSpan w:val="2"/>
            <w:shd w:val="clear" w:color="auto" w:fill="auto"/>
            <w:noWrap/>
            <w:vAlign w:val="bottom"/>
            <w:hideMark/>
          </w:tcPr>
          <w:p w14:paraId="07B634DC" w14:textId="77777777" w:rsidR="00233022" w:rsidRDefault="00233022" w:rsidP="006E13B2">
            <w:pPr>
              <w:rPr>
                <w:sz w:val="20"/>
                <w:szCs w:val="20"/>
              </w:rPr>
            </w:pPr>
          </w:p>
        </w:tc>
        <w:tc>
          <w:tcPr>
            <w:tcW w:w="2360" w:type="dxa"/>
            <w:gridSpan w:val="2"/>
            <w:shd w:val="clear" w:color="auto" w:fill="auto"/>
            <w:noWrap/>
            <w:vAlign w:val="bottom"/>
            <w:hideMark/>
          </w:tcPr>
          <w:p w14:paraId="741687FA"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153.785.233,49</w:t>
            </w:r>
          </w:p>
        </w:tc>
        <w:tc>
          <w:tcPr>
            <w:tcW w:w="2560" w:type="dxa"/>
            <w:gridSpan w:val="2"/>
            <w:shd w:val="clear" w:color="auto" w:fill="auto"/>
            <w:noWrap/>
            <w:vAlign w:val="bottom"/>
            <w:hideMark/>
          </w:tcPr>
          <w:p w14:paraId="1F6B7A88" w14:textId="77777777" w:rsidR="00233022" w:rsidRDefault="00233022" w:rsidP="006E13B2">
            <w:pPr>
              <w:jc w:val="right"/>
              <w:rPr>
                <w:rFonts w:ascii="Calibri" w:hAnsi="Calibri" w:cs="Calibri"/>
                <w:color w:val="000000"/>
                <w:sz w:val="22"/>
                <w:szCs w:val="22"/>
              </w:rPr>
            </w:pPr>
          </w:p>
        </w:tc>
        <w:tc>
          <w:tcPr>
            <w:tcW w:w="2291" w:type="dxa"/>
            <w:gridSpan w:val="2"/>
            <w:shd w:val="clear" w:color="auto" w:fill="auto"/>
            <w:noWrap/>
            <w:vAlign w:val="bottom"/>
            <w:hideMark/>
          </w:tcPr>
          <w:p w14:paraId="79487EDB" w14:textId="77777777" w:rsidR="00233022" w:rsidRDefault="00233022" w:rsidP="00F71055">
            <w:pPr>
              <w:ind w:right="209"/>
              <w:rPr>
                <w:sz w:val="20"/>
                <w:szCs w:val="20"/>
              </w:rPr>
            </w:pPr>
          </w:p>
        </w:tc>
      </w:tr>
      <w:tr w:rsidR="00233022" w14:paraId="4D64E4AF" w14:textId="77777777" w:rsidTr="005D4934">
        <w:trPr>
          <w:gridAfter w:val="1"/>
          <w:wAfter w:w="622" w:type="dxa"/>
          <w:trHeight w:val="288"/>
        </w:trPr>
        <w:tc>
          <w:tcPr>
            <w:tcW w:w="940" w:type="dxa"/>
            <w:gridSpan w:val="2"/>
            <w:shd w:val="clear" w:color="auto" w:fill="auto"/>
            <w:noWrap/>
            <w:vAlign w:val="bottom"/>
            <w:hideMark/>
          </w:tcPr>
          <w:p w14:paraId="08448B7C" w14:textId="77777777" w:rsidR="00233022" w:rsidRDefault="00233022" w:rsidP="006E13B2">
            <w:pPr>
              <w:rPr>
                <w:sz w:val="20"/>
                <w:szCs w:val="20"/>
              </w:rPr>
            </w:pPr>
          </w:p>
        </w:tc>
        <w:tc>
          <w:tcPr>
            <w:tcW w:w="2360" w:type="dxa"/>
            <w:gridSpan w:val="2"/>
            <w:shd w:val="clear" w:color="auto" w:fill="auto"/>
            <w:noWrap/>
            <w:vAlign w:val="bottom"/>
            <w:hideMark/>
          </w:tcPr>
          <w:p w14:paraId="48A7CEB7" w14:textId="77777777" w:rsidR="00233022" w:rsidRDefault="00233022" w:rsidP="006E13B2">
            <w:pPr>
              <w:rPr>
                <w:sz w:val="20"/>
                <w:szCs w:val="20"/>
              </w:rPr>
            </w:pPr>
          </w:p>
        </w:tc>
        <w:tc>
          <w:tcPr>
            <w:tcW w:w="2560" w:type="dxa"/>
            <w:gridSpan w:val="2"/>
            <w:shd w:val="clear" w:color="auto" w:fill="auto"/>
            <w:noWrap/>
            <w:vAlign w:val="bottom"/>
            <w:hideMark/>
          </w:tcPr>
          <w:p w14:paraId="68B224EF" w14:textId="77777777" w:rsidR="00233022" w:rsidRDefault="00233022" w:rsidP="006E13B2">
            <w:pPr>
              <w:rPr>
                <w:sz w:val="20"/>
                <w:szCs w:val="20"/>
              </w:rPr>
            </w:pPr>
          </w:p>
        </w:tc>
        <w:tc>
          <w:tcPr>
            <w:tcW w:w="1740" w:type="dxa"/>
            <w:gridSpan w:val="2"/>
            <w:shd w:val="clear" w:color="auto" w:fill="auto"/>
            <w:noWrap/>
            <w:vAlign w:val="bottom"/>
            <w:hideMark/>
          </w:tcPr>
          <w:p w14:paraId="153FD897" w14:textId="77777777" w:rsidR="00233022" w:rsidRDefault="00233022" w:rsidP="00F71055">
            <w:pPr>
              <w:ind w:right="209"/>
              <w:rPr>
                <w:sz w:val="20"/>
                <w:szCs w:val="20"/>
              </w:rPr>
            </w:pPr>
          </w:p>
        </w:tc>
      </w:tr>
      <w:tr w:rsidR="00233022" w14:paraId="6A547C49" w14:textId="77777777" w:rsidTr="005D4934">
        <w:trPr>
          <w:gridAfter w:val="1"/>
          <w:wAfter w:w="622" w:type="dxa"/>
          <w:trHeight w:val="288"/>
        </w:trPr>
        <w:tc>
          <w:tcPr>
            <w:tcW w:w="940" w:type="dxa"/>
            <w:gridSpan w:val="2"/>
            <w:shd w:val="clear" w:color="auto" w:fill="auto"/>
            <w:noWrap/>
            <w:vAlign w:val="bottom"/>
            <w:hideMark/>
          </w:tcPr>
          <w:p w14:paraId="32A5E085" w14:textId="77777777" w:rsidR="00233022" w:rsidRDefault="00233022" w:rsidP="006E13B2">
            <w:pPr>
              <w:rPr>
                <w:sz w:val="20"/>
                <w:szCs w:val="20"/>
              </w:rPr>
            </w:pPr>
          </w:p>
        </w:tc>
        <w:tc>
          <w:tcPr>
            <w:tcW w:w="2360" w:type="dxa"/>
            <w:gridSpan w:val="2"/>
            <w:shd w:val="clear" w:color="auto" w:fill="auto"/>
            <w:noWrap/>
            <w:vAlign w:val="bottom"/>
            <w:hideMark/>
          </w:tcPr>
          <w:p w14:paraId="20A32B14" w14:textId="77777777" w:rsidR="00233022" w:rsidRDefault="00233022" w:rsidP="006E13B2">
            <w:pPr>
              <w:rPr>
                <w:sz w:val="20"/>
                <w:szCs w:val="20"/>
              </w:rPr>
            </w:pPr>
          </w:p>
        </w:tc>
        <w:tc>
          <w:tcPr>
            <w:tcW w:w="2560" w:type="dxa"/>
            <w:gridSpan w:val="2"/>
            <w:shd w:val="clear" w:color="auto" w:fill="auto"/>
            <w:noWrap/>
            <w:vAlign w:val="bottom"/>
            <w:hideMark/>
          </w:tcPr>
          <w:p w14:paraId="2EB87329" w14:textId="77777777" w:rsidR="00233022" w:rsidRDefault="00233022" w:rsidP="006E13B2">
            <w:pPr>
              <w:rPr>
                <w:sz w:val="20"/>
                <w:szCs w:val="20"/>
              </w:rPr>
            </w:pPr>
          </w:p>
        </w:tc>
        <w:tc>
          <w:tcPr>
            <w:tcW w:w="1740" w:type="dxa"/>
            <w:gridSpan w:val="2"/>
            <w:shd w:val="clear" w:color="auto" w:fill="auto"/>
            <w:noWrap/>
            <w:vAlign w:val="bottom"/>
            <w:hideMark/>
          </w:tcPr>
          <w:p w14:paraId="7526BE03" w14:textId="77777777" w:rsidR="00233022" w:rsidRDefault="00233022" w:rsidP="00F71055">
            <w:pPr>
              <w:ind w:right="209"/>
              <w:rPr>
                <w:sz w:val="20"/>
                <w:szCs w:val="20"/>
              </w:rPr>
            </w:pPr>
          </w:p>
        </w:tc>
      </w:tr>
      <w:tr w:rsidR="00233022" w14:paraId="29389F11" w14:textId="77777777" w:rsidTr="005D4934">
        <w:trPr>
          <w:gridBefore w:val="1"/>
          <w:wBefore w:w="71" w:type="dxa"/>
          <w:trHeight w:val="288"/>
        </w:trPr>
        <w:tc>
          <w:tcPr>
            <w:tcW w:w="940" w:type="dxa"/>
            <w:gridSpan w:val="2"/>
            <w:tcBorders>
              <w:bottom w:val="single" w:sz="4" w:space="0" w:color="auto"/>
            </w:tcBorders>
            <w:shd w:val="clear" w:color="auto" w:fill="auto"/>
            <w:noWrap/>
            <w:vAlign w:val="bottom"/>
            <w:hideMark/>
          </w:tcPr>
          <w:p w14:paraId="4630FED2"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AÑO</w:t>
            </w:r>
          </w:p>
        </w:tc>
        <w:tc>
          <w:tcPr>
            <w:tcW w:w="2360" w:type="dxa"/>
            <w:gridSpan w:val="2"/>
            <w:tcBorders>
              <w:bottom w:val="single" w:sz="4" w:space="0" w:color="auto"/>
            </w:tcBorders>
            <w:shd w:val="clear" w:color="auto" w:fill="auto"/>
            <w:noWrap/>
            <w:vAlign w:val="bottom"/>
            <w:hideMark/>
          </w:tcPr>
          <w:p w14:paraId="60AC9342"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PRESCRIPCIONES</w:t>
            </w:r>
          </w:p>
        </w:tc>
        <w:tc>
          <w:tcPr>
            <w:tcW w:w="2560" w:type="dxa"/>
            <w:gridSpan w:val="2"/>
            <w:tcBorders>
              <w:bottom w:val="single" w:sz="4" w:space="0" w:color="auto"/>
            </w:tcBorders>
            <w:shd w:val="clear" w:color="auto" w:fill="auto"/>
            <w:noWrap/>
            <w:vAlign w:val="bottom"/>
            <w:hideMark/>
          </w:tcPr>
          <w:p w14:paraId="579A2411"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REC LIQUIDA (*)</w:t>
            </w:r>
          </w:p>
        </w:tc>
        <w:tc>
          <w:tcPr>
            <w:tcW w:w="2291" w:type="dxa"/>
            <w:gridSpan w:val="2"/>
            <w:tcBorders>
              <w:bottom w:val="single" w:sz="4" w:space="0" w:color="auto"/>
            </w:tcBorders>
            <w:shd w:val="clear" w:color="auto" w:fill="auto"/>
            <w:noWrap/>
            <w:vAlign w:val="bottom"/>
            <w:hideMark/>
          </w:tcPr>
          <w:p w14:paraId="4F6678E4" w14:textId="77777777" w:rsidR="00233022" w:rsidRDefault="00233022" w:rsidP="00F71055">
            <w:pPr>
              <w:ind w:right="209"/>
              <w:jc w:val="right"/>
              <w:rPr>
                <w:rFonts w:ascii="Calibri" w:hAnsi="Calibri" w:cs="Calibri"/>
                <w:b/>
                <w:bCs/>
                <w:color w:val="000000"/>
                <w:sz w:val="22"/>
                <w:szCs w:val="22"/>
              </w:rPr>
            </w:pPr>
            <w:r>
              <w:rPr>
                <w:rFonts w:ascii="Calibri" w:hAnsi="Calibri" w:cs="Calibri"/>
                <w:b/>
                <w:bCs/>
                <w:color w:val="000000"/>
                <w:sz w:val="22"/>
                <w:szCs w:val="22"/>
              </w:rPr>
              <w:t>%s/ REC LIQUIDA</w:t>
            </w:r>
          </w:p>
        </w:tc>
      </w:tr>
      <w:tr w:rsidR="00233022" w14:paraId="7C1B7149" w14:textId="77777777" w:rsidTr="005D4934">
        <w:trPr>
          <w:gridBefore w:val="1"/>
          <w:wBefore w:w="71" w:type="dxa"/>
          <w:trHeight w:val="288"/>
        </w:trPr>
        <w:tc>
          <w:tcPr>
            <w:tcW w:w="940" w:type="dxa"/>
            <w:gridSpan w:val="2"/>
            <w:tcBorders>
              <w:top w:val="single" w:sz="4" w:space="0" w:color="auto"/>
            </w:tcBorders>
            <w:shd w:val="clear" w:color="auto" w:fill="auto"/>
            <w:noWrap/>
            <w:vAlign w:val="bottom"/>
            <w:hideMark/>
          </w:tcPr>
          <w:p w14:paraId="7C3B19A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2016</w:t>
            </w:r>
          </w:p>
        </w:tc>
        <w:tc>
          <w:tcPr>
            <w:tcW w:w="2360" w:type="dxa"/>
            <w:gridSpan w:val="2"/>
            <w:tcBorders>
              <w:top w:val="single" w:sz="4" w:space="0" w:color="auto"/>
            </w:tcBorders>
            <w:shd w:val="clear" w:color="auto" w:fill="auto"/>
            <w:noWrap/>
            <w:vAlign w:val="bottom"/>
            <w:hideMark/>
          </w:tcPr>
          <w:p w14:paraId="02540AA4"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40.710.049,68</w:t>
            </w:r>
          </w:p>
        </w:tc>
        <w:tc>
          <w:tcPr>
            <w:tcW w:w="2560" w:type="dxa"/>
            <w:gridSpan w:val="2"/>
            <w:tcBorders>
              <w:top w:val="single" w:sz="4" w:space="0" w:color="auto"/>
            </w:tcBorders>
            <w:shd w:val="clear" w:color="auto" w:fill="auto"/>
            <w:noWrap/>
            <w:vAlign w:val="bottom"/>
            <w:hideMark/>
          </w:tcPr>
          <w:p w14:paraId="6D28E980"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3.249.732.000,00</w:t>
            </w:r>
          </w:p>
        </w:tc>
        <w:tc>
          <w:tcPr>
            <w:tcW w:w="2291" w:type="dxa"/>
            <w:gridSpan w:val="2"/>
            <w:tcBorders>
              <w:top w:val="single" w:sz="4" w:space="0" w:color="auto"/>
            </w:tcBorders>
            <w:shd w:val="clear" w:color="auto" w:fill="auto"/>
            <w:noWrap/>
            <w:vAlign w:val="bottom"/>
            <w:hideMark/>
          </w:tcPr>
          <w:p w14:paraId="5592CEFC"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1,25%</w:t>
            </w:r>
          </w:p>
        </w:tc>
      </w:tr>
      <w:tr w:rsidR="00233022" w14:paraId="1735E1B0" w14:textId="77777777" w:rsidTr="005D4934">
        <w:trPr>
          <w:gridBefore w:val="1"/>
          <w:wBefore w:w="71" w:type="dxa"/>
          <w:trHeight w:val="288"/>
        </w:trPr>
        <w:tc>
          <w:tcPr>
            <w:tcW w:w="940" w:type="dxa"/>
            <w:gridSpan w:val="2"/>
            <w:shd w:val="clear" w:color="auto" w:fill="auto"/>
            <w:noWrap/>
            <w:vAlign w:val="bottom"/>
            <w:hideMark/>
          </w:tcPr>
          <w:p w14:paraId="43D5F24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2017</w:t>
            </w:r>
          </w:p>
        </w:tc>
        <w:tc>
          <w:tcPr>
            <w:tcW w:w="2360" w:type="dxa"/>
            <w:gridSpan w:val="2"/>
            <w:shd w:val="clear" w:color="auto" w:fill="auto"/>
            <w:noWrap/>
            <w:vAlign w:val="bottom"/>
            <w:hideMark/>
          </w:tcPr>
          <w:p w14:paraId="01BBA7D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13.771.871,76</w:t>
            </w:r>
          </w:p>
        </w:tc>
        <w:tc>
          <w:tcPr>
            <w:tcW w:w="2560" w:type="dxa"/>
            <w:gridSpan w:val="2"/>
            <w:shd w:val="clear" w:color="auto" w:fill="auto"/>
            <w:noWrap/>
            <w:vAlign w:val="bottom"/>
            <w:hideMark/>
          </w:tcPr>
          <w:p w14:paraId="1721CE9A"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3.682.671.000,00</w:t>
            </w:r>
          </w:p>
        </w:tc>
        <w:tc>
          <w:tcPr>
            <w:tcW w:w="2291" w:type="dxa"/>
            <w:gridSpan w:val="2"/>
            <w:shd w:val="clear" w:color="auto" w:fill="auto"/>
            <w:noWrap/>
            <w:vAlign w:val="bottom"/>
            <w:hideMark/>
          </w:tcPr>
          <w:p w14:paraId="06FF9CFA"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0,37%</w:t>
            </w:r>
          </w:p>
        </w:tc>
      </w:tr>
      <w:tr w:rsidR="00233022" w14:paraId="53F2E338" w14:textId="77777777" w:rsidTr="005D4934">
        <w:trPr>
          <w:gridBefore w:val="1"/>
          <w:wBefore w:w="71" w:type="dxa"/>
          <w:trHeight w:val="288"/>
        </w:trPr>
        <w:tc>
          <w:tcPr>
            <w:tcW w:w="940" w:type="dxa"/>
            <w:gridSpan w:val="2"/>
            <w:shd w:val="clear" w:color="auto" w:fill="auto"/>
            <w:noWrap/>
            <w:vAlign w:val="bottom"/>
            <w:hideMark/>
          </w:tcPr>
          <w:p w14:paraId="091FDFA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2018</w:t>
            </w:r>
          </w:p>
        </w:tc>
        <w:tc>
          <w:tcPr>
            <w:tcW w:w="2360" w:type="dxa"/>
            <w:gridSpan w:val="2"/>
            <w:shd w:val="clear" w:color="auto" w:fill="auto"/>
            <w:noWrap/>
            <w:vAlign w:val="bottom"/>
            <w:hideMark/>
          </w:tcPr>
          <w:p w14:paraId="26D2C9EE"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33.155.895,22</w:t>
            </w:r>
          </w:p>
        </w:tc>
        <w:tc>
          <w:tcPr>
            <w:tcW w:w="2560" w:type="dxa"/>
            <w:gridSpan w:val="2"/>
            <w:shd w:val="clear" w:color="auto" w:fill="auto"/>
            <w:noWrap/>
            <w:vAlign w:val="bottom"/>
            <w:hideMark/>
          </w:tcPr>
          <w:p w14:paraId="7F9969E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3.482.954.000,00</w:t>
            </w:r>
          </w:p>
        </w:tc>
        <w:tc>
          <w:tcPr>
            <w:tcW w:w="2291" w:type="dxa"/>
            <w:gridSpan w:val="2"/>
            <w:shd w:val="clear" w:color="auto" w:fill="auto"/>
            <w:noWrap/>
            <w:vAlign w:val="bottom"/>
            <w:hideMark/>
          </w:tcPr>
          <w:p w14:paraId="3B80B6D5"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0,95%</w:t>
            </w:r>
          </w:p>
        </w:tc>
      </w:tr>
      <w:tr w:rsidR="00233022" w14:paraId="1C256FDA" w14:textId="77777777" w:rsidTr="005D4934">
        <w:trPr>
          <w:gridBefore w:val="1"/>
          <w:wBefore w:w="71" w:type="dxa"/>
          <w:trHeight w:val="288"/>
        </w:trPr>
        <w:tc>
          <w:tcPr>
            <w:tcW w:w="940" w:type="dxa"/>
            <w:gridSpan w:val="2"/>
            <w:shd w:val="clear" w:color="auto" w:fill="auto"/>
            <w:noWrap/>
            <w:vAlign w:val="bottom"/>
            <w:hideMark/>
          </w:tcPr>
          <w:p w14:paraId="2803AD04"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2019</w:t>
            </w:r>
          </w:p>
        </w:tc>
        <w:tc>
          <w:tcPr>
            <w:tcW w:w="2360" w:type="dxa"/>
            <w:gridSpan w:val="2"/>
            <w:shd w:val="clear" w:color="auto" w:fill="auto"/>
            <w:noWrap/>
            <w:vAlign w:val="bottom"/>
            <w:hideMark/>
          </w:tcPr>
          <w:p w14:paraId="30114BD8"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16.149.625,56</w:t>
            </w:r>
          </w:p>
        </w:tc>
        <w:tc>
          <w:tcPr>
            <w:tcW w:w="2560" w:type="dxa"/>
            <w:gridSpan w:val="2"/>
            <w:shd w:val="clear" w:color="auto" w:fill="auto"/>
            <w:noWrap/>
            <w:vAlign w:val="bottom"/>
            <w:hideMark/>
          </w:tcPr>
          <w:p w14:paraId="22976BB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3.941.132.000,00</w:t>
            </w:r>
          </w:p>
        </w:tc>
        <w:tc>
          <w:tcPr>
            <w:tcW w:w="2291" w:type="dxa"/>
            <w:gridSpan w:val="2"/>
            <w:shd w:val="clear" w:color="auto" w:fill="auto"/>
            <w:noWrap/>
            <w:vAlign w:val="bottom"/>
            <w:hideMark/>
          </w:tcPr>
          <w:p w14:paraId="260B576B"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0,41%</w:t>
            </w:r>
          </w:p>
        </w:tc>
      </w:tr>
      <w:tr w:rsidR="00233022" w14:paraId="4A30A4F4" w14:textId="77777777" w:rsidTr="005D4934">
        <w:trPr>
          <w:gridBefore w:val="1"/>
          <w:wBefore w:w="71" w:type="dxa"/>
          <w:trHeight w:val="288"/>
        </w:trPr>
        <w:tc>
          <w:tcPr>
            <w:tcW w:w="940" w:type="dxa"/>
            <w:gridSpan w:val="2"/>
            <w:shd w:val="clear" w:color="auto" w:fill="auto"/>
            <w:noWrap/>
            <w:vAlign w:val="bottom"/>
            <w:hideMark/>
          </w:tcPr>
          <w:p w14:paraId="6340B8B6"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2020</w:t>
            </w:r>
          </w:p>
        </w:tc>
        <w:tc>
          <w:tcPr>
            <w:tcW w:w="2360" w:type="dxa"/>
            <w:gridSpan w:val="2"/>
            <w:shd w:val="clear" w:color="auto" w:fill="auto"/>
            <w:noWrap/>
            <w:vAlign w:val="bottom"/>
            <w:hideMark/>
          </w:tcPr>
          <w:p w14:paraId="44FB1900"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22.775.021,82</w:t>
            </w:r>
          </w:p>
        </w:tc>
        <w:tc>
          <w:tcPr>
            <w:tcW w:w="2560" w:type="dxa"/>
            <w:gridSpan w:val="2"/>
            <w:shd w:val="clear" w:color="auto" w:fill="auto"/>
            <w:noWrap/>
            <w:vAlign w:val="bottom"/>
            <w:hideMark/>
          </w:tcPr>
          <w:p w14:paraId="6FFAEAA4"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3.627.079.000,00</w:t>
            </w:r>
          </w:p>
        </w:tc>
        <w:tc>
          <w:tcPr>
            <w:tcW w:w="2291" w:type="dxa"/>
            <w:gridSpan w:val="2"/>
            <w:shd w:val="clear" w:color="auto" w:fill="auto"/>
            <w:noWrap/>
            <w:vAlign w:val="bottom"/>
            <w:hideMark/>
          </w:tcPr>
          <w:p w14:paraId="08088706"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0,63%</w:t>
            </w:r>
          </w:p>
        </w:tc>
      </w:tr>
      <w:tr w:rsidR="00233022" w14:paraId="7918D03C" w14:textId="77777777" w:rsidTr="005D4934">
        <w:trPr>
          <w:gridBefore w:val="1"/>
          <w:wBefore w:w="71" w:type="dxa"/>
          <w:trHeight w:val="288"/>
        </w:trPr>
        <w:tc>
          <w:tcPr>
            <w:tcW w:w="940" w:type="dxa"/>
            <w:gridSpan w:val="2"/>
            <w:shd w:val="clear" w:color="auto" w:fill="auto"/>
            <w:noWrap/>
            <w:vAlign w:val="bottom"/>
            <w:hideMark/>
          </w:tcPr>
          <w:p w14:paraId="47351230"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2021</w:t>
            </w:r>
          </w:p>
        </w:tc>
        <w:tc>
          <w:tcPr>
            <w:tcW w:w="2360" w:type="dxa"/>
            <w:gridSpan w:val="2"/>
            <w:shd w:val="clear" w:color="auto" w:fill="auto"/>
            <w:noWrap/>
            <w:vAlign w:val="bottom"/>
            <w:hideMark/>
          </w:tcPr>
          <w:p w14:paraId="5A07845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11.980.227,08</w:t>
            </w:r>
          </w:p>
        </w:tc>
        <w:tc>
          <w:tcPr>
            <w:tcW w:w="2560" w:type="dxa"/>
            <w:gridSpan w:val="2"/>
            <w:shd w:val="clear" w:color="auto" w:fill="auto"/>
            <w:noWrap/>
            <w:vAlign w:val="bottom"/>
            <w:hideMark/>
          </w:tcPr>
          <w:p w14:paraId="6D6CF3B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4.170.391.000,00</w:t>
            </w:r>
          </w:p>
        </w:tc>
        <w:tc>
          <w:tcPr>
            <w:tcW w:w="2291" w:type="dxa"/>
            <w:gridSpan w:val="2"/>
            <w:shd w:val="clear" w:color="auto" w:fill="auto"/>
            <w:noWrap/>
            <w:vAlign w:val="bottom"/>
            <w:hideMark/>
          </w:tcPr>
          <w:p w14:paraId="07CDB155"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0,29%</w:t>
            </w:r>
          </w:p>
        </w:tc>
      </w:tr>
      <w:tr w:rsidR="00233022" w14:paraId="3E6E9314" w14:textId="77777777" w:rsidTr="005D4934">
        <w:trPr>
          <w:gridBefore w:val="1"/>
          <w:wBefore w:w="71" w:type="dxa"/>
          <w:trHeight w:val="288"/>
        </w:trPr>
        <w:tc>
          <w:tcPr>
            <w:tcW w:w="940" w:type="dxa"/>
            <w:gridSpan w:val="2"/>
            <w:shd w:val="clear" w:color="auto" w:fill="auto"/>
            <w:noWrap/>
            <w:vAlign w:val="bottom"/>
            <w:hideMark/>
          </w:tcPr>
          <w:p w14:paraId="47F97D24"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2022</w:t>
            </w:r>
          </w:p>
        </w:tc>
        <w:tc>
          <w:tcPr>
            <w:tcW w:w="2360" w:type="dxa"/>
            <w:gridSpan w:val="2"/>
            <w:shd w:val="clear" w:color="auto" w:fill="auto"/>
            <w:noWrap/>
            <w:vAlign w:val="bottom"/>
            <w:hideMark/>
          </w:tcPr>
          <w:p w14:paraId="4942A4EB"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15.242.542,37</w:t>
            </w:r>
          </w:p>
        </w:tc>
        <w:tc>
          <w:tcPr>
            <w:tcW w:w="2560" w:type="dxa"/>
            <w:gridSpan w:val="2"/>
            <w:shd w:val="clear" w:color="auto" w:fill="auto"/>
            <w:noWrap/>
            <w:vAlign w:val="bottom"/>
            <w:hideMark/>
          </w:tcPr>
          <w:p w14:paraId="1CBDB938"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4.979.457.000,00</w:t>
            </w:r>
          </w:p>
        </w:tc>
        <w:tc>
          <w:tcPr>
            <w:tcW w:w="2291" w:type="dxa"/>
            <w:gridSpan w:val="2"/>
            <w:shd w:val="clear" w:color="auto" w:fill="auto"/>
            <w:noWrap/>
            <w:vAlign w:val="bottom"/>
            <w:hideMark/>
          </w:tcPr>
          <w:p w14:paraId="357757C3" w14:textId="77777777" w:rsidR="00233022" w:rsidRDefault="00233022" w:rsidP="00F71055">
            <w:pPr>
              <w:ind w:right="209"/>
              <w:jc w:val="right"/>
              <w:rPr>
                <w:rFonts w:ascii="Calibri" w:hAnsi="Calibri" w:cs="Calibri"/>
                <w:color w:val="000000"/>
                <w:sz w:val="22"/>
                <w:szCs w:val="22"/>
              </w:rPr>
            </w:pPr>
            <w:r>
              <w:rPr>
                <w:rFonts w:ascii="Calibri" w:hAnsi="Calibri" w:cs="Calibri"/>
                <w:color w:val="000000"/>
                <w:sz w:val="22"/>
                <w:szCs w:val="22"/>
              </w:rPr>
              <w:t>0,31%</w:t>
            </w:r>
          </w:p>
        </w:tc>
      </w:tr>
      <w:tr w:rsidR="00233022" w14:paraId="45D3BF4E" w14:textId="77777777" w:rsidTr="005D4934">
        <w:trPr>
          <w:gridBefore w:val="1"/>
          <w:wBefore w:w="71" w:type="dxa"/>
          <w:trHeight w:val="288"/>
        </w:trPr>
        <w:tc>
          <w:tcPr>
            <w:tcW w:w="940" w:type="dxa"/>
            <w:gridSpan w:val="2"/>
            <w:shd w:val="clear" w:color="auto" w:fill="auto"/>
            <w:noWrap/>
            <w:vAlign w:val="bottom"/>
            <w:hideMark/>
          </w:tcPr>
          <w:p w14:paraId="330D4BCB" w14:textId="77777777" w:rsidR="00233022" w:rsidRDefault="00233022" w:rsidP="006E13B2">
            <w:pPr>
              <w:jc w:val="right"/>
              <w:rPr>
                <w:rFonts w:ascii="Calibri" w:hAnsi="Calibri" w:cs="Calibri"/>
                <w:color w:val="000000"/>
                <w:sz w:val="22"/>
                <w:szCs w:val="22"/>
              </w:rPr>
            </w:pPr>
          </w:p>
        </w:tc>
        <w:tc>
          <w:tcPr>
            <w:tcW w:w="2360" w:type="dxa"/>
            <w:gridSpan w:val="2"/>
            <w:shd w:val="clear" w:color="auto" w:fill="auto"/>
            <w:noWrap/>
            <w:vAlign w:val="bottom"/>
            <w:hideMark/>
          </w:tcPr>
          <w:p w14:paraId="2021894F" w14:textId="77777777" w:rsidR="00233022" w:rsidRDefault="00233022" w:rsidP="006E13B2">
            <w:pPr>
              <w:rPr>
                <w:sz w:val="20"/>
                <w:szCs w:val="20"/>
              </w:rPr>
            </w:pPr>
          </w:p>
        </w:tc>
        <w:tc>
          <w:tcPr>
            <w:tcW w:w="2560" w:type="dxa"/>
            <w:gridSpan w:val="2"/>
            <w:shd w:val="clear" w:color="auto" w:fill="auto"/>
            <w:noWrap/>
            <w:vAlign w:val="bottom"/>
            <w:hideMark/>
          </w:tcPr>
          <w:p w14:paraId="419D5804" w14:textId="77777777" w:rsidR="00233022" w:rsidRDefault="00233022" w:rsidP="006E13B2">
            <w:pPr>
              <w:rPr>
                <w:sz w:val="20"/>
                <w:szCs w:val="20"/>
              </w:rPr>
            </w:pPr>
          </w:p>
        </w:tc>
        <w:tc>
          <w:tcPr>
            <w:tcW w:w="2291" w:type="dxa"/>
            <w:gridSpan w:val="2"/>
            <w:shd w:val="clear" w:color="auto" w:fill="auto"/>
            <w:noWrap/>
            <w:vAlign w:val="bottom"/>
            <w:hideMark/>
          </w:tcPr>
          <w:p w14:paraId="4C4673C2" w14:textId="77777777" w:rsidR="00233022" w:rsidRDefault="00233022" w:rsidP="00F71055">
            <w:pPr>
              <w:ind w:right="209"/>
              <w:rPr>
                <w:sz w:val="20"/>
                <w:szCs w:val="20"/>
              </w:rPr>
            </w:pPr>
          </w:p>
        </w:tc>
      </w:tr>
      <w:tr w:rsidR="00233022" w14:paraId="2C004406" w14:textId="77777777" w:rsidTr="005D4934">
        <w:trPr>
          <w:gridBefore w:val="1"/>
          <w:wBefore w:w="71" w:type="dxa"/>
          <w:trHeight w:val="288"/>
        </w:trPr>
        <w:tc>
          <w:tcPr>
            <w:tcW w:w="940" w:type="dxa"/>
            <w:gridSpan w:val="2"/>
            <w:shd w:val="clear" w:color="auto" w:fill="auto"/>
            <w:noWrap/>
            <w:vAlign w:val="bottom"/>
            <w:hideMark/>
          </w:tcPr>
          <w:p w14:paraId="675EE767" w14:textId="77777777" w:rsidR="00233022" w:rsidRDefault="00233022" w:rsidP="006E13B2">
            <w:pPr>
              <w:rPr>
                <w:sz w:val="20"/>
                <w:szCs w:val="20"/>
              </w:rPr>
            </w:pPr>
          </w:p>
        </w:tc>
        <w:tc>
          <w:tcPr>
            <w:tcW w:w="2360" w:type="dxa"/>
            <w:gridSpan w:val="2"/>
            <w:shd w:val="clear" w:color="auto" w:fill="auto"/>
            <w:noWrap/>
            <w:vAlign w:val="bottom"/>
            <w:hideMark/>
          </w:tcPr>
          <w:p w14:paraId="3EE052FA"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153.785.233,49</w:t>
            </w:r>
          </w:p>
        </w:tc>
        <w:tc>
          <w:tcPr>
            <w:tcW w:w="2560" w:type="dxa"/>
            <w:gridSpan w:val="2"/>
            <w:shd w:val="clear" w:color="auto" w:fill="auto"/>
            <w:noWrap/>
            <w:vAlign w:val="bottom"/>
            <w:hideMark/>
          </w:tcPr>
          <w:p w14:paraId="3EDC24A0" w14:textId="77777777" w:rsidR="00233022" w:rsidRDefault="00233022" w:rsidP="006E13B2">
            <w:pPr>
              <w:jc w:val="right"/>
              <w:rPr>
                <w:rFonts w:ascii="Calibri" w:hAnsi="Calibri" w:cs="Calibri"/>
                <w:color w:val="000000"/>
                <w:sz w:val="22"/>
                <w:szCs w:val="22"/>
              </w:rPr>
            </w:pPr>
          </w:p>
        </w:tc>
        <w:tc>
          <w:tcPr>
            <w:tcW w:w="2291" w:type="dxa"/>
            <w:gridSpan w:val="2"/>
            <w:shd w:val="clear" w:color="auto" w:fill="auto"/>
            <w:noWrap/>
            <w:vAlign w:val="bottom"/>
            <w:hideMark/>
          </w:tcPr>
          <w:p w14:paraId="1E75E5DE" w14:textId="77777777" w:rsidR="00233022" w:rsidRDefault="00233022" w:rsidP="00F71055">
            <w:pPr>
              <w:ind w:right="209"/>
              <w:rPr>
                <w:sz w:val="20"/>
                <w:szCs w:val="20"/>
              </w:rPr>
            </w:pPr>
          </w:p>
        </w:tc>
      </w:tr>
    </w:tbl>
    <w:p w14:paraId="3551FB3F" w14:textId="77777777" w:rsidR="00737ED5" w:rsidRDefault="00233022" w:rsidP="00F71055">
      <w:pPr>
        <w:ind w:left="567"/>
        <w:jc w:val="both"/>
        <w:rPr>
          <w:rFonts w:ascii="Calibri" w:hAnsi="Calibri" w:cs="Calibri"/>
          <w:color w:val="000000"/>
          <w:sz w:val="22"/>
          <w:szCs w:val="22"/>
        </w:rPr>
      </w:pPr>
      <w:r>
        <w:rPr>
          <w:rFonts w:ascii="Calibri" w:hAnsi="Calibri" w:cs="Calibri"/>
          <w:color w:val="000000"/>
          <w:sz w:val="22"/>
          <w:szCs w:val="22"/>
        </w:rPr>
        <w:t>(*) Datos obtenidos de las Cuentas Generales de Navarra de cada ejercicio</w:t>
      </w:r>
    </w:p>
    <w:p w14:paraId="52E03AE9" w14:textId="77777777" w:rsidR="00233022"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lastRenderedPageBreak/>
        <w:t>¿Qué porcentaje, por ejercicio, suponen las prescripciones respecto del saldo de deudores en vía de apremio?</w:t>
      </w:r>
    </w:p>
    <w:p w14:paraId="7F40EDB5" w14:textId="77777777" w:rsidR="00233022" w:rsidRDefault="00233022" w:rsidP="00233022">
      <w:pPr>
        <w:jc w:val="both"/>
        <w:rPr>
          <w:rFonts w:ascii="Calibri" w:hAnsi="Calibri" w:cs="Calibri"/>
          <w:b/>
          <w:sz w:val="23"/>
          <w:szCs w:val="23"/>
        </w:rPr>
      </w:pPr>
    </w:p>
    <w:tbl>
      <w:tblPr>
        <w:tblW w:w="7600" w:type="dxa"/>
        <w:tblInd w:w="708" w:type="dxa"/>
        <w:tblCellMar>
          <w:left w:w="70" w:type="dxa"/>
          <w:right w:w="70" w:type="dxa"/>
        </w:tblCellMar>
        <w:tblLook w:val="04A0" w:firstRow="1" w:lastRow="0" w:firstColumn="1" w:lastColumn="0" w:noHBand="0" w:noVBand="1"/>
      </w:tblPr>
      <w:tblGrid>
        <w:gridCol w:w="940"/>
        <w:gridCol w:w="2360"/>
        <w:gridCol w:w="2560"/>
        <w:gridCol w:w="1740"/>
      </w:tblGrid>
      <w:tr w:rsidR="00233022" w14:paraId="284904B1" w14:textId="77777777" w:rsidTr="005D4934">
        <w:trPr>
          <w:trHeight w:val="288"/>
        </w:trPr>
        <w:tc>
          <w:tcPr>
            <w:tcW w:w="940" w:type="dxa"/>
            <w:tcBorders>
              <w:bottom w:val="single" w:sz="4" w:space="0" w:color="auto"/>
              <w:right w:val="nil"/>
            </w:tcBorders>
            <w:shd w:val="clear" w:color="auto" w:fill="auto"/>
            <w:noWrap/>
            <w:vAlign w:val="bottom"/>
            <w:hideMark/>
          </w:tcPr>
          <w:p w14:paraId="78EC3CA0"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AÑO</w:t>
            </w:r>
          </w:p>
        </w:tc>
        <w:tc>
          <w:tcPr>
            <w:tcW w:w="2360" w:type="dxa"/>
            <w:tcBorders>
              <w:left w:val="nil"/>
              <w:bottom w:val="single" w:sz="4" w:space="0" w:color="auto"/>
              <w:right w:val="nil"/>
            </w:tcBorders>
            <w:shd w:val="clear" w:color="auto" w:fill="auto"/>
            <w:noWrap/>
            <w:vAlign w:val="bottom"/>
            <w:hideMark/>
          </w:tcPr>
          <w:p w14:paraId="19DEBA57"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PRESCRIPCIONES</w:t>
            </w:r>
          </w:p>
        </w:tc>
        <w:tc>
          <w:tcPr>
            <w:tcW w:w="2560" w:type="dxa"/>
            <w:tcBorders>
              <w:left w:val="nil"/>
              <w:bottom w:val="single" w:sz="4" w:space="0" w:color="auto"/>
              <w:right w:val="nil"/>
            </w:tcBorders>
            <w:shd w:val="clear" w:color="auto" w:fill="auto"/>
            <w:noWrap/>
            <w:vAlign w:val="bottom"/>
            <w:hideMark/>
          </w:tcPr>
          <w:p w14:paraId="109F6AF5" w14:textId="77777777" w:rsidR="00233022" w:rsidRDefault="00233022" w:rsidP="006E13B2">
            <w:pPr>
              <w:jc w:val="right"/>
              <w:rPr>
                <w:rFonts w:ascii="Calibri" w:hAnsi="Calibri" w:cs="Calibri"/>
                <w:b/>
                <w:bCs/>
                <w:color w:val="000000"/>
                <w:sz w:val="22"/>
                <w:szCs w:val="22"/>
              </w:rPr>
            </w:pPr>
            <w:r>
              <w:rPr>
                <w:rFonts w:ascii="Calibri" w:hAnsi="Calibri" w:cs="Calibri"/>
                <w:b/>
                <w:bCs/>
                <w:color w:val="000000"/>
                <w:sz w:val="22"/>
                <w:szCs w:val="22"/>
              </w:rPr>
              <w:t>DEUDORES APREMIO (*)</w:t>
            </w:r>
          </w:p>
        </w:tc>
        <w:tc>
          <w:tcPr>
            <w:tcW w:w="1740" w:type="dxa"/>
            <w:tcBorders>
              <w:left w:val="nil"/>
              <w:bottom w:val="single" w:sz="4" w:space="0" w:color="auto"/>
            </w:tcBorders>
            <w:shd w:val="clear" w:color="auto" w:fill="auto"/>
            <w:noWrap/>
            <w:vAlign w:val="bottom"/>
            <w:hideMark/>
          </w:tcPr>
          <w:p w14:paraId="4ED6FA31" w14:textId="77777777" w:rsidR="00233022" w:rsidRDefault="00233022" w:rsidP="00E50B68">
            <w:pPr>
              <w:ind w:right="237"/>
              <w:jc w:val="right"/>
              <w:rPr>
                <w:rFonts w:ascii="Calibri" w:hAnsi="Calibri" w:cs="Calibri"/>
                <w:b/>
                <w:bCs/>
                <w:color w:val="000000"/>
                <w:sz w:val="22"/>
                <w:szCs w:val="22"/>
              </w:rPr>
            </w:pPr>
            <w:r>
              <w:rPr>
                <w:rFonts w:ascii="Calibri" w:hAnsi="Calibri" w:cs="Calibri"/>
                <w:b/>
                <w:bCs/>
                <w:color w:val="000000"/>
                <w:sz w:val="22"/>
                <w:szCs w:val="22"/>
              </w:rPr>
              <w:t>%s/DEUD APREMIO</w:t>
            </w:r>
          </w:p>
        </w:tc>
      </w:tr>
      <w:tr w:rsidR="00233022" w14:paraId="5AB06C86" w14:textId="77777777" w:rsidTr="005D4934">
        <w:trPr>
          <w:trHeight w:val="288"/>
        </w:trPr>
        <w:tc>
          <w:tcPr>
            <w:tcW w:w="940" w:type="dxa"/>
            <w:tcBorders>
              <w:top w:val="single" w:sz="4" w:space="0" w:color="auto"/>
              <w:bottom w:val="nil"/>
              <w:right w:val="nil"/>
            </w:tcBorders>
            <w:shd w:val="clear" w:color="auto" w:fill="auto"/>
            <w:noWrap/>
            <w:vAlign w:val="bottom"/>
            <w:hideMark/>
          </w:tcPr>
          <w:p w14:paraId="1445BA7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2016</w:t>
            </w:r>
          </w:p>
        </w:tc>
        <w:tc>
          <w:tcPr>
            <w:tcW w:w="2360" w:type="dxa"/>
            <w:tcBorders>
              <w:top w:val="single" w:sz="4" w:space="0" w:color="auto"/>
              <w:left w:val="nil"/>
              <w:bottom w:val="nil"/>
              <w:right w:val="nil"/>
            </w:tcBorders>
            <w:shd w:val="clear" w:color="auto" w:fill="auto"/>
            <w:noWrap/>
            <w:vAlign w:val="bottom"/>
            <w:hideMark/>
          </w:tcPr>
          <w:p w14:paraId="520E471C"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40.710.049,68</w:t>
            </w:r>
          </w:p>
        </w:tc>
        <w:tc>
          <w:tcPr>
            <w:tcW w:w="2560" w:type="dxa"/>
            <w:tcBorders>
              <w:top w:val="single" w:sz="4" w:space="0" w:color="auto"/>
              <w:left w:val="nil"/>
              <w:bottom w:val="nil"/>
              <w:right w:val="nil"/>
            </w:tcBorders>
            <w:shd w:val="clear" w:color="auto" w:fill="auto"/>
            <w:noWrap/>
            <w:vAlign w:val="bottom"/>
            <w:hideMark/>
          </w:tcPr>
          <w:p w14:paraId="08CAD0A5"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487.826.326,84</w:t>
            </w:r>
          </w:p>
        </w:tc>
        <w:tc>
          <w:tcPr>
            <w:tcW w:w="1740" w:type="dxa"/>
            <w:tcBorders>
              <w:top w:val="single" w:sz="4" w:space="0" w:color="auto"/>
              <w:left w:val="nil"/>
              <w:bottom w:val="nil"/>
            </w:tcBorders>
            <w:shd w:val="clear" w:color="auto" w:fill="auto"/>
            <w:noWrap/>
            <w:vAlign w:val="bottom"/>
            <w:hideMark/>
          </w:tcPr>
          <w:p w14:paraId="67B30AC1" w14:textId="77777777" w:rsidR="00233022" w:rsidRDefault="00233022" w:rsidP="00E50B68">
            <w:pPr>
              <w:ind w:right="237"/>
              <w:jc w:val="right"/>
              <w:rPr>
                <w:rFonts w:ascii="Calibri" w:hAnsi="Calibri" w:cs="Calibri"/>
                <w:color w:val="000000"/>
                <w:sz w:val="22"/>
                <w:szCs w:val="22"/>
              </w:rPr>
            </w:pPr>
            <w:r>
              <w:rPr>
                <w:rFonts w:ascii="Calibri" w:hAnsi="Calibri" w:cs="Calibri"/>
                <w:color w:val="000000"/>
                <w:sz w:val="22"/>
                <w:szCs w:val="22"/>
              </w:rPr>
              <w:t>8,35%</w:t>
            </w:r>
          </w:p>
        </w:tc>
      </w:tr>
      <w:tr w:rsidR="00233022" w14:paraId="3B395330" w14:textId="77777777" w:rsidTr="005D4934">
        <w:trPr>
          <w:trHeight w:val="288"/>
        </w:trPr>
        <w:tc>
          <w:tcPr>
            <w:tcW w:w="940" w:type="dxa"/>
            <w:tcBorders>
              <w:top w:val="nil"/>
              <w:bottom w:val="nil"/>
              <w:right w:val="nil"/>
            </w:tcBorders>
            <w:shd w:val="clear" w:color="auto" w:fill="auto"/>
            <w:noWrap/>
            <w:vAlign w:val="bottom"/>
            <w:hideMark/>
          </w:tcPr>
          <w:p w14:paraId="3D40256D"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2017</w:t>
            </w:r>
          </w:p>
        </w:tc>
        <w:tc>
          <w:tcPr>
            <w:tcW w:w="2360" w:type="dxa"/>
            <w:tcBorders>
              <w:top w:val="nil"/>
              <w:left w:val="nil"/>
              <w:bottom w:val="nil"/>
              <w:right w:val="nil"/>
            </w:tcBorders>
            <w:shd w:val="clear" w:color="auto" w:fill="auto"/>
            <w:noWrap/>
            <w:vAlign w:val="bottom"/>
            <w:hideMark/>
          </w:tcPr>
          <w:p w14:paraId="60E88AC8"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13.771.871,76</w:t>
            </w:r>
          </w:p>
        </w:tc>
        <w:tc>
          <w:tcPr>
            <w:tcW w:w="2560" w:type="dxa"/>
            <w:tcBorders>
              <w:top w:val="nil"/>
              <w:left w:val="nil"/>
              <w:bottom w:val="nil"/>
              <w:right w:val="nil"/>
            </w:tcBorders>
            <w:shd w:val="clear" w:color="auto" w:fill="auto"/>
            <w:noWrap/>
            <w:vAlign w:val="bottom"/>
            <w:hideMark/>
          </w:tcPr>
          <w:p w14:paraId="5420FFBC"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499.526.032,94</w:t>
            </w:r>
          </w:p>
        </w:tc>
        <w:tc>
          <w:tcPr>
            <w:tcW w:w="1740" w:type="dxa"/>
            <w:tcBorders>
              <w:top w:val="nil"/>
              <w:left w:val="nil"/>
              <w:bottom w:val="nil"/>
            </w:tcBorders>
            <w:shd w:val="clear" w:color="auto" w:fill="auto"/>
            <w:noWrap/>
            <w:vAlign w:val="bottom"/>
            <w:hideMark/>
          </w:tcPr>
          <w:p w14:paraId="10FFAA6A" w14:textId="77777777" w:rsidR="00233022" w:rsidRDefault="00233022" w:rsidP="00E50B68">
            <w:pPr>
              <w:ind w:right="237"/>
              <w:jc w:val="right"/>
              <w:rPr>
                <w:rFonts w:ascii="Calibri" w:hAnsi="Calibri" w:cs="Calibri"/>
                <w:color w:val="000000"/>
                <w:sz w:val="22"/>
                <w:szCs w:val="22"/>
              </w:rPr>
            </w:pPr>
            <w:r>
              <w:rPr>
                <w:rFonts w:ascii="Calibri" w:hAnsi="Calibri" w:cs="Calibri"/>
                <w:color w:val="000000"/>
                <w:sz w:val="22"/>
                <w:szCs w:val="22"/>
              </w:rPr>
              <w:t>2,76%</w:t>
            </w:r>
          </w:p>
        </w:tc>
      </w:tr>
      <w:tr w:rsidR="00233022" w14:paraId="7DC6BF49" w14:textId="77777777" w:rsidTr="005D4934">
        <w:trPr>
          <w:trHeight w:val="288"/>
        </w:trPr>
        <w:tc>
          <w:tcPr>
            <w:tcW w:w="940" w:type="dxa"/>
            <w:tcBorders>
              <w:top w:val="nil"/>
              <w:bottom w:val="nil"/>
              <w:right w:val="nil"/>
            </w:tcBorders>
            <w:shd w:val="clear" w:color="auto" w:fill="auto"/>
            <w:noWrap/>
            <w:vAlign w:val="bottom"/>
            <w:hideMark/>
          </w:tcPr>
          <w:p w14:paraId="2139387F"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2018</w:t>
            </w:r>
          </w:p>
        </w:tc>
        <w:tc>
          <w:tcPr>
            <w:tcW w:w="2360" w:type="dxa"/>
            <w:tcBorders>
              <w:top w:val="nil"/>
              <w:left w:val="nil"/>
              <w:bottom w:val="nil"/>
              <w:right w:val="nil"/>
            </w:tcBorders>
            <w:shd w:val="clear" w:color="auto" w:fill="auto"/>
            <w:noWrap/>
            <w:vAlign w:val="bottom"/>
            <w:hideMark/>
          </w:tcPr>
          <w:p w14:paraId="2B3934BB"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33.155.895,22</w:t>
            </w:r>
          </w:p>
        </w:tc>
        <w:tc>
          <w:tcPr>
            <w:tcW w:w="2560" w:type="dxa"/>
            <w:tcBorders>
              <w:top w:val="nil"/>
              <w:left w:val="nil"/>
              <w:bottom w:val="nil"/>
              <w:right w:val="nil"/>
            </w:tcBorders>
            <w:shd w:val="clear" w:color="auto" w:fill="auto"/>
            <w:noWrap/>
            <w:vAlign w:val="bottom"/>
            <w:hideMark/>
          </w:tcPr>
          <w:p w14:paraId="4CA8C68B"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503.743.297,62</w:t>
            </w:r>
          </w:p>
        </w:tc>
        <w:tc>
          <w:tcPr>
            <w:tcW w:w="1740" w:type="dxa"/>
            <w:tcBorders>
              <w:top w:val="nil"/>
              <w:left w:val="nil"/>
              <w:bottom w:val="nil"/>
            </w:tcBorders>
            <w:shd w:val="clear" w:color="auto" w:fill="auto"/>
            <w:noWrap/>
            <w:vAlign w:val="bottom"/>
            <w:hideMark/>
          </w:tcPr>
          <w:p w14:paraId="01D5AFD2" w14:textId="77777777" w:rsidR="00233022" w:rsidRDefault="00233022" w:rsidP="00E50B68">
            <w:pPr>
              <w:ind w:right="237"/>
              <w:jc w:val="right"/>
              <w:rPr>
                <w:rFonts w:ascii="Calibri" w:hAnsi="Calibri" w:cs="Calibri"/>
                <w:color w:val="000000"/>
                <w:sz w:val="22"/>
                <w:szCs w:val="22"/>
              </w:rPr>
            </w:pPr>
            <w:r>
              <w:rPr>
                <w:rFonts w:ascii="Calibri" w:hAnsi="Calibri" w:cs="Calibri"/>
                <w:color w:val="000000"/>
                <w:sz w:val="22"/>
                <w:szCs w:val="22"/>
              </w:rPr>
              <w:t>6,58%</w:t>
            </w:r>
          </w:p>
        </w:tc>
      </w:tr>
      <w:tr w:rsidR="00233022" w14:paraId="1F0042CC" w14:textId="77777777" w:rsidTr="005D4934">
        <w:trPr>
          <w:trHeight w:val="288"/>
        </w:trPr>
        <w:tc>
          <w:tcPr>
            <w:tcW w:w="940" w:type="dxa"/>
            <w:tcBorders>
              <w:top w:val="nil"/>
              <w:bottom w:val="nil"/>
              <w:right w:val="nil"/>
            </w:tcBorders>
            <w:shd w:val="clear" w:color="auto" w:fill="auto"/>
            <w:noWrap/>
            <w:vAlign w:val="bottom"/>
            <w:hideMark/>
          </w:tcPr>
          <w:p w14:paraId="4CA555F9"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2019</w:t>
            </w:r>
          </w:p>
        </w:tc>
        <w:tc>
          <w:tcPr>
            <w:tcW w:w="2360" w:type="dxa"/>
            <w:tcBorders>
              <w:top w:val="nil"/>
              <w:left w:val="nil"/>
              <w:bottom w:val="nil"/>
              <w:right w:val="nil"/>
            </w:tcBorders>
            <w:shd w:val="clear" w:color="auto" w:fill="auto"/>
            <w:noWrap/>
            <w:vAlign w:val="bottom"/>
            <w:hideMark/>
          </w:tcPr>
          <w:p w14:paraId="7DE00500"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16.149.625,56</w:t>
            </w:r>
          </w:p>
        </w:tc>
        <w:tc>
          <w:tcPr>
            <w:tcW w:w="2560" w:type="dxa"/>
            <w:tcBorders>
              <w:top w:val="nil"/>
              <w:left w:val="nil"/>
              <w:bottom w:val="nil"/>
              <w:right w:val="nil"/>
            </w:tcBorders>
            <w:shd w:val="clear" w:color="auto" w:fill="auto"/>
            <w:noWrap/>
            <w:vAlign w:val="bottom"/>
            <w:hideMark/>
          </w:tcPr>
          <w:p w14:paraId="162CBF26"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552.115.888,03</w:t>
            </w:r>
          </w:p>
        </w:tc>
        <w:tc>
          <w:tcPr>
            <w:tcW w:w="1740" w:type="dxa"/>
            <w:tcBorders>
              <w:top w:val="nil"/>
              <w:left w:val="nil"/>
              <w:bottom w:val="nil"/>
            </w:tcBorders>
            <w:shd w:val="clear" w:color="auto" w:fill="auto"/>
            <w:noWrap/>
            <w:vAlign w:val="bottom"/>
            <w:hideMark/>
          </w:tcPr>
          <w:p w14:paraId="4DADC8E1" w14:textId="77777777" w:rsidR="00233022" w:rsidRDefault="00233022" w:rsidP="00E50B68">
            <w:pPr>
              <w:ind w:right="237"/>
              <w:jc w:val="right"/>
              <w:rPr>
                <w:rFonts w:ascii="Calibri" w:hAnsi="Calibri" w:cs="Calibri"/>
                <w:color w:val="000000"/>
                <w:sz w:val="22"/>
                <w:szCs w:val="22"/>
              </w:rPr>
            </w:pPr>
            <w:r>
              <w:rPr>
                <w:rFonts w:ascii="Calibri" w:hAnsi="Calibri" w:cs="Calibri"/>
                <w:color w:val="000000"/>
                <w:sz w:val="22"/>
                <w:szCs w:val="22"/>
              </w:rPr>
              <w:t>2,93%</w:t>
            </w:r>
          </w:p>
        </w:tc>
      </w:tr>
      <w:tr w:rsidR="00233022" w14:paraId="3A941883" w14:textId="77777777" w:rsidTr="005D4934">
        <w:trPr>
          <w:trHeight w:val="288"/>
        </w:trPr>
        <w:tc>
          <w:tcPr>
            <w:tcW w:w="940" w:type="dxa"/>
            <w:tcBorders>
              <w:top w:val="nil"/>
              <w:bottom w:val="nil"/>
              <w:right w:val="nil"/>
            </w:tcBorders>
            <w:shd w:val="clear" w:color="auto" w:fill="auto"/>
            <w:noWrap/>
            <w:vAlign w:val="bottom"/>
            <w:hideMark/>
          </w:tcPr>
          <w:p w14:paraId="680F4487"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2020</w:t>
            </w:r>
          </w:p>
        </w:tc>
        <w:tc>
          <w:tcPr>
            <w:tcW w:w="2360" w:type="dxa"/>
            <w:tcBorders>
              <w:top w:val="nil"/>
              <w:left w:val="nil"/>
              <w:bottom w:val="nil"/>
              <w:right w:val="nil"/>
            </w:tcBorders>
            <w:shd w:val="clear" w:color="auto" w:fill="auto"/>
            <w:noWrap/>
            <w:vAlign w:val="bottom"/>
            <w:hideMark/>
          </w:tcPr>
          <w:p w14:paraId="2CC4E6A1"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22.775.021,82</w:t>
            </w:r>
          </w:p>
        </w:tc>
        <w:tc>
          <w:tcPr>
            <w:tcW w:w="2560" w:type="dxa"/>
            <w:tcBorders>
              <w:top w:val="nil"/>
              <w:left w:val="nil"/>
              <w:bottom w:val="nil"/>
              <w:right w:val="nil"/>
            </w:tcBorders>
            <w:shd w:val="clear" w:color="auto" w:fill="auto"/>
            <w:noWrap/>
            <w:vAlign w:val="bottom"/>
            <w:hideMark/>
          </w:tcPr>
          <w:p w14:paraId="18D0846F"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576.656.607,68</w:t>
            </w:r>
          </w:p>
        </w:tc>
        <w:tc>
          <w:tcPr>
            <w:tcW w:w="1740" w:type="dxa"/>
            <w:tcBorders>
              <w:top w:val="nil"/>
              <w:left w:val="nil"/>
              <w:bottom w:val="nil"/>
            </w:tcBorders>
            <w:shd w:val="clear" w:color="auto" w:fill="auto"/>
            <w:noWrap/>
            <w:vAlign w:val="bottom"/>
            <w:hideMark/>
          </w:tcPr>
          <w:p w14:paraId="127556EA" w14:textId="77777777" w:rsidR="00233022" w:rsidRDefault="00233022" w:rsidP="00E50B68">
            <w:pPr>
              <w:ind w:right="237"/>
              <w:jc w:val="right"/>
              <w:rPr>
                <w:rFonts w:ascii="Calibri" w:hAnsi="Calibri" w:cs="Calibri"/>
                <w:color w:val="000000"/>
                <w:sz w:val="22"/>
                <w:szCs w:val="22"/>
              </w:rPr>
            </w:pPr>
            <w:r>
              <w:rPr>
                <w:rFonts w:ascii="Calibri" w:hAnsi="Calibri" w:cs="Calibri"/>
                <w:color w:val="000000"/>
                <w:sz w:val="22"/>
                <w:szCs w:val="22"/>
              </w:rPr>
              <w:t>3,95%</w:t>
            </w:r>
          </w:p>
        </w:tc>
      </w:tr>
      <w:tr w:rsidR="00233022" w14:paraId="1BEE284C" w14:textId="77777777" w:rsidTr="005D4934">
        <w:trPr>
          <w:trHeight w:val="288"/>
        </w:trPr>
        <w:tc>
          <w:tcPr>
            <w:tcW w:w="940" w:type="dxa"/>
            <w:tcBorders>
              <w:top w:val="nil"/>
              <w:bottom w:val="nil"/>
              <w:right w:val="nil"/>
            </w:tcBorders>
            <w:shd w:val="clear" w:color="auto" w:fill="auto"/>
            <w:noWrap/>
            <w:vAlign w:val="bottom"/>
            <w:hideMark/>
          </w:tcPr>
          <w:p w14:paraId="5E7D3AB2"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2021</w:t>
            </w:r>
          </w:p>
        </w:tc>
        <w:tc>
          <w:tcPr>
            <w:tcW w:w="2360" w:type="dxa"/>
            <w:tcBorders>
              <w:top w:val="nil"/>
              <w:left w:val="nil"/>
              <w:bottom w:val="nil"/>
              <w:right w:val="nil"/>
            </w:tcBorders>
            <w:shd w:val="clear" w:color="auto" w:fill="auto"/>
            <w:noWrap/>
            <w:vAlign w:val="bottom"/>
            <w:hideMark/>
          </w:tcPr>
          <w:p w14:paraId="0541A818"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11.980.227,08</w:t>
            </w:r>
          </w:p>
        </w:tc>
        <w:tc>
          <w:tcPr>
            <w:tcW w:w="2560" w:type="dxa"/>
            <w:tcBorders>
              <w:top w:val="nil"/>
              <w:left w:val="nil"/>
              <w:bottom w:val="nil"/>
              <w:right w:val="nil"/>
            </w:tcBorders>
            <w:shd w:val="clear" w:color="auto" w:fill="auto"/>
            <w:noWrap/>
            <w:vAlign w:val="bottom"/>
            <w:hideMark/>
          </w:tcPr>
          <w:p w14:paraId="42DA43A3"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627.430.225,18</w:t>
            </w:r>
          </w:p>
        </w:tc>
        <w:tc>
          <w:tcPr>
            <w:tcW w:w="1740" w:type="dxa"/>
            <w:tcBorders>
              <w:top w:val="nil"/>
              <w:left w:val="nil"/>
              <w:bottom w:val="nil"/>
            </w:tcBorders>
            <w:shd w:val="clear" w:color="auto" w:fill="auto"/>
            <w:noWrap/>
            <w:vAlign w:val="bottom"/>
            <w:hideMark/>
          </w:tcPr>
          <w:p w14:paraId="4A61906B" w14:textId="77777777" w:rsidR="00233022" w:rsidRDefault="00233022" w:rsidP="00E50B68">
            <w:pPr>
              <w:ind w:right="237"/>
              <w:jc w:val="right"/>
              <w:rPr>
                <w:rFonts w:ascii="Calibri" w:hAnsi="Calibri" w:cs="Calibri"/>
                <w:color w:val="000000"/>
                <w:sz w:val="22"/>
                <w:szCs w:val="22"/>
              </w:rPr>
            </w:pPr>
            <w:r>
              <w:rPr>
                <w:rFonts w:ascii="Calibri" w:hAnsi="Calibri" w:cs="Calibri"/>
                <w:color w:val="000000"/>
                <w:sz w:val="22"/>
                <w:szCs w:val="22"/>
              </w:rPr>
              <w:t>1,91%</w:t>
            </w:r>
          </w:p>
        </w:tc>
      </w:tr>
      <w:tr w:rsidR="00233022" w14:paraId="044C3B82" w14:textId="77777777" w:rsidTr="005D4934">
        <w:trPr>
          <w:trHeight w:val="288"/>
        </w:trPr>
        <w:tc>
          <w:tcPr>
            <w:tcW w:w="940" w:type="dxa"/>
            <w:tcBorders>
              <w:top w:val="nil"/>
              <w:bottom w:val="nil"/>
              <w:right w:val="nil"/>
            </w:tcBorders>
            <w:shd w:val="clear" w:color="auto" w:fill="auto"/>
            <w:noWrap/>
            <w:vAlign w:val="bottom"/>
            <w:hideMark/>
          </w:tcPr>
          <w:p w14:paraId="1A8CB3C5"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2022</w:t>
            </w:r>
          </w:p>
        </w:tc>
        <w:tc>
          <w:tcPr>
            <w:tcW w:w="2360" w:type="dxa"/>
            <w:tcBorders>
              <w:top w:val="nil"/>
              <w:left w:val="nil"/>
              <w:bottom w:val="nil"/>
              <w:right w:val="nil"/>
            </w:tcBorders>
            <w:shd w:val="clear" w:color="auto" w:fill="auto"/>
            <w:noWrap/>
            <w:vAlign w:val="bottom"/>
            <w:hideMark/>
          </w:tcPr>
          <w:p w14:paraId="22D93CF9"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15.242.542,37</w:t>
            </w:r>
          </w:p>
        </w:tc>
        <w:tc>
          <w:tcPr>
            <w:tcW w:w="2560" w:type="dxa"/>
            <w:tcBorders>
              <w:top w:val="nil"/>
              <w:left w:val="nil"/>
              <w:bottom w:val="nil"/>
              <w:right w:val="nil"/>
            </w:tcBorders>
            <w:shd w:val="clear" w:color="auto" w:fill="auto"/>
            <w:noWrap/>
            <w:vAlign w:val="bottom"/>
            <w:hideMark/>
          </w:tcPr>
          <w:p w14:paraId="0304DCF9"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640.366.693,50</w:t>
            </w:r>
          </w:p>
        </w:tc>
        <w:tc>
          <w:tcPr>
            <w:tcW w:w="1740" w:type="dxa"/>
            <w:tcBorders>
              <w:top w:val="nil"/>
              <w:left w:val="nil"/>
              <w:bottom w:val="nil"/>
            </w:tcBorders>
            <w:shd w:val="clear" w:color="auto" w:fill="auto"/>
            <w:noWrap/>
            <w:vAlign w:val="bottom"/>
            <w:hideMark/>
          </w:tcPr>
          <w:p w14:paraId="6C9DFEFE" w14:textId="77777777" w:rsidR="00233022" w:rsidRDefault="00233022" w:rsidP="00E50B68">
            <w:pPr>
              <w:ind w:right="237"/>
              <w:jc w:val="right"/>
              <w:rPr>
                <w:rFonts w:ascii="Calibri" w:hAnsi="Calibri" w:cs="Calibri"/>
                <w:color w:val="000000"/>
                <w:sz w:val="22"/>
                <w:szCs w:val="22"/>
              </w:rPr>
            </w:pPr>
            <w:r>
              <w:rPr>
                <w:rFonts w:ascii="Calibri" w:hAnsi="Calibri" w:cs="Calibri"/>
                <w:color w:val="000000"/>
                <w:sz w:val="22"/>
                <w:szCs w:val="22"/>
              </w:rPr>
              <w:t>2,38%</w:t>
            </w:r>
          </w:p>
        </w:tc>
      </w:tr>
      <w:tr w:rsidR="00233022" w14:paraId="4B89CBEA" w14:textId="77777777" w:rsidTr="005D4934">
        <w:trPr>
          <w:trHeight w:val="288"/>
        </w:trPr>
        <w:tc>
          <w:tcPr>
            <w:tcW w:w="940" w:type="dxa"/>
            <w:tcBorders>
              <w:top w:val="nil"/>
              <w:bottom w:val="nil"/>
              <w:right w:val="nil"/>
            </w:tcBorders>
            <w:shd w:val="clear" w:color="auto" w:fill="auto"/>
            <w:noWrap/>
            <w:vAlign w:val="bottom"/>
            <w:hideMark/>
          </w:tcPr>
          <w:p w14:paraId="7B939D8D" w14:textId="77777777" w:rsidR="00233022" w:rsidRDefault="00233022" w:rsidP="006E13B2">
            <w:pPr>
              <w:jc w:val="right"/>
              <w:rPr>
                <w:rFonts w:ascii="Calibri" w:hAnsi="Calibri" w:cs="Calibri"/>
                <w:color w:val="000000"/>
                <w:sz w:val="22"/>
                <w:szCs w:val="22"/>
              </w:rPr>
            </w:pPr>
          </w:p>
        </w:tc>
        <w:tc>
          <w:tcPr>
            <w:tcW w:w="2360" w:type="dxa"/>
            <w:tcBorders>
              <w:top w:val="nil"/>
              <w:left w:val="nil"/>
              <w:bottom w:val="nil"/>
              <w:right w:val="nil"/>
            </w:tcBorders>
            <w:shd w:val="clear" w:color="auto" w:fill="auto"/>
            <w:noWrap/>
            <w:vAlign w:val="bottom"/>
            <w:hideMark/>
          </w:tcPr>
          <w:p w14:paraId="69101452" w14:textId="77777777" w:rsidR="00233022" w:rsidRDefault="00233022" w:rsidP="006E13B2">
            <w:pPr>
              <w:rPr>
                <w:sz w:val="20"/>
                <w:szCs w:val="20"/>
              </w:rPr>
            </w:pPr>
          </w:p>
        </w:tc>
        <w:tc>
          <w:tcPr>
            <w:tcW w:w="2560" w:type="dxa"/>
            <w:tcBorders>
              <w:top w:val="nil"/>
              <w:left w:val="nil"/>
              <w:bottom w:val="nil"/>
              <w:right w:val="nil"/>
            </w:tcBorders>
            <w:shd w:val="clear" w:color="auto" w:fill="auto"/>
            <w:noWrap/>
            <w:vAlign w:val="bottom"/>
            <w:hideMark/>
          </w:tcPr>
          <w:p w14:paraId="28E86F6C" w14:textId="77777777" w:rsidR="00233022" w:rsidRDefault="00233022" w:rsidP="006E13B2">
            <w:pPr>
              <w:rPr>
                <w:sz w:val="20"/>
                <w:szCs w:val="20"/>
              </w:rPr>
            </w:pPr>
          </w:p>
        </w:tc>
        <w:tc>
          <w:tcPr>
            <w:tcW w:w="1740" w:type="dxa"/>
            <w:tcBorders>
              <w:top w:val="nil"/>
              <w:left w:val="nil"/>
              <w:bottom w:val="nil"/>
            </w:tcBorders>
            <w:shd w:val="clear" w:color="auto" w:fill="auto"/>
            <w:noWrap/>
            <w:vAlign w:val="bottom"/>
            <w:hideMark/>
          </w:tcPr>
          <w:p w14:paraId="78074FB5" w14:textId="77777777" w:rsidR="00233022" w:rsidRDefault="00233022" w:rsidP="00E50B68">
            <w:pPr>
              <w:ind w:right="237"/>
              <w:rPr>
                <w:sz w:val="20"/>
                <w:szCs w:val="20"/>
              </w:rPr>
            </w:pPr>
          </w:p>
        </w:tc>
      </w:tr>
      <w:tr w:rsidR="00233022" w14:paraId="0DA1A331" w14:textId="77777777" w:rsidTr="005D4934">
        <w:trPr>
          <w:trHeight w:val="288"/>
        </w:trPr>
        <w:tc>
          <w:tcPr>
            <w:tcW w:w="940" w:type="dxa"/>
            <w:tcBorders>
              <w:top w:val="nil"/>
              <w:right w:val="nil"/>
            </w:tcBorders>
            <w:shd w:val="clear" w:color="auto" w:fill="auto"/>
            <w:noWrap/>
            <w:vAlign w:val="bottom"/>
            <w:hideMark/>
          </w:tcPr>
          <w:p w14:paraId="00609EE9" w14:textId="77777777" w:rsidR="00233022" w:rsidRDefault="00233022" w:rsidP="006E13B2">
            <w:pPr>
              <w:rPr>
                <w:sz w:val="20"/>
                <w:szCs w:val="20"/>
              </w:rPr>
            </w:pPr>
          </w:p>
        </w:tc>
        <w:tc>
          <w:tcPr>
            <w:tcW w:w="2360" w:type="dxa"/>
            <w:tcBorders>
              <w:top w:val="nil"/>
              <w:left w:val="nil"/>
              <w:right w:val="nil"/>
            </w:tcBorders>
            <w:shd w:val="clear" w:color="auto" w:fill="auto"/>
            <w:noWrap/>
            <w:vAlign w:val="bottom"/>
            <w:hideMark/>
          </w:tcPr>
          <w:p w14:paraId="15BD0E63" w14:textId="77777777" w:rsidR="00233022" w:rsidRDefault="00233022" w:rsidP="006E13B2">
            <w:pPr>
              <w:jc w:val="right"/>
              <w:rPr>
                <w:rFonts w:ascii="Calibri" w:hAnsi="Calibri" w:cs="Calibri"/>
                <w:color w:val="000000"/>
                <w:sz w:val="22"/>
                <w:szCs w:val="22"/>
              </w:rPr>
            </w:pPr>
            <w:r>
              <w:rPr>
                <w:rFonts w:ascii="Calibri" w:hAnsi="Calibri" w:cs="Calibri"/>
                <w:color w:val="000000"/>
                <w:sz w:val="22"/>
                <w:szCs w:val="22"/>
              </w:rPr>
              <w:t>153.785.233,49</w:t>
            </w:r>
          </w:p>
        </w:tc>
        <w:tc>
          <w:tcPr>
            <w:tcW w:w="2560" w:type="dxa"/>
            <w:tcBorders>
              <w:top w:val="nil"/>
              <w:left w:val="nil"/>
              <w:right w:val="nil"/>
            </w:tcBorders>
            <w:shd w:val="clear" w:color="auto" w:fill="auto"/>
            <w:noWrap/>
            <w:vAlign w:val="bottom"/>
            <w:hideMark/>
          </w:tcPr>
          <w:p w14:paraId="10DDB938" w14:textId="77777777" w:rsidR="00233022" w:rsidRDefault="00233022" w:rsidP="006E13B2">
            <w:pPr>
              <w:jc w:val="right"/>
              <w:rPr>
                <w:rFonts w:ascii="Calibri" w:hAnsi="Calibri" w:cs="Calibri"/>
                <w:color w:val="000000"/>
                <w:sz w:val="22"/>
                <w:szCs w:val="22"/>
              </w:rPr>
            </w:pPr>
          </w:p>
        </w:tc>
        <w:tc>
          <w:tcPr>
            <w:tcW w:w="1740" w:type="dxa"/>
            <w:tcBorders>
              <w:top w:val="nil"/>
              <w:left w:val="nil"/>
            </w:tcBorders>
            <w:shd w:val="clear" w:color="auto" w:fill="auto"/>
            <w:noWrap/>
            <w:vAlign w:val="bottom"/>
            <w:hideMark/>
          </w:tcPr>
          <w:p w14:paraId="2517659B" w14:textId="77777777" w:rsidR="00233022" w:rsidRDefault="00233022" w:rsidP="00E50B68">
            <w:pPr>
              <w:ind w:right="237"/>
              <w:rPr>
                <w:sz w:val="20"/>
                <w:szCs w:val="20"/>
              </w:rPr>
            </w:pPr>
          </w:p>
        </w:tc>
      </w:tr>
      <w:tr w:rsidR="00233022" w14:paraId="4155A1AF" w14:textId="77777777" w:rsidTr="005D4934">
        <w:trPr>
          <w:trHeight w:val="288"/>
        </w:trPr>
        <w:tc>
          <w:tcPr>
            <w:tcW w:w="940" w:type="dxa"/>
            <w:tcBorders>
              <w:top w:val="nil"/>
              <w:right w:val="nil"/>
            </w:tcBorders>
            <w:shd w:val="clear" w:color="auto" w:fill="auto"/>
            <w:noWrap/>
            <w:vAlign w:val="bottom"/>
            <w:hideMark/>
          </w:tcPr>
          <w:p w14:paraId="0CFE371E" w14:textId="77777777" w:rsidR="00233022" w:rsidRDefault="00233022" w:rsidP="006E13B2">
            <w:pPr>
              <w:rPr>
                <w:sz w:val="20"/>
                <w:szCs w:val="20"/>
              </w:rPr>
            </w:pPr>
          </w:p>
        </w:tc>
        <w:tc>
          <w:tcPr>
            <w:tcW w:w="2360" w:type="dxa"/>
            <w:tcBorders>
              <w:top w:val="nil"/>
              <w:left w:val="nil"/>
              <w:right w:val="nil"/>
            </w:tcBorders>
            <w:shd w:val="clear" w:color="auto" w:fill="auto"/>
            <w:noWrap/>
            <w:vAlign w:val="bottom"/>
            <w:hideMark/>
          </w:tcPr>
          <w:p w14:paraId="0F9522BD" w14:textId="77777777" w:rsidR="00233022" w:rsidRDefault="00233022" w:rsidP="006E13B2">
            <w:pPr>
              <w:rPr>
                <w:sz w:val="20"/>
                <w:szCs w:val="20"/>
              </w:rPr>
            </w:pPr>
          </w:p>
        </w:tc>
        <w:tc>
          <w:tcPr>
            <w:tcW w:w="2560" w:type="dxa"/>
            <w:tcBorders>
              <w:top w:val="nil"/>
              <w:left w:val="nil"/>
              <w:right w:val="nil"/>
            </w:tcBorders>
            <w:shd w:val="clear" w:color="auto" w:fill="auto"/>
            <w:noWrap/>
            <w:vAlign w:val="bottom"/>
            <w:hideMark/>
          </w:tcPr>
          <w:p w14:paraId="67625FE9" w14:textId="77777777" w:rsidR="00233022" w:rsidRDefault="00233022" w:rsidP="006E13B2">
            <w:pPr>
              <w:rPr>
                <w:sz w:val="20"/>
                <w:szCs w:val="20"/>
              </w:rPr>
            </w:pPr>
          </w:p>
        </w:tc>
        <w:tc>
          <w:tcPr>
            <w:tcW w:w="1740" w:type="dxa"/>
            <w:tcBorders>
              <w:top w:val="nil"/>
              <w:left w:val="nil"/>
            </w:tcBorders>
            <w:shd w:val="clear" w:color="auto" w:fill="auto"/>
            <w:noWrap/>
            <w:vAlign w:val="bottom"/>
            <w:hideMark/>
          </w:tcPr>
          <w:p w14:paraId="440650C6" w14:textId="77777777" w:rsidR="00233022" w:rsidRDefault="00233022" w:rsidP="00E50B68">
            <w:pPr>
              <w:ind w:right="237"/>
              <w:rPr>
                <w:sz w:val="20"/>
                <w:szCs w:val="20"/>
              </w:rPr>
            </w:pPr>
          </w:p>
        </w:tc>
      </w:tr>
      <w:tr w:rsidR="00233022" w14:paraId="2D69A857" w14:textId="77777777" w:rsidTr="005D4934">
        <w:trPr>
          <w:trHeight w:val="288"/>
        </w:trPr>
        <w:tc>
          <w:tcPr>
            <w:tcW w:w="7600" w:type="dxa"/>
            <w:gridSpan w:val="4"/>
            <w:shd w:val="clear" w:color="auto" w:fill="auto"/>
            <w:noWrap/>
            <w:vAlign w:val="bottom"/>
            <w:hideMark/>
          </w:tcPr>
          <w:p w14:paraId="541B110B" w14:textId="77777777" w:rsidR="00233022" w:rsidRDefault="00233022" w:rsidP="00E50B68">
            <w:pPr>
              <w:ind w:right="237"/>
              <w:rPr>
                <w:rFonts w:ascii="Calibri" w:hAnsi="Calibri" w:cs="Calibri"/>
                <w:color w:val="000000"/>
                <w:sz w:val="22"/>
                <w:szCs w:val="22"/>
              </w:rPr>
            </w:pPr>
            <w:r>
              <w:rPr>
                <w:rFonts w:ascii="Calibri" w:hAnsi="Calibri" w:cs="Calibri"/>
                <w:color w:val="000000"/>
                <w:sz w:val="22"/>
                <w:szCs w:val="22"/>
              </w:rPr>
              <w:t>(*) Datos obtenidos de las Cuentas Generales de Navarra de cada ejercicio</w:t>
            </w:r>
          </w:p>
        </w:tc>
      </w:tr>
      <w:bookmarkEnd w:id="2"/>
    </w:tbl>
    <w:p w14:paraId="25206FE9" w14:textId="77777777" w:rsidR="00737ED5" w:rsidRDefault="00737ED5" w:rsidP="00233022">
      <w:pPr>
        <w:jc w:val="both"/>
        <w:rPr>
          <w:rFonts w:ascii="Calibri" w:hAnsi="Calibri" w:cs="Calibri"/>
          <w:b/>
          <w:sz w:val="23"/>
          <w:szCs w:val="23"/>
        </w:rPr>
      </w:pPr>
    </w:p>
    <w:p w14:paraId="7BF0423C" w14:textId="77777777" w:rsidR="00737ED5" w:rsidRDefault="00233022" w:rsidP="00233022">
      <w:pPr>
        <w:numPr>
          <w:ilvl w:val="0"/>
          <w:numId w:val="9"/>
        </w:numPr>
        <w:tabs>
          <w:tab w:val="num" w:pos="360"/>
        </w:tabs>
        <w:ind w:left="360"/>
        <w:jc w:val="both"/>
        <w:rPr>
          <w:rFonts w:ascii="Calibri" w:hAnsi="Calibri" w:cs="Calibri"/>
          <w:b/>
          <w:sz w:val="23"/>
          <w:szCs w:val="23"/>
        </w:rPr>
      </w:pPr>
      <w:bookmarkStart w:id="3" w:name="_Hlk154495092"/>
      <w:r w:rsidRPr="003C41ED">
        <w:rPr>
          <w:rFonts w:ascii="Calibri" w:hAnsi="Calibri" w:cs="Calibri"/>
          <w:b/>
          <w:sz w:val="23"/>
          <w:szCs w:val="23"/>
        </w:rPr>
        <w:t>¿Qué deuda, por cada uno de los ejercicios, ha sido declarada incobrable?</w:t>
      </w:r>
    </w:p>
    <w:p w14:paraId="20C3504A" w14:textId="77777777" w:rsidR="00737ED5" w:rsidRDefault="00233022" w:rsidP="00233022">
      <w:pPr>
        <w:numPr>
          <w:ilvl w:val="0"/>
          <w:numId w:val="9"/>
        </w:numPr>
        <w:tabs>
          <w:tab w:val="num" w:pos="360"/>
        </w:tabs>
        <w:ind w:left="360"/>
        <w:jc w:val="both"/>
        <w:rPr>
          <w:rFonts w:ascii="Calibri" w:hAnsi="Calibri" w:cs="Calibri"/>
          <w:b/>
          <w:sz w:val="23"/>
          <w:szCs w:val="23"/>
        </w:rPr>
      </w:pPr>
      <w:r w:rsidRPr="003C41ED">
        <w:rPr>
          <w:rFonts w:ascii="Calibri" w:hAnsi="Calibri" w:cs="Calibri"/>
          <w:b/>
          <w:sz w:val="23"/>
          <w:szCs w:val="23"/>
        </w:rPr>
        <w:t>¿Cuántas declaraciones de fallidos se declararon durante esos ejercicios y qué importe de deuda suponían?</w:t>
      </w:r>
    </w:p>
    <w:p w14:paraId="17302112" w14:textId="77777777" w:rsidR="00737ED5" w:rsidRPr="00D65CA7" w:rsidRDefault="00233022" w:rsidP="00233022">
      <w:pPr>
        <w:ind w:left="360"/>
        <w:jc w:val="both"/>
        <w:rPr>
          <w:rFonts w:ascii="Calibri" w:hAnsi="Calibri" w:cs="Calibri"/>
          <w:sz w:val="23"/>
          <w:szCs w:val="23"/>
        </w:rPr>
      </w:pPr>
      <w:r w:rsidRPr="006F0E12">
        <w:rPr>
          <w:rFonts w:ascii="Calibri" w:hAnsi="Calibri" w:cs="Calibri"/>
          <w:sz w:val="23"/>
          <w:szCs w:val="23"/>
        </w:rPr>
        <w:t xml:space="preserve">A continuación se ofrecen los datos correspondientes a las preguntas </w:t>
      </w:r>
      <w:r>
        <w:rPr>
          <w:rFonts w:ascii="Calibri" w:hAnsi="Calibri" w:cs="Calibri"/>
          <w:sz w:val="23"/>
          <w:szCs w:val="23"/>
        </w:rPr>
        <w:t>11</w:t>
      </w:r>
      <w:r w:rsidRPr="006F0E12">
        <w:rPr>
          <w:rFonts w:ascii="Calibri" w:hAnsi="Calibri" w:cs="Calibri"/>
          <w:sz w:val="23"/>
          <w:szCs w:val="23"/>
        </w:rPr>
        <w:t xml:space="preserve"> y</w:t>
      </w:r>
      <w:r>
        <w:rPr>
          <w:rFonts w:ascii="Calibri" w:hAnsi="Calibri" w:cs="Calibri"/>
          <w:sz w:val="23"/>
          <w:szCs w:val="23"/>
        </w:rPr>
        <w:t xml:space="preserve"> 12.</w:t>
      </w:r>
    </w:p>
    <w:p w14:paraId="6C2893E1" w14:textId="7FEBE153" w:rsidR="00233022" w:rsidRPr="0021195B" w:rsidRDefault="00233022" w:rsidP="00233022">
      <w:pPr>
        <w:ind w:left="360"/>
        <w:jc w:val="both"/>
        <w:rPr>
          <w:rFonts w:ascii="Calibri" w:hAnsi="Calibri" w:cs="Calibri"/>
          <w:sz w:val="23"/>
          <w:szCs w:val="23"/>
        </w:rPr>
      </w:pPr>
    </w:p>
    <w:tbl>
      <w:tblPr>
        <w:tblW w:w="5785" w:type="dxa"/>
        <w:tblInd w:w="70" w:type="dxa"/>
        <w:tblCellMar>
          <w:left w:w="70" w:type="dxa"/>
          <w:right w:w="70" w:type="dxa"/>
        </w:tblCellMar>
        <w:tblLook w:val="04A0" w:firstRow="1" w:lastRow="0" w:firstColumn="1" w:lastColumn="0" w:noHBand="0" w:noVBand="1"/>
      </w:tblPr>
      <w:tblGrid>
        <w:gridCol w:w="1110"/>
        <w:gridCol w:w="1825"/>
        <w:gridCol w:w="2850"/>
      </w:tblGrid>
      <w:tr w:rsidR="00D65CA7" w:rsidRPr="0021195B" w14:paraId="257839FC" w14:textId="77777777" w:rsidTr="00D65CA7">
        <w:trPr>
          <w:trHeight w:val="305"/>
        </w:trPr>
        <w:tc>
          <w:tcPr>
            <w:tcW w:w="57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651AC" w14:textId="77777777" w:rsidR="00D65CA7" w:rsidRPr="0021195B" w:rsidRDefault="00D65CA7" w:rsidP="00D65CA7">
            <w:pPr>
              <w:jc w:val="center"/>
              <w:rPr>
                <w:rFonts w:ascii="Calibri" w:hAnsi="Calibri" w:cs="Calibri"/>
                <w:sz w:val="22"/>
                <w:szCs w:val="22"/>
              </w:rPr>
            </w:pPr>
            <w:r w:rsidRPr="0021195B">
              <w:rPr>
                <w:rFonts w:ascii="Calibri" w:hAnsi="Calibri" w:cs="Calibri"/>
                <w:sz w:val="22"/>
                <w:szCs w:val="22"/>
              </w:rPr>
              <w:t>DECLARACIONES DE FALLIDOS POR AÑOS</w:t>
            </w:r>
          </w:p>
        </w:tc>
      </w:tr>
      <w:tr w:rsidR="00D65CA7" w:rsidRPr="0021195B" w14:paraId="6D67DA73" w14:textId="77777777" w:rsidTr="00D65CA7">
        <w:trPr>
          <w:trHeight w:val="305"/>
        </w:trPr>
        <w:tc>
          <w:tcPr>
            <w:tcW w:w="1110" w:type="dxa"/>
            <w:tcBorders>
              <w:top w:val="single" w:sz="4" w:space="0" w:color="auto"/>
              <w:left w:val="single" w:sz="4" w:space="0" w:color="auto"/>
              <w:bottom w:val="single" w:sz="4" w:space="0" w:color="auto"/>
              <w:right w:val="nil"/>
            </w:tcBorders>
            <w:shd w:val="clear" w:color="auto" w:fill="auto"/>
            <w:noWrap/>
            <w:vAlign w:val="bottom"/>
            <w:hideMark/>
          </w:tcPr>
          <w:p w14:paraId="2ECBB0C0" w14:textId="77777777" w:rsidR="00D65CA7" w:rsidRPr="0021195B" w:rsidRDefault="00D65CA7" w:rsidP="006E13B2">
            <w:pPr>
              <w:rPr>
                <w:rFonts w:ascii="Calibri" w:hAnsi="Calibri" w:cs="Calibri"/>
                <w:sz w:val="22"/>
                <w:szCs w:val="22"/>
              </w:rPr>
            </w:pPr>
            <w:r w:rsidRPr="0021195B">
              <w:rPr>
                <w:rFonts w:ascii="Calibri" w:hAnsi="Calibri" w:cs="Calibri"/>
                <w:sz w:val="22"/>
                <w:szCs w:val="22"/>
              </w:rPr>
              <w:t>AÑO</w:t>
            </w:r>
          </w:p>
        </w:tc>
        <w:tc>
          <w:tcPr>
            <w:tcW w:w="1825" w:type="dxa"/>
            <w:tcBorders>
              <w:top w:val="single" w:sz="4" w:space="0" w:color="auto"/>
              <w:left w:val="nil"/>
              <w:bottom w:val="single" w:sz="4" w:space="0" w:color="auto"/>
              <w:right w:val="nil"/>
            </w:tcBorders>
            <w:shd w:val="clear" w:color="auto" w:fill="auto"/>
            <w:noWrap/>
            <w:vAlign w:val="bottom"/>
            <w:hideMark/>
          </w:tcPr>
          <w:p w14:paraId="574878F6"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DEUDORES</w:t>
            </w:r>
          </w:p>
        </w:tc>
        <w:tc>
          <w:tcPr>
            <w:tcW w:w="2849" w:type="dxa"/>
            <w:tcBorders>
              <w:top w:val="single" w:sz="4" w:space="0" w:color="auto"/>
              <w:left w:val="nil"/>
              <w:bottom w:val="single" w:sz="4" w:space="0" w:color="auto"/>
              <w:right w:val="single" w:sz="4" w:space="0" w:color="auto"/>
            </w:tcBorders>
            <w:shd w:val="clear" w:color="auto" w:fill="auto"/>
            <w:noWrap/>
            <w:vAlign w:val="bottom"/>
            <w:hideMark/>
          </w:tcPr>
          <w:p w14:paraId="12554C96"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IMPORTE</w:t>
            </w:r>
          </w:p>
        </w:tc>
      </w:tr>
      <w:tr w:rsidR="00D65CA7" w:rsidRPr="0021195B" w14:paraId="5BCE2F7F" w14:textId="77777777" w:rsidTr="00D65CA7">
        <w:trPr>
          <w:trHeight w:val="305"/>
        </w:trPr>
        <w:tc>
          <w:tcPr>
            <w:tcW w:w="1110" w:type="dxa"/>
            <w:tcBorders>
              <w:top w:val="single" w:sz="4" w:space="0" w:color="auto"/>
              <w:left w:val="single" w:sz="4" w:space="0" w:color="auto"/>
              <w:bottom w:val="nil"/>
              <w:right w:val="nil"/>
            </w:tcBorders>
            <w:shd w:val="clear" w:color="auto" w:fill="auto"/>
            <w:noWrap/>
            <w:vAlign w:val="bottom"/>
            <w:hideMark/>
          </w:tcPr>
          <w:p w14:paraId="28F938B1" w14:textId="77777777" w:rsidR="00D65CA7" w:rsidRPr="0021195B" w:rsidRDefault="00D65CA7" w:rsidP="006E13B2">
            <w:pPr>
              <w:rPr>
                <w:rFonts w:ascii="Calibri" w:hAnsi="Calibri" w:cs="Calibri"/>
                <w:sz w:val="22"/>
                <w:szCs w:val="22"/>
              </w:rPr>
            </w:pPr>
            <w:r w:rsidRPr="0021195B">
              <w:rPr>
                <w:rFonts w:ascii="Calibri" w:hAnsi="Calibri" w:cs="Calibri"/>
                <w:sz w:val="22"/>
                <w:szCs w:val="22"/>
              </w:rPr>
              <w:t>2016</w:t>
            </w:r>
          </w:p>
        </w:tc>
        <w:tc>
          <w:tcPr>
            <w:tcW w:w="1825" w:type="dxa"/>
            <w:tcBorders>
              <w:top w:val="single" w:sz="4" w:space="0" w:color="auto"/>
              <w:left w:val="nil"/>
              <w:bottom w:val="nil"/>
              <w:right w:val="nil"/>
            </w:tcBorders>
            <w:shd w:val="clear" w:color="auto" w:fill="auto"/>
            <w:noWrap/>
            <w:vAlign w:val="bottom"/>
            <w:hideMark/>
          </w:tcPr>
          <w:p w14:paraId="7C0099CA"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43</w:t>
            </w:r>
          </w:p>
        </w:tc>
        <w:tc>
          <w:tcPr>
            <w:tcW w:w="2849" w:type="dxa"/>
            <w:tcBorders>
              <w:top w:val="single" w:sz="4" w:space="0" w:color="auto"/>
              <w:left w:val="nil"/>
              <w:bottom w:val="nil"/>
              <w:right w:val="single" w:sz="4" w:space="0" w:color="auto"/>
            </w:tcBorders>
            <w:shd w:val="clear" w:color="auto" w:fill="auto"/>
            <w:noWrap/>
            <w:vAlign w:val="bottom"/>
            <w:hideMark/>
          </w:tcPr>
          <w:p w14:paraId="3E18E321"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13.360.907,96</w:t>
            </w:r>
          </w:p>
        </w:tc>
      </w:tr>
      <w:tr w:rsidR="00D65CA7" w:rsidRPr="0021195B" w14:paraId="1D6C157C"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0F52D18A" w14:textId="77777777" w:rsidR="00D65CA7" w:rsidRPr="0021195B" w:rsidRDefault="00D65CA7" w:rsidP="006E13B2">
            <w:pPr>
              <w:rPr>
                <w:rFonts w:ascii="Calibri" w:hAnsi="Calibri" w:cs="Calibri"/>
                <w:sz w:val="22"/>
                <w:szCs w:val="22"/>
              </w:rPr>
            </w:pPr>
            <w:r w:rsidRPr="0021195B">
              <w:rPr>
                <w:rFonts w:ascii="Calibri" w:hAnsi="Calibri" w:cs="Calibri"/>
                <w:sz w:val="22"/>
                <w:szCs w:val="22"/>
              </w:rPr>
              <w:t>2017</w:t>
            </w:r>
          </w:p>
        </w:tc>
        <w:tc>
          <w:tcPr>
            <w:tcW w:w="1825" w:type="dxa"/>
            <w:tcBorders>
              <w:top w:val="nil"/>
              <w:left w:val="nil"/>
              <w:bottom w:val="nil"/>
              <w:right w:val="nil"/>
            </w:tcBorders>
            <w:shd w:val="clear" w:color="auto" w:fill="auto"/>
            <w:noWrap/>
            <w:vAlign w:val="bottom"/>
            <w:hideMark/>
          </w:tcPr>
          <w:p w14:paraId="773D556D"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72</w:t>
            </w:r>
          </w:p>
        </w:tc>
        <w:tc>
          <w:tcPr>
            <w:tcW w:w="2849" w:type="dxa"/>
            <w:tcBorders>
              <w:top w:val="nil"/>
              <w:left w:val="nil"/>
              <w:bottom w:val="nil"/>
              <w:right w:val="single" w:sz="4" w:space="0" w:color="auto"/>
            </w:tcBorders>
            <w:shd w:val="clear" w:color="auto" w:fill="auto"/>
            <w:noWrap/>
            <w:vAlign w:val="bottom"/>
            <w:hideMark/>
          </w:tcPr>
          <w:p w14:paraId="07031C94"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14.758.021,30</w:t>
            </w:r>
          </w:p>
        </w:tc>
      </w:tr>
      <w:tr w:rsidR="00D65CA7" w:rsidRPr="0021195B" w14:paraId="4E327F1C"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2EF53887" w14:textId="77777777" w:rsidR="00D65CA7" w:rsidRPr="0021195B" w:rsidRDefault="00D65CA7" w:rsidP="006E13B2">
            <w:pPr>
              <w:rPr>
                <w:rFonts w:ascii="Calibri" w:hAnsi="Calibri" w:cs="Calibri"/>
                <w:sz w:val="22"/>
                <w:szCs w:val="22"/>
              </w:rPr>
            </w:pPr>
            <w:r w:rsidRPr="0021195B">
              <w:rPr>
                <w:rFonts w:ascii="Calibri" w:hAnsi="Calibri" w:cs="Calibri"/>
                <w:sz w:val="22"/>
                <w:szCs w:val="22"/>
              </w:rPr>
              <w:t>2018</w:t>
            </w:r>
          </w:p>
        </w:tc>
        <w:tc>
          <w:tcPr>
            <w:tcW w:w="1825" w:type="dxa"/>
            <w:tcBorders>
              <w:top w:val="nil"/>
              <w:left w:val="nil"/>
              <w:bottom w:val="nil"/>
              <w:right w:val="nil"/>
            </w:tcBorders>
            <w:shd w:val="clear" w:color="auto" w:fill="auto"/>
            <w:noWrap/>
            <w:vAlign w:val="bottom"/>
            <w:hideMark/>
          </w:tcPr>
          <w:p w14:paraId="1086641E"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29</w:t>
            </w:r>
          </w:p>
        </w:tc>
        <w:tc>
          <w:tcPr>
            <w:tcW w:w="2849" w:type="dxa"/>
            <w:tcBorders>
              <w:top w:val="nil"/>
              <w:left w:val="nil"/>
              <w:bottom w:val="nil"/>
              <w:right w:val="single" w:sz="4" w:space="0" w:color="auto"/>
            </w:tcBorders>
            <w:shd w:val="clear" w:color="auto" w:fill="auto"/>
            <w:noWrap/>
            <w:vAlign w:val="bottom"/>
            <w:hideMark/>
          </w:tcPr>
          <w:p w14:paraId="0EBB9AE8"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6.702.265,48</w:t>
            </w:r>
          </w:p>
        </w:tc>
      </w:tr>
      <w:tr w:rsidR="00D65CA7" w:rsidRPr="0021195B" w14:paraId="08D94A3E"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699FB308" w14:textId="77777777" w:rsidR="00D65CA7" w:rsidRPr="0021195B" w:rsidRDefault="00D65CA7" w:rsidP="006E13B2">
            <w:pPr>
              <w:rPr>
                <w:rFonts w:ascii="Calibri" w:hAnsi="Calibri" w:cs="Calibri"/>
                <w:sz w:val="22"/>
                <w:szCs w:val="22"/>
              </w:rPr>
            </w:pPr>
            <w:r w:rsidRPr="0021195B">
              <w:rPr>
                <w:rFonts w:ascii="Calibri" w:hAnsi="Calibri" w:cs="Calibri"/>
                <w:sz w:val="22"/>
                <w:szCs w:val="22"/>
              </w:rPr>
              <w:t>2019</w:t>
            </w:r>
          </w:p>
        </w:tc>
        <w:tc>
          <w:tcPr>
            <w:tcW w:w="1825" w:type="dxa"/>
            <w:tcBorders>
              <w:top w:val="nil"/>
              <w:left w:val="nil"/>
              <w:bottom w:val="nil"/>
              <w:right w:val="nil"/>
            </w:tcBorders>
            <w:shd w:val="clear" w:color="auto" w:fill="auto"/>
            <w:noWrap/>
            <w:vAlign w:val="bottom"/>
            <w:hideMark/>
          </w:tcPr>
          <w:p w14:paraId="2EA4262E"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27</w:t>
            </w:r>
          </w:p>
        </w:tc>
        <w:tc>
          <w:tcPr>
            <w:tcW w:w="2849" w:type="dxa"/>
            <w:tcBorders>
              <w:top w:val="nil"/>
              <w:left w:val="nil"/>
              <w:bottom w:val="nil"/>
              <w:right w:val="single" w:sz="4" w:space="0" w:color="auto"/>
            </w:tcBorders>
            <w:shd w:val="clear" w:color="auto" w:fill="auto"/>
            <w:noWrap/>
            <w:vAlign w:val="bottom"/>
            <w:hideMark/>
          </w:tcPr>
          <w:p w14:paraId="6A598F3F"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8.355.427,18</w:t>
            </w:r>
          </w:p>
        </w:tc>
      </w:tr>
      <w:tr w:rsidR="00D65CA7" w:rsidRPr="0021195B" w14:paraId="00F057BB"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4AAD69A7" w14:textId="77777777" w:rsidR="00D65CA7" w:rsidRPr="0021195B" w:rsidRDefault="00D65CA7" w:rsidP="006E13B2">
            <w:pPr>
              <w:rPr>
                <w:rFonts w:ascii="Calibri" w:hAnsi="Calibri" w:cs="Calibri"/>
                <w:sz w:val="22"/>
                <w:szCs w:val="22"/>
              </w:rPr>
            </w:pPr>
            <w:r w:rsidRPr="0021195B">
              <w:rPr>
                <w:rFonts w:ascii="Calibri" w:hAnsi="Calibri" w:cs="Calibri"/>
                <w:sz w:val="22"/>
                <w:szCs w:val="22"/>
              </w:rPr>
              <w:t>2020</w:t>
            </w:r>
          </w:p>
        </w:tc>
        <w:tc>
          <w:tcPr>
            <w:tcW w:w="1825" w:type="dxa"/>
            <w:tcBorders>
              <w:top w:val="nil"/>
              <w:left w:val="nil"/>
              <w:bottom w:val="nil"/>
              <w:right w:val="nil"/>
            </w:tcBorders>
            <w:shd w:val="clear" w:color="auto" w:fill="auto"/>
            <w:noWrap/>
            <w:vAlign w:val="bottom"/>
            <w:hideMark/>
          </w:tcPr>
          <w:p w14:paraId="79BB1217"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11</w:t>
            </w:r>
          </w:p>
        </w:tc>
        <w:tc>
          <w:tcPr>
            <w:tcW w:w="2849" w:type="dxa"/>
            <w:tcBorders>
              <w:top w:val="nil"/>
              <w:left w:val="nil"/>
              <w:bottom w:val="nil"/>
              <w:right w:val="single" w:sz="4" w:space="0" w:color="auto"/>
            </w:tcBorders>
            <w:shd w:val="clear" w:color="auto" w:fill="auto"/>
            <w:noWrap/>
            <w:vAlign w:val="bottom"/>
            <w:hideMark/>
          </w:tcPr>
          <w:p w14:paraId="18B2082D"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3.152.420,42</w:t>
            </w:r>
          </w:p>
        </w:tc>
      </w:tr>
      <w:tr w:rsidR="00D65CA7" w:rsidRPr="0021195B" w14:paraId="12493E2F"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1895459B" w14:textId="77777777" w:rsidR="00D65CA7" w:rsidRPr="0021195B" w:rsidRDefault="00D65CA7" w:rsidP="006E13B2">
            <w:pPr>
              <w:rPr>
                <w:rFonts w:ascii="Calibri" w:hAnsi="Calibri" w:cs="Calibri"/>
                <w:sz w:val="22"/>
                <w:szCs w:val="22"/>
              </w:rPr>
            </w:pPr>
            <w:r w:rsidRPr="0021195B">
              <w:rPr>
                <w:rFonts w:ascii="Calibri" w:hAnsi="Calibri" w:cs="Calibri"/>
                <w:sz w:val="22"/>
                <w:szCs w:val="22"/>
              </w:rPr>
              <w:t>2021</w:t>
            </w:r>
          </w:p>
        </w:tc>
        <w:tc>
          <w:tcPr>
            <w:tcW w:w="1825" w:type="dxa"/>
            <w:tcBorders>
              <w:top w:val="nil"/>
              <w:left w:val="nil"/>
              <w:bottom w:val="nil"/>
              <w:right w:val="nil"/>
            </w:tcBorders>
            <w:shd w:val="clear" w:color="auto" w:fill="auto"/>
            <w:noWrap/>
            <w:vAlign w:val="bottom"/>
            <w:hideMark/>
          </w:tcPr>
          <w:p w14:paraId="319C1A8C"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13</w:t>
            </w:r>
          </w:p>
        </w:tc>
        <w:tc>
          <w:tcPr>
            <w:tcW w:w="2849" w:type="dxa"/>
            <w:tcBorders>
              <w:top w:val="nil"/>
              <w:left w:val="nil"/>
              <w:bottom w:val="nil"/>
              <w:right w:val="single" w:sz="4" w:space="0" w:color="auto"/>
            </w:tcBorders>
            <w:shd w:val="clear" w:color="auto" w:fill="auto"/>
            <w:noWrap/>
            <w:vAlign w:val="bottom"/>
            <w:hideMark/>
          </w:tcPr>
          <w:p w14:paraId="4CB336C7"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2.589.320,14</w:t>
            </w:r>
          </w:p>
        </w:tc>
      </w:tr>
      <w:tr w:rsidR="00D65CA7" w:rsidRPr="0021195B" w14:paraId="03BB7339" w14:textId="77777777" w:rsidTr="00D65CA7">
        <w:trPr>
          <w:trHeight w:val="305"/>
        </w:trPr>
        <w:tc>
          <w:tcPr>
            <w:tcW w:w="1110" w:type="dxa"/>
            <w:tcBorders>
              <w:top w:val="nil"/>
              <w:left w:val="single" w:sz="4" w:space="0" w:color="auto"/>
              <w:bottom w:val="nil"/>
              <w:right w:val="nil"/>
            </w:tcBorders>
            <w:shd w:val="clear" w:color="auto" w:fill="auto"/>
            <w:noWrap/>
            <w:vAlign w:val="bottom"/>
            <w:hideMark/>
          </w:tcPr>
          <w:p w14:paraId="11987214" w14:textId="77777777" w:rsidR="00D65CA7" w:rsidRPr="0021195B" w:rsidRDefault="00D65CA7" w:rsidP="006E13B2">
            <w:pPr>
              <w:rPr>
                <w:rFonts w:ascii="Calibri" w:hAnsi="Calibri" w:cs="Calibri"/>
                <w:sz w:val="22"/>
                <w:szCs w:val="22"/>
              </w:rPr>
            </w:pPr>
            <w:r w:rsidRPr="0021195B">
              <w:rPr>
                <w:rFonts w:ascii="Calibri" w:hAnsi="Calibri" w:cs="Calibri"/>
                <w:sz w:val="22"/>
                <w:szCs w:val="22"/>
              </w:rPr>
              <w:t>2022</w:t>
            </w:r>
          </w:p>
        </w:tc>
        <w:tc>
          <w:tcPr>
            <w:tcW w:w="1825" w:type="dxa"/>
            <w:tcBorders>
              <w:top w:val="nil"/>
              <w:left w:val="nil"/>
              <w:bottom w:val="nil"/>
              <w:right w:val="nil"/>
            </w:tcBorders>
            <w:shd w:val="clear" w:color="auto" w:fill="auto"/>
            <w:noWrap/>
            <w:vAlign w:val="bottom"/>
            <w:hideMark/>
          </w:tcPr>
          <w:p w14:paraId="205D10FB"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5</w:t>
            </w:r>
          </w:p>
        </w:tc>
        <w:tc>
          <w:tcPr>
            <w:tcW w:w="2849" w:type="dxa"/>
            <w:tcBorders>
              <w:top w:val="nil"/>
              <w:left w:val="nil"/>
              <w:bottom w:val="nil"/>
              <w:right w:val="single" w:sz="4" w:space="0" w:color="auto"/>
            </w:tcBorders>
            <w:shd w:val="clear" w:color="auto" w:fill="auto"/>
            <w:noWrap/>
            <w:vAlign w:val="bottom"/>
            <w:hideMark/>
          </w:tcPr>
          <w:p w14:paraId="2D612B00" w14:textId="77777777" w:rsidR="00D65CA7" w:rsidRPr="0021195B" w:rsidRDefault="00D65CA7" w:rsidP="006E13B2">
            <w:pPr>
              <w:jc w:val="right"/>
              <w:rPr>
                <w:rFonts w:ascii="Calibri" w:hAnsi="Calibri" w:cs="Calibri"/>
                <w:sz w:val="22"/>
                <w:szCs w:val="22"/>
              </w:rPr>
            </w:pPr>
            <w:r w:rsidRPr="0021195B">
              <w:rPr>
                <w:rFonts w:ascii="Calibri" w:hAnsi="Calibri" w:cs="Calibri"/>
                <w:sz w:val="22"/>
                <w:szCs w:val="22"/>
              </w:rPr>
              <w:t>486.957,71</w:t>
            </w:r>
          </w:p>
        </w:tc>
      </w:tr>
      <w:tr w:rsidR="00D65CA7" w:rsidRPr="0021195B" w14:paraId="01D51E12" w14:textId="77777777" w:rsidTr="00D65CA7">
        <w:trPr>
          <w:trHeight w:val="305"/>
        </w:trPr>
        <w:tc>
          <w:tcPr>
            <w:tcW w:w="1110" w:type="dxa"/>
            <w:tcBorders>
              <w:top w:val="single" w:sz="4" w:space="0" w:color="auto"/>
              <w:left w:val="single" w:sz="4" w:space="0" w:color="auto"/>
              <w:bottom w:val="single" w:sz="4" w:space="0" w:color="auto"/>
              <w:right w:val="nil"/>
            </w:tcBorders>
            <w:shd w:val="clear" w:color="auto" w:fill="auto"/>
            <w:noWrap/>
            <w:vAlign w:val="bottom"/>
            <w:hideMark/>
          </w:tcPr>
          <w:p w14:paraId="390522E2" w14:textId="77777777" w:rsidR="00D65CA7" w:rsidRPr="0021195B" w:rsidRDefault="00D65CA7" w:rsidP="006E13B2">
            <w:pPr>
              <w:rPr>
                <w:rFonts w:ascii="Calibri" w:hAnsi="Calibri" w:cs="Calibri"/>
                <w:b/>
                <w:bCs/>
                <w:sz w:val="22"/>
                <w:szCs w:val="22"/>
              </w:rPr>
            </w:pPr>
            <w:r w:rsidRPr="0021195B">
              <w:rPr>
                <w:rFonts w:ascii="Calibri" w:hAnsi="Calibri" w:cs="Calibri"/>
                <w:b/>
                <w:bCs/>
                <w:sz w:val="22"/>
                <w:szCs w:val="22"/>
              </w:rPr>
              <w:t>TOTAL</w:t>
            </w:r>
          </w:p>
        </w:tc>
        <w:tc>
          <w:tcPr>
            <w:tcW w:w="1825" w:type="dxa"/>
            <w:tcBorders>
              <w:top w:val="single" w:sz="4" w:space="0" w:color="auto"/>
              <w:left w:val="nil"/>
              <w:bottom w:val="single" w:sz="4" w:space="0" w:color="auto"/>
              <w:right w:val="nil"/>
            </w:tcBorders>
            <w:shd w:val="clear" w:color="auto" w:fill="auto"/>
            <w:noWrap/>
            <w:vAlign w:val="bottom"/>
            <w:hideMark/>
          </w:tcPr>
          <w:p w14:paraId="15181098" w14:textId="77777777" w:rsidR="00D65CA7" w:rsidRPr="0021195B" w:rsidRDefault="00D65CA7" w:rsidP="006E13B2">
            <w:pPr>
              <w:jc w:val="right"/>
              <w:rPr>
                <w:rFonts w:ascii="Calibri" w:hAnsi="Calibri" w:cs="Calibri"/>
                <w:b/>
                <w:bCs/>
                <w:sz w:val="22"/>
                <w:szCs w:val="22"/>
              </w:rPr>
            </w:pPr>
            <w:r w:rsidRPr="0021195B">
              <w:rPr>
                <w:rFonts w:ascii="Calibri" w:hAnsi="Calibri" w:cs="Calibri"/>
                <w:b/>
                <w:bCs/>
                <w:sz w:val="22"/>
                <w:szCs w:val="22"/>
              </w:rPr>
              <w:t>200</w:t>
            </w:r>
          </w:p>
        </w:tc>
        <w:tc>
          <w:tcPr>
            <w:tcW w:w="2849" w:type="dxa"/>
            <w:tcBorders>
              <w:top w:val="single" w:sz="4" w:space="0" w:color="auto"/>
              <w:left w:val="nil"/>
              <w:bottom w:val="single" w:sz="4" w:space="0" w:color="auto"/>
              <w:right w:val="single" w:sz="4" w:space="0" w:color="auto"/>
            </w:tcBorders>
            <w:shd w:val="clear" w:color="auto" w:fill="auto"/>
            <w:noWrap/>
            <w:vAlign w:val="bottom"/>
            <w:hideMark/>
          </w:tcPr>
          <w:p w14:paraId="57415E8D" w14:textId="77777777" w:rsidR="00D65CA7" w:rsidRPr="0021195B" w:rsidRDefault="00D65CA7" w:rsidP="006E13B2">
            <w:pPr>
              <w:jc w:val="right"/>
              <w:rPr>
                <w:rFonts w:ascii="Calibri" w:hAnsi="Calibri" w:cs="Calibri"/>
                <w:b/>
                <w:bCs/>
                <w:sz w:val="22"/>
                <w:szCs w:val="22"/>
              </w:rPr>
            </w:pPr>
            <w:r w:rsidRPr="0021195B">
              <w:rPr>
                <w:rFonts w:ascii="Calibri" w:hAnsi="Calibri" w:cs="Calibri"/>
                <w:b/>
                <w:bCs/>
                <w:sz w:val="22"/>
                <w:szCs w:val="22"/>
              </w:rPr>
              <w:t>49.405.320,19</w:t>
            </w:r>
          </w:p>
        </w:tc>
      </w:tr>
    </w:tbl>
    <w:p w14:paraId="2C716304" w14:textId="77777777" w:rsidR="00737ED5" w:rsidRDefault="00737ED5" w:rsidP="00233022">
      <w:pPr>
        <w:ind w:left="360"/>
        <w:jc w:val="both"/>
        <w:rPr>
          <w:rFonts w:ascii="Calibri" w:hAnsi="Calibri" w:cs="Calibri"/>
          <w:sz w:val="23"/>
          <w:szCs w:val="23"/>
        </w:rPr>
      </w:pPr>
    </w:p>
    <w:p w14:paraId="5D6EEFCE" w14:textId="77777777" w:rsidR="00233022" w:rsidRPr="00323D3C" w:rsidRDefault="00233022" w:rsidP="00233022">
      <w:pPr>
        <w:pStyle w:val="Prrafodelista"/>
        <w:rPr>
          <w:rFonts w:ascii="Calibri" w:hAnsi="Calibri" w:cs="Calibri"/>
          <w:b/>
          <w:sz w:val="23"/>
          <w:szCs w:val="23"/>
        </w:rPr>
      </w:pPr>
    </w:p>
    <w:p w14:paraId="64F13F03" w14:textId="77777777" w:rsidR="00737ED5"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t>¿Cuántas derivaciones de responsabilidad, solidarias o subsidiarias se realizaron durante esos años, a cuántas personas afectaron y qué importe se derivó? ¿Qué cantidad derivada fue realmente cobrada por la Hacienda de Navarra?</w:t>
      </w:r>
    </w:p>
    <w:p w14:paraId="4A3CC0F7" w14:textId="77777777" w:rsidR="00737ED5" w:rsidRDefault="00233022" w:rsidP="00233022">
      <w:pPr>
        <w:pStyle w:val="Prrafodelista"/>
        <w:ind w:left="360"/>
        <w:rPr>
          <w:rFonts w:ascii="Calibri" w:hAnsi="Calibri" w:cs="Calibri"/>
          <w:sz w:val="23"/>
          <w:szCs w:val="23"/>
        </w:rPr>
      </w:pPr>
      <w:r>
        <w:rPr>
          <w:rFonts w:ascii="Calibri" w:hAnsi="Calibri" w:cs="Calibri"/>
          <w:sz w:val="23"/>
          <w:szCs w:val="23"/>
        </w:rPr>
        <w:t>En el periodo 2016-2022 se han derivado 64.643.532 euros a 683 responsables correspondientes a 486 Deudores principales, habiéndose cobrado la cantidad de 7.385.654 euros, lo que supone un 11,43% de lo derivado.</w:t>
      </w:r>
    </w:p>
    <w:p w14:paraId="446CF3A3" w14:textId="77777777" w:rsidR="00737ED5" w:rsidRDefault="00233022" w:rsidP="00233022">
      <w:pPr>
        <w:numPr>
          <w:ilvl w:val="0"/>
          <w:numId w:val="9"/>
        </w:numPr>
        <w:tabs>
          <w:tab w:val="num" w:pos="360"/>
        </w:tabs>
        <w:ind w:left="360"/>
        <w:jc w:val="both"/>
        <w:rPr>
          <w:rFonts w:ascii="Calibri" w:hAnsi="Calibri" w:cs="Calibri"/>
          <w:b/>
          <w:sz w:val="23"/>
          <w:szCs w:val="23"/>
        </w:rPr>
      </w:pPr>
      <w:r w:rsidRPr="00323D3C">
        <w:rPr>
          <w:rFonts w:ascii="Calibri" w:hAnsi="Calibri" w:cs="Calibri"/>
          <w:b/>
          <w:sz w:val="23"/>
          <w:szCs w:val="23"/>
        </w:rPr>
        <w:t>¿Ha establecido la Hacienda de Navarra algún procedimiento de automatización para las derivaciones de responsabilidad tributaria?</w:t>
      </w:r>
    </w:p>
    <w:p w14:paraId="754969F0" w14:textId="77777777" w:rsidR="00737ED5" w:rsidRDefault="00233022" w:rsidP="00233022">
      <w:pPr>
        <w:ind w:left="360"/>
        <w:jc w:val="both"/>
        <w:rPr>
          <w:rFonts w:ascii="Calibri" w:hAnsi="Calibri" w:cs="Calibri"/>
          <w:sz w:val="23"/>
          <w:szCs w:val="23"/>
        </w:rPr>
      </w:pPr>
      <w:r>
        <w:rPr>
          <w:rFonts w:ascii="Calibri" w:hAnsi="Calibri" w:cs="Calibri"/>
          <w:sz w:val="23"/>
          <w:szCs w:val="23"/>
        </w:rPr>
        <w:t xml:space="preserve">En el año </w:t>
      </w:r>
      <w:r w:rsidRPr="00126025">
        <w:rPr>
          <w:rFonts w:ascii="Calibri" w:hAnsi="Calibri" w:cs="Calibri"/>
          <w:sz w:val="23"/>
          <w:szCs w:val="23"/>
        </w:rPr>
        <w:t>2019</w:t>
      </w:r>
      <w:r>
        <w:rPr>
          <w:rFonts w:ascii="Calibri" w:hAnsi="Calibri" w:cs="Calibri"/>
          <w:color w:val="FF0000"/>
          <w:sz w:val="23"/>
          <w:szCs w:val="23"/>
        </w:rPr>
        <w:t xml:space="preserve"> </w:t>
      </w:r>
      <w:r w:rsidRPr="007464AA">
        <w:rPr>
          <w:rFonts w:ascii="Calibri" w:hAnsi="Calibri" w:cs="Calibri"/>
          <w:sz w:val="23"/>
          <w:szCs w:val="23"/>
        </w:rPr>
        <w:t>Hacienda Foral de Navarra inició un proyecto de trabajo</w:t>
      </w:r>
      <w:r>
        <w:rPr>
          <w:rFonts w:ascii="Calibri" w:hAnsi="Calibri" w:cs="Calibri"/>
          <w:sz w:val="23"/>
          <w:szCs w:val="23"/>
        </w:rPr>
        <w:t xml:space="preserve"> entre los Servicios de Recaudación y de Sistemas de Información Tributaria para integrar la gestión de los expedientes de derivación de responsabilidad en las herramientas estándar de Hacienda Foral de Navarra.</w:t>
      </w:r>
    </w:p>
    <w:p w14:paraId="5E81B3A0" w14:textId="77777777" w:rsidR="00737ED5" w:rsidRDefault="00233022" w:rsidP="00233022">
      <w:pPr>
        <w:ind w:left="360"/>
        <w:jc w:val="both"/>
        <w:rPr>
          <w:rFonts w:ascii="Calibri" w:hAnsi="Calibri" w:cs="Calibri"/>
          <w:sz w:val="23"/>
          <w:szCs w:val="23"/>
        </w:rPr>
      </w:pPr>
      <w:r>
        <w:rPr>
          <w:rFonts w:ascii="Calibri" w:hAnsi="Calibri" w:cs="Calibri"/>
          <w:sz w:val="23"/>
          <w:szCs w:val="23"/>
        </w:rPr>
        <w:t>Es un proceso de gran complejidad por afectar a la contabilización de las deudas derivadas a los responsables en CAT, encontrándonos con una casuística muy grande. El objetivo es que, tras la integración de las deudas derivadas a los responsables en CAT, la gestión de cobro de dichas deudas se realice con los procedimientos estándares, aprovechando todos los automatismos ya vigentes en la gestión de deuda.</w:t>
      </w:r>
    </w:p>
    <w:p w14:paraId="73D50563" w14:textId="77777777" w:rsidR="00737ED5" w:rsidRDefault="00233022" w:rsidP="00233022">
      <w:pPr>
        <w:ind w:left="360"/>
        <w:jc w:val="both"/>
        <w:rPr>
          <w:rFonts w:ascii="Calibri" w:hAnsi="Calibri" w:cs="Calibri"/>
          <w:sz w:val="23"/>
          <w:szCs w:val="23"/>
        </w:rPr>
      </w:pPr>
      <w:r>
        <w:rPr>
          <w:rFonts w:ascii="Calibri" w:hAnsi="Calibri" w:cs="Calibri"/>
          <w:sz w:val="23"/>
          <w:szCs w:val="23"/>
        </w:rPr>
        <w:lastRenderedPageBreak/>
        <w:t xml:space="preserve">Sobre la referencia a procesos automatizados de derivación de responsabilidad, debe señalarse que en ningún caso pueden establecerse automatismos en la derivación de responsabilidad, siendo necesario un análisis individualizado de la concurrencia de los presupuestos exigidos por la normativa. Muestra de ello es la STS </w:t>
      </w:r>
      <w:r w:rsidRPr="00307F35">
        <w:rPr>
          <w:rFonts w:ascii="Calibri" w:hAnsi="Calibri" w:cs="Calibri"/>
          <w:sz w:val="23"/>
          <w:szCs w:val="23"/>
        </w:rPr>
        <w:t xml:space="preserve">281/2023, de 7 de marzo </w:t>
      </w:r>
      <w:r>
        <w:rPr>
          <w:rFonts w:ascii="Calibri" w:hAnsi="Calibri" w:cs="Calibri"/>
          <w:sz w:val="23"/>
          <w:szCs w:val="23"/>
        </w:rPr>
        <w:t xml:space="preserve">(Recurso de casación 4926/2021), en la que se establece </w:t>
      </w:r>
      <w:r w:rsidRPr="003C7BB7">
        <w:rPr>
          <w:rFonts w:ascii="Calibri" w:hAnsi="Calibri" w:cs="Calibri"/>
          <w:sz w:val="23"/>
          <w:szCs w:val="23"/>
        </w:rPr>
        <w:t>que la derivación de responsabilidad a los administradores de las personas jurídicas por las deudas pendientes en el momento del cese de su actividad no está configurado como un supuesto de responsabilidad objetiva, sino que tiene su fundamento en la conducta al menos negligente del administrador que omite la diligencia precisa para poner a la sociedad en condiciones de cumplir la obligaciones tributarias pendientes</w:t>
      </w:r>
      <w:r>
        <w:rPr>
          <w:rFonts w:ascii="Calibri" w:hAnsi="Calibri" w:cs="Calibri"/>
          <w:sz w:val="23"/>
          <w:szCs w:val="23"/>
        </w:rPr>
        <w:t>.</w:t>
      </w:r>
    </w:p>
    <w:p w14:paraId="0661DFC1" w14:textId="77777777" w:rsidR="00737ED5" w:rsidRDefault="00233022" w:rsidP="00233022">
      <w:pPr>
        <w:ind w:left="360"/>
        <w:jc w:val="both"/>
        <w:rPr>
          <w:rFonts w:ascii="Calibri" w:hAnsi="Calibri" w:cs="Calibri"/>
          <w:sz w:val="23"/>
          <w:szCs w:val="23"/>
        </w:rPr>
      </w:pPr>
      <w:r>
        <w:rPr>
          <w:rFonts w:ascii="Calibri" w:hAnsi="Calibri" w:cs="Calibri"/>
          <w:sz w:val="23"/>
          <w:szCs w:val="23"/>
        </w:rPr>
        <w:t>Desde el inicio del proyecto se han dado dos circunstancias relevantes que han afectado al desarrollo del mismo:</w:t>
      </w:r>
    </w:p>
    <w:p w14:paraId="331ABE16" w14:textId="4E3C9D0D" w:rsidR="00233022" w:rsidRDefault="00233022" w:rsidP="00233022">
      <w:pPr>
        <w:numPr>
          <w:ilvl w:val="0"/>
          <w:numId w:val="10"/>
        </w:numPr>
        <w:ind w:left="1440"/>
        <w:jc w:val="both"/>
        <w:rPr>
          <w:rFonts w:ascii="Calibri" w:hAnsi="Calibri" w:cs="Calibri"/>
          <w:sz w:val="23"/>
          <w:szCs w:val="23"/>
        </w:rPr>
      </w:pPr>
      <w:r>
        <w:rPr>
          <w:rFonts w:ascii="Calibri" w:hAnsi="Calibri" w:cs="Calibri"/>
          <w:sz w:val="23"/>
          <w:szCs w:val="23"/>
        </w:rPr>
        <w:t>La Pandemia Covid-19, que ha exigido priorizar otros desarrollos informáticos para atender a las sucesivas medias acordadas en el ámbito tributario.</w:t>
      </w:r>
    </w:p>
    <w:p w14:paraId="4F28CC11" w14:textId="77777777" w:rsidR="00737ED5" w:rsidRDefault="00233022" w:rsidP="00233022">
      <w:pPr>
        <w:numPr>
          <w:ilvl w:val="0"/>
          <w:numId w:val="10"/>
        </w:numPr>
        <w:ind w:left="1440"/>
        <w:jc w:val="both"/>
        <w:rPr>
          <w:rFonts w:ascii="Calibri" w:hAnsi="Calibri" w:cs="Calibri"/>
          <w:sz w:val="23"/>
          <w:szCs w:val="23"/>
        </w:rPr>
      </w:pPr>
      <w:r>
        <w:rPr>
          <w:rFonts w:ascii="Calibri" w:hAnsi="Calibri" w:cs="Calibri"/>
          <w:sz w:val="23"/>
          <w:szCs w:val="23"/>
        </w:rPr>
        <w:t>Los cambios de criterio establecidos por el Tribunal Supremos en sentencias dictadas en casación, que han afectado a algunas de las premisas fundamentales sobre las que se había estructurado el proyecto. A modo de síntesis, se pueden citar, entre otras, las siguientes.</w:t>
      </w:r>
    </w:p>
    <w:p w14:paraId="3295E351" w14:textId="77777777" w:rsidR="00737ED5" w:rsidRDefault="00233022" w:rsidP="00233022">
      <w:pPr>
        <w:pStyle w:val="Prrafodelista"/>
        <w:numPr>
          <w:ilvl w:val="0"/>
          <w:numId w:val="11"/>
        </w:numPr>
        <w:ind w:left="1800"/>
        <w:jc w:val="both"/>
        <w:rPr>
          <w:rFonts w:ascii="Calibri" w:hAnsi="Calibri" w:cs="Calibri"/>
          <w:sz w:val="23"/>
          <w:szCs w:val="23"/>
        </w:rPr>
      </w:pPr>
      <w:r w:rsidRPr="00BC160C">
        <w:rPr>
          <w:rFonts w:ascii="Calibri" w:hAnsi="Calibri" w:cs="Calibri"/>
          <w:bCs/>
          <w:sz w:val="23"/>
          <w:szCs w:val="23"/>
        </w:rPr>
        <w:t>Sentencia 1700/2020, de 10 de diciembre (Recurso de casación 2189/2018)</w:t>
      </w:r>
      <w:r w:rsidRPr="00BC160C">
        <w:rPr>
          <w:rFonts w:ascii="Calibri" w:hAnsi="Calibri" w:cs="Calibri"/>
          <w:sz w:val="23"/>
          <w:szCs w:val="23"/>
        </w:rPr>
        <w:t xml:space="preserve">: se establece que la Administración Tributaria no tiene derecho a exigir a cada uno de los responsables del artículo 30.4 a) LFGT el recargo de apremio ordinario cuando este ha sido satisfecho por uno de ellos. </w:t>
      </w:r>
    </w:p>
    <w:p w14:paraId="63084884" w14:textId="77777777" w:rsidR="00737ED5" w:rsidRDefault="00233022" w:rsidP="00233022">
      <w:pPr>
        <w:pStyle w:val="Prrafodelista"/>
        <w:numPr>
          <w:ilvl w:val="0"/>
          <w:numId w:val="11"/>
        </w:numPr>
        <w:ind w:left="1800"/>
        <w:jc w:val="both"/>
        <w:rPr>
          <w:rFonts w:ascii="Calibri" w:hAnsi="Calibri" w:cs="Calibri"/>
          <w:sz w:val="23"/>
          <w:szCs w:val="23"/>
        </w:rPr>
      </w:pPr>
      <w:bookmarkStart w:id="4" w:name="_Hlk154496007"/>
      <w:r w:rsidRPr="00BC160C">
        <w:rPr>
          <w:rFonts w:ascii="Calibri" w:hAnsi="Calibri" w:cs="Calibri"/>
          <w:bCs/>
          <w:sz w:val="23"/>
          <w:szCs w:val="23"/>
        </w:rPr>
        <w:t>Sentencia 343/2021, de 11 de marzo (Recurso de casación 7004/2019)</w:t>
      </w:r>
      <w:r w:rsidRPr="00BC160C">
        <w:rPr>
          <w:rFonts w:ascii="Calibri" w:hAnsi="Calibri" w:cs="Calibri"/>
          <w:sz w:val="23"/>
          <w:szCs w:val="23"/>
        </w:rPr>
        <w:t xml:space="preserve">: se establece que la derivación de responsabilidad solidaria puede alcanzar a las deudas que se devenguen con posterioridad a la ocultación o transmisión de los bienes o derechos el obligado al pago, cuando resulte acreditado por la </w:t>
      </w:r>
      <w:bookmarkStart w:id="5" w:name="_Hlk154495589"/>
      <w:r w:rsidRPr="00BC160C">
        <w:rPr>
          <w:rFonts w:ascii="Calibri" w:hAnsi="Calibri" w:cs="Calibri"/>
          <w:sz w:val="23"/>
          <w:szCs w:val="23"/>
        </w:rPr>
        <w:t xml:space="preserve">Administración Tributaria que se ha actuado de forma intencionada con la finalidad de impedir su actuación. </w:t>
      </w:r>
    </w:p>
    <w:p w14:paraId="6693EB65" w14:textId="77777777" w:rsidR="00737ED5" w:rsidRDefault="00233022" w:rsidP="00233022">
      <w:pPr>
        <w:pStyle w:val="Prrafodelista"/>
        <w:numPr>
          <w:ilvl w:val="0"/>
          <w:numId w:val="11"/>
        </w:numPr>
        <w:ind w:left="1800"/>
        <w:jc w:val="both"/>
        <w:rPr>
          <w:rFonts w:ascii="Calibri" w:hAnsi="Calibri" w:cs="Calibri"/>
          <w:sz w:val="23"/>
          <w:szCs w:val="23"/>
        </w:rPr>
      </w:pPr>
      <w:r w:rsidRPr="00BC160C">
        <w:rPr>
          <w:rFonts w:ascii="Calibri" w:hAnsi="Calibri" w:cs="Calibri"/>
          <w:bCs/>
          <w:sz w:val="23"/>
          <w:szCs w:val="23"/>
        </w:rPr>
        <w:t>Sentencia 440/2021, de 25 de marzo (Recurso de casación 3172/2019) y sentencia 1640/2022, de 13 de diciembre (Recurso de casación 404/2021)</w:t>
      </w:r>
      <w:r w:rsidRPr="00BC160C">
        <w:rPr>
          <w:rFonts w:ascii="Calibri" w:hAnsi="Calibri" w:cs="Calibri"/>
          <w:sz w:val="23"/>
          <w:szCs w:val="23"/>
        </w:rPr>
        <w:t xml:space="preserve">: se establece que no cabe exigir la responsabilidad solidaria prevista en el artículo 30.4 a) LFGT a un menor de edad, dado que el precepto comprende actividades, conducta e intenciones dolosas de las que un menor es, siempre, inimputable por ministerio de la ley. </w:t>
      </w:r>
    </w:p>
    <w:p w14:paraId="345288A9" w14:textId="77777777" w:rsidR="00737ED5" w:rsidRDefault="00233022" w:rsidP="00233022">
      <w:pPr>
        <w:pStyle w:val="Prrafodelista"/>
        <w:numPr>
          <w:ilvl w:val="0"/>
          <w:numId w:val="11"/>
        </w:numPr>
        <w:ind w:left="1800"/>
        <w:jc w:val="both"/>
        <w:rPr>
          <w:rFonts w:ascii="Calibri" w:hAnsi="Calibri" w:cs="Calibri"/>
          <w:sz w:val="23"/>
          <w:szCs w:val="23"/>
        </w:rPr>
      </w:pPr>
      <w:r w:rsidRPr="00BC160C">
        <w:rPr>
          <w:rFonts w:ascii="Calibri" w:hAnsi="Calibri" w:cs="Calibri"/>
          <w:bCs/>
          <w:sz w:val="23"/>
          <w:szCs w:val="23"/>
        </w:rPr>
        <w:t>Sentencia 1308/2022, de 14 de octubre (Recurso de casación 6321/2020):</w:t>
      </w:r>
      <w:r w:rsidRPr="00BC160C">
        <w:rPr>
          <w:rFonts w:ascii="Calibri" w:hAnsi="Calibri" w:cs="Calibri"/>
          <w:sz w:val="23"/>
          <w:szCs w:val="23"/>
        </w:rPr>
        <w:t xml:space="preserve"> se establece jurisprudencia en relación con la versión inicial del artículo 56.2 LFGT, confirmando que el computo del plazo de prescripción para exigir la obligación de pago a los responsables solidarios comienza a correr desde que ocurran los hechos que constituyan el presupuesto de tal responsabilidad, esto es, desde que los actos de transmisión u ocultación tuvieron lugar, con independencia del momento en que tenga lugar la declaración relativa a la obligación principal de la que aquélla es subordinada. Se limita a la versión inicial del citado artículo, sin pronunciarse respecto a la versión actual del mismo dada por la Ley 7/2012, de 29 de octubre. </w:t>
      </w:r>
    </w:p>
    <w:p w14:paraId="19C65F4A" w14:textId="77777777" w:rsidR="00737ED5" w:rsidRDefault="00233022" w:rsidP="00233022">
      <w:pPr>
        <w:pStyle w:val="Prrafodelista"/>
        <w:numPr>
          <w:ilvl w:val="0"/>
          <w:numId w:val="11"/>
        </w:numPr>
        <w:ind w:left="1800"/>
        <w:jc w:val="both"/>
        <w:rPr>
          <w:rFonts w:ascii="Calibri" w:hAnsi="Calibri" w:cs="Calibri"/>
          <w:bCs/>
          <w:sz w:val="23"/>
          <w:szCs w:val="23"/>
        </w:rPr>
      </w:pPr>
      <w:r w:rsidRPr="00BC160C">
        <w:rPr>
          <w:rFonts w:ascii="Calibri" w:hAnsi="Calibri" w:cs="Calibri"/>
          <w:bCs/>
          <w:sz w:val="23"/>
          <w:szCs w:val="23"/>
        </w:rPr>
        <w:t xml:space="preserve">Sentencia 1758/2022, de 23 de diciembre (Recurso de casación 1398/2021): se establece que la garantía prestada por el deudor principal es trasladable a los responsables solidarios, de forma que estos pueden obtener la suspensión del acuerdo de derivación de responsabilidad sin necesidad de prestar garantía en vía administrativa. </w:t>
      </w:r>
    </w:p>
    <w:p w14:paraId="282DAFA9" w14:textId="040A7A8F" w:rsidR="00E87145" w:rsidRPr="0021579C" w:rsidRDefault="00233022" w:rsidP="0021579C">
      <w:pPr>
        <w:ind w:left="360"/>
        <w:jc w:val="both"/>
        <w:rPr>
          <w:rFonts w:ascii="Calibri" w:hAnsi="Calibri" w:cs="Calibri"/>
          <w:sz w:val="23"/>
          <w:szCs w:val="23"/>
        </w:rPr>
      </w:pPr>
      <w:r>
        <w:rPr>
          <w:rFonts w:ascii="Calibri" w:hAnsi="Calibri" w:cs="Calibri"/>
          <w:sz w:val="23"/>
          <w:szCs w:val="23"/>
        </w:rPr>
        <w:lastRenderedPageBreak/>
        <w:t>A esta fecha, la comunicación de los trámites del expediente de derivación está integrada en los sistemas de Hacienda Foral de Navarra, trabajando en la integración de todos los registros del expediente y la consecuente contabilización de las deudas del responsable una vez declarada esta.  Se desarrollan actualmente pruebas en desarrollo, estando previsto que a principios de 2024 se puedan lanzar los primeros expedientes de derivación en producción con el nuevo sistema.</w:t>
      </w:r>
    </w:p>
    <w:bookmarkEnd w:id="3"/>
    <w:bookmarkEnd w:id="5"/>
    <w:bookmarkEnd w:id="4"/>
    <w:p w14:paraId="5EDFA331" w14:textId="0ACCDA4E" w:rsidR="00737ED5" w:rsidRDefault="00864DCD" w:rsidP="001C5BBC">
      <w:pPr>
        <w:spacing w:line="360" w:lineRule="auto"/>
        <w:rPr>
          <w:rFonts w:asciiTheme="minorHAnsi" w:hAnsiTheme="minorHAnsi" w:cstheme="minorHAnsi"/>
        </w:rPr>
      </w:pPr>
      <w:r w:rsidRPr="007631EC">
        <w:rPr>
          <w:rFonts w:asciiTheme="minorHAnsi" w:hAnsiTheme="minorHAnsi" w:cstheme="minorHAnsi"/>
        </w:rPr>
        <w:t>Es cuanto tengo el honor de informar en cumplimiento de lo dispuesto en el artículo</w:t>
      </w:r>
      <w:r w:rsidR="00833E5F">
        <w:rPr>
          <w:rFonts w:asciiTheme="minorHAnsi" w:hAnsiTheme="minorHAnsi" w:cstheme="minorHAnsi"/>
        </w:rPr>
        <w:t xml:space="preserve"> </w:t>
      </w:r>
      <w:r w:rsidR="00233022" w:rsidRPr="007631EC">
        <w:rPr>
          <w:rFonts w:asciiTheme="minorHAnsi" w:hAnsiTheme="minorHAnsi" w:cstheme="minorHAnsi"/>
        </w:rPr>
        <w:t>215</w:t>
      </w:r>
      <w:r w:rsidRPr="007631EC">
        <w:rPr>
          <w:rFonts w:asciiTheme="minorHAnsi" w:hAnsiTheme="minorHAnsi" w:cstheme="minorHAnsi"/>
        </w:rPr>
        <w:t xml:space="preserve"> del Reglamento del Parlamento de Navarra.</w:t>
      </w:r>
    </w:p>
    <w:p w14:paraId="26C62C38" w14:textId="77777777" w:rsidR="00737ED5" w:rsidRPr="0021579C" w:rsidRDefault="001C5BBC" w:rsidP="001C5BBC">
      <w:pPr>
        <w:rPr>
          <w:rFonts w:asciiTheme="minorHAnsi" w:hAnsiTheme="minorHAnsi" w:cstheme="minorHAnsi"/>
        </w:rPr>
      </w:pPr>
      <w:r w:rsidRPr="0021579C">
        <w:rPr>
          <w:rFonts w:asciiTheme="minorHAnsi" w:hAnsiTheme="minorHAnsi" w:cstheme="minorHAnsi"/>
        </w:rPr>
        <w:t>Pamplona,</w:t>
      </w:r>
      <w:r w:rsidR="007631EC" w:rsidRPr="0021579C">
        <w:rPr>
          <w:rFonts w:asciiTheme="minorHAnsi" w:hAnsiTheme="minorHAnsi" w:cstheme="minorHAnsi"/>
        </w:rPr>
        <w:t xml:space="preserve"> 24</w:t>
      </w:r>
      <w:r w:rsidRPr="0021579C">
        <w:rPr>
          <w:rFonts w:asciiTheme="minorHAnsi" w:hAnsiTheme="minorHAnsi" w:cstheme="minorHAnsi"/>
        </w:rPr>
        <w:t xml:space="preserve"> de </w:t>
      </w:r>
      <w:r w:rsidR="007631EC" w:rsidRPr="0021579C">
        <w:rPr>
          <w:rFonts w:asciiTheme="minorHAnsi" w:hAnsiTheme="minorHAnsi" w:cstheme="minorHAnsi"/>
        </w:rPr>
        <w:t>octubre</w:t>
      </w:r>
      <w:r w:rsidRPr="0021579C">
        <w:rPr>
          <w:rFonts w:asciiTheme="minorHAnsi" w:hAnsiTheme="minorHAnsi" w:cstheme="minorHAnsi"/>
        </w:rPr>
        <w:t xml:space="preserve"> de 20</w:t>
      </w:r>
      <w:r w:rsidR="00797449" w:rsidRPr="0021579C">
        <w:rPr>
          <w:rFonts w:asciiTheme="minorHAnsi" w:hAnsiTheme="minorHAnsi" w:cstheme="minorHAnsi"/>
        </w:rPr>
        <w:t>2</w:t>
      </w:r>
      <w:r w:rsidR="007631EC" w:rsidRPr="0021579C">
        <w:rPr>
          <w:rFonts w:asciiTheme="minorHAnsi" w:hAnsiTheme="minorHAnsi" w:cstheme="minorHAnsi"/>
        </w:rPr>
        <w:t>3</w:t>
      </w:r>
      <w:r w:rsidRPr="0021579C">
        <w:rPr>
          <w:rFonts w:asciiTheme="minorHAnsi" w:hAnsiTheme="minorHAnsi" w:cstheme="minorHAnsi"/>
        </w:rPr>
        <w:t>.</w:t>
      </w:r>
    </w:p>
    <w:p w14:paraId="4394C63E" w14:textId="555AE3AB" w:rsidR="00737ED5" w:rsidRPr="0021579C" w:rsidRDefault="007631EC" w:rsidP="0021579C">
      <w:pPr>
        <w:rPr>
          <w:rFonts w:asciiTheme="minorHAnsi" w:hAnsiTheme="minorHAnsi" w:cstheme="minorHAnsi"/>
        </w:rPr>
      </w:pPr>
      <w:r w:rsidRPr="0021579C">
        <w:rPr>
          <w:rFonts w:asciiTheme="minorHAnsi" w:hAnsiTheme="minorHAnsi" w:cstheme="minorHAnsi"/>
        </w:rPr>
        <w:t>El</w:t>
      </w:r>
      <w:r w:rsidR="001C5BBC" w:rsidRPr="0021579C">
        <w:rPr>
          <w:rFonts w:asciiTheme="minorHAnsi" w:hAnsiTheme="minorHAnsi" w:cstheme="minorHAnsi"/>
        </w:rPr>
        <w:t xml:space="preserve"> Consejer</w:t>
      </w:r>
      <w:r w:rsidRPr="0021579C">
        <w:rPr>
          <w:rFonts w:asciiTheme="minorHAnsi" w:hAnsiTheme="minorHAnsi" w:cstheme="minorHAnsi"/>
        </w:rPr>
        <w:t>o</w:t>
      </w:r>
      <w:r w:rsidR="001C5BBC" w:rsidRPr="0021579C">
        <w:rPr>
          <w:rFonts w:asciiTheme="minorHAnsi" w:hAnsiTheme="minorHAnsi" w:cstheme="minorHAnsi"/>
        </w:rPr>
        <w:t xml:space="preserve"> de </w:t>
      </w:r>
      <w:r w:rsidR="00DA1E27" w:rsidRPr="0021579C">
        <w:rPr>
          <w:rFonts w:asciiTheme="minorHAnsi" w:hAnsiTheme="minorHAnsi" w:cstheme="minorHAnsi"/>
        </w:rPr>
        <w:t>Economí</w:t>
      </w:r>
      <w:r w:rsidR="00347443" w:rsidRPr="0021579C">
        <w:rPr>
          <w:rFonts w:asciiTheme="minorHAnsi" w:hAnsiTheme="minorHAnsi" w:cstheme="minorHAnsi"/>
        </w:rPr>
        <w:t xml:space="preserve">a y </w:t>
      </w:r>
      <w:r w:rsidR="001C5BBC" w:rsidRPr="0021579C">
        <w:rPr>
          <w:rFonts w:asciiTheme="minorHAnsi" w:hAnsiTheme="minorHAnsi" w:cstheme="minorHAnsi"/>
        </w:rPr>
        <w:t>Hacienda</w:t>
      </w:r>
      <w:r w:rsidR="0021579C">
        <w:rPr>
          <w:rFonts w:asciiTheme="minorHAnsi" w:hAnsiTheme="minorHAnsi" w:cstheme="minorHAnsi"/>
        </w:rPr>
        <w:t>:</w:t>
      </w:r>
      <w:r w:rsidR="001C5BBC" w:rsidRPr="0021579C">
        <w:rPr>
          <w:rFonts w:asciiTheme="minorHAnsi" w:hAnsiTheme="minorHAnsi" w:cstheme="minorHAnsi"/>
        </w:rPr>
        <w:t xml:space="preserve"> </w:t>
      </w:r>
      <w:r w:rsidRPr="0021579C">
        <w:rPr>
          <w:rFonts w:asciiTheme="minorHAnsi" w:hAnsiTheme="minorHAnsi" w:cstheme="minorHAnsi"/>
        </w:rPr>
        <w:t>José Luis Arasti Pérez</w:t>
      </w:r>
    </w:p>
    <w:p w14:paraId="3D8621F3" w14:textId="77777777" w:rsidR="00737ED5" w:rsidRDefault="00737ED5" w:rsidP="001C5BBC">
      <w:pPr>
        <w:jc w:val="center"/>
        <w:rPr>
          <w:rFonts w:ascii="Arial" w:hAnsi="Arial" w:cs="Arial"/>
        </w:rPr>
      </w:pPr>
    </w:p>
    <w:sectPr w:rsidR="00737ED5" w:rsidSect="00F71055">
      <w:pgSz w:w="11906" w:h="16838"/>
      <w:pgMar w:top="1134" w:right="170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0272297">
    <w:abstractNumId w:val="4"/>
  </w:num>
  <w:num w:numId="2" w16cid:durableId="75396046">
    <w:abstractNumId w:val="5"/>
  </w:num>
  <w:num w:numId="3" w16cid:durableId="348335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401052">
    <w:abstractNumId w:val="2"/>
  </w:num>
  <w:num w:numId="5" w16cid:durableId="2013334803">
    <w:abstractNumId w:val="10"/>
  </w:num>
  <w:num w:numId="6" w16cid:durableId="1893619398">
    <w:abstractNumId w:val="1"/>
  </w:num>
  <w:num w:numId="7" w16cid:durableId="1435976395">
    <w:abstractNumId w:val="0"/>
  </w:num>
  <w:num w:numId="8" w16cid:durableId="21640230">
    <w:abstractNumId w:val="8"/>
  </w:num>
  <w:num w:numId="9" w16cid:durableId="899751331">
    <w:abstractNumId w:val="3"/>
  </w:num>
  <w:num w:numId="10" w16cid:durableId="1114864853">
    <w:abstractNumId w:val="9"/>
  </w:num>
  <w:num w:numId="11" w16cid:durableId="35784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C5BBC"/>
    <w:rsid w:val="00014305"/>
    <w:rsid w:val="00030884"/>
    <w:rsid w:val="0010002F"/>
    <w:rsid w:val="001C5BBC"/>
    <w:rsid w:val="0021579C"/>
    <w:rsid w:val="00233022"/>
    <w:rsid w:val="00251B06"/>
    <w:rsid w:val="002F3FFC"/>
    <w:rsid w:val="00304774"/>
    <w:rsid w:val="00347443"/>
    <w:rsid w:val="004263A1"/>
    <w:rsid w:val="0042675C"/>
    <w:rsid w:val="00444D0E"/>
    <w:rsid w:val="00561BAD"/>
    <w:rsid w:val="00576FE2"/>
    <w:rsid w:val="005952AA"/>
    <w:rsid w:val="005C039A"/>
    <w:rsid w:val="005C03DB"/>
    <w:rsid w:val="005D4934"/>
    <w:rsid w:val="005F4F36"/>
    <w:rsid w:val="006E13B2"/>
    <w:rsid w:val="007138FD"/>
    <w:rsid w:val="0073692F"/>
    <w:rsid w:val="00737ED5"/>
    <w:rsid w:val="007631EC"/>
    <w:rsid w:val="00797449"/>
    <w:rsid w:val="00833E5F"/>
    <w:rsid w:val="00837E35"/>
    <w:rsid w:val="00864DCD"/>
    <w:rsid w:val="00891E3A"/>
    <w:rsid w:val="009603AE"/>
    <w:rsid w:val="00A01D43"/>
    <w:rsid w:val="00A7703E"/>
    <w:rsid w:val="00A77322"/>
    <w:rsid w:val="00B36692"/>
    <w:rsid w:val="00B77D52"/>
    <w:rsid w:val="00BF546F"/>
    <w:rsid w:val="00D31F43"/>
    <w:rsid w:val="00D65CA7"/>
    <w:rsid w:val="00DA07FB"/>
    <w:rsid w:val="00DA1E27"/>
    <w:rsid w:val="00DF1925"/>
    <w:rsid w:val="00E04955"/>
    <w:rsid w:val="00E50B68"/>
    <w:rsid w:val="00E61A08"/>
    <w:rsid w:val="00E87145"/>
    <w:rsid w:val="00E95393"/>
    <w:rsid w:val="00F16219"/>
    <w:rsid w:val="00F71055"/>
    <w:rsid w:val="00FA7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9FA3"/>
  <w15:docId w15:val="{BA9A556F-4858-4229-8179-2801C11F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1612</Words>
  <Characters>8870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Miqueleiz Garayoa, Javier (Economía y Hacienda)</dc:creator>
  <cp:keywords/>
  <dc:description/>
  <cp:lastModifiedBy>Mauleón, Fernando</cp:lastModifiedBy>
  <cp:revision>2</cp:revision>
  <dcterms:created xsi:type="dcterms:W3CDTF">2019-07-29T08:37:00Z</dcterms:created>
  <dcterms:modified xsi:type="dcterms:W3CDTF">2023-12-28T08:40:00Z</dcterms:modified>
</cp:coreProperties>
</file>