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469C1" w14:textId="48E2D1E8" w:rsidR="005C57FC" w:rsidRPr="007C0BA1" w:rsidRDefault="00A37C13" w:rsidP="00A37C13">
      <w:pPr>
        <w:spacing w:line="280" w:lineRule="exact"/>
        <w:ind w:left="-709" w:right="282"/>
        <w:jc w:val="both"/>
        <w:rPr>
          <w:sz w:val="24"/>
          <w:szCs w:val="24"/>
          <w:rFonts w:ascii="DejaVu Serif Condensed" w:hAnsi="DejaVu Serif Condensed"/>
        </w:rPr>
      </w:pPr>
      <w:r>
        <w:rPr>
          <w:sz w:val="24"/>
          <w:rFonts w:ascii="DejaVu Serif Condensed" w:hAnsi="DejaVu Serif Condensed"/>
        </w:rPr>
        <w:t xml:space="preserve">Azaroaren 7</w:t>
      </w:r>
    </w:p>
    <w:p w14:paraId="1929E4E3" w14:textId="3EBC5125" w:rsidR="005C57FC" w:rsidRPr="00340FDD" w:rsidRDefault="00E3053A" w:rsidP="00A37C13">
      <w:pPr>
        <w:spacing w:line="280" w:lineRule="exact"/>
        <w:jc w:val="both"/>
        <w:rPr>
          <w:sz w:val="24"/>
          <w:szCs w:val="24"/>
          <w:rFonts w:ascii="DejaVu Serif Condensed" w:hAnsi="DejaVu Serif Condensed"/>
        </w:rPr>
      </w:pPr>
      <w:r>
        <w:rPr>
          <w:sz w:val="24"/>
          <w:rFonts w:ascii="DejaVu Serif Condensed" w:hAnsi="DejaVu Serif Condensed"/>
        </w:rPr>
        <w:t xml:space="preserve">Union del Pueblo Navarro talde parlamentarioari atxikitako foru parlamentari Leticia San Martín Rodríguez andreak idatziz erantzuteko galdera egin du (11/23/PES-00134), jakiteko ea zergatik erabaki den soilik jaioberriei (eta arrisku handiko haurrei) jartzea arnas birus sinzitialaren (ABS) txertoa, eta ez sei hilabete baino gutxiagoko neska-mutikoei (eta arrisku handiko haurrei). Hona hemen Nafarroako Gobernuko Osasun kontseilariak horri buruz ematen dion informazioa:</w:t>
      </w:r>
    </w:p>
    <w:p w14:paraId="773E8EC9" w14:textId="77777777" w:rsidR="006B05ED" w:rsidRPr="003479BD" w:rsidRDefault="006B05ED" w:rsidP="00A37C13">
      <w:pPr>
        <w:pStyle w:val="NormalWeb"/>
        <w:spacing w:line="280" w:lineRule="exact"/>
        <w:jc w:val="both"/>
        <w:rPr>
          <w:b/>
          <w:rFonts w:ascii="DejaVu Serif Condensed" w:hAnsi="DejaVu Serif Condensed"/>
        </w:rPr>
      </w:pPr>
      <w:r>
        <w:rPr>
          <w:b/>
          <w:rFonts w:ascii="DejaVu Serif Condensed" w:hAnsi="DejaVu Serif Condensed"/>
        </w:rPr>
        <w:t xml:space="preserve">Osasun Ministerioaren markoa</w:t>
      </w:r>
    </w:p>
    <w:p w14:paraId="35F8A94F" w14:textId="77777777" w:rsidR="006B05ED" w:rsidRPr="003479BD" w:rsidRDefault="006B05ED" w:rsidP="00A37C13">
      <w:pPr>
        <w:pStyle w:val="NormalWeb"/>
        <w:spacing w:line="280" w:lineRule="exact"/>
        <w:jc w:val="both"/>
        <w:rPr>
          <w:rFonts w:ascii="DejaVu Serif Condensed" w:hAnsi="DejaVu Serif Condensed"/>
        </w:rPr>
      </w:pPr>
      <w:r>
        <w:rPr>
          <w:rFonts w:ascii="DejaVu Serif Condensed" w:hAnsi="DejaVu Serif Condensed"/>
        </w:rPr>
        <w:t xml:space="preserve">2023-2024 </w:t>
      </w:r>
      <w:hyperlink r:id="rId6" w:history="1">
        <w:r>
          <w:rPr>
            <w:rFonts w:ascii="DejaVu Serif Condensed" w:hAnsi="DejaVu Serif Condensed"/>
          </w:rPr>
          <w:t xml:space="preserve">denboraldian arnas birus sinzitialaren aurka nirsevimab erabiltzeko gomendioen</w:t>
        </w:r>
      </w:hyperlink>
      <w:r>
        <w:rPr>
          <w:rFonts w:ascii="DejaVu Serif Condensed" w:hAnsi="DejaVu Serif Condensed"/>
        </w:rPr>
        <w:t xml:space="preserve"> dokumentua baloratu ondoren (2023ko Txertoen Programarako eta Erregistrorako Ponentziak egin zuen dokumentua), Osasun Publikoko Batzordeak honako hau adostu zuen:</w:t>
      </w:r>
    </w:p>
    <w:p w14:paraId="1F8411F2" w14:textId="77777777" w:rsidR="006B05ED" w:rsidRPr="003479BD" w:rsidRDefault="006B05ED" w:rsidP="00A37C13">
      <w:pPr>
        <w:pStyle w:val="NormalWeb"/>
        <w:spacing w:line="280" w:lineRule="exact"/>
        <w:jc w:val="both"/>
        <w:rPr>
          <w:rFonts w:ascii="DejaVu Serif Condensed" w:hAnsi="DejaVu Serif Condensed"/>
        </w:rPr>
      </w:pPr>
      <w:hyperlink r:id="rId7" w:history="1">
        <w:r>
          <w:rPr>
            <w:rFonts w:ascii="DejaVu Serif Condensed" w:hAnsi="DejaVu Serif Condensed"/>
          </w:rPr>
          <w:t xml:space="preserve">Osasun Publikoko Batzordearen akordioa nirsevimab erabiltzeari buruz.</w:t>
        </w:r>
      </w:hyperlink>
      <w:hyperlink r:id="rId7" w:history="1">
        <w:r>
          <w:rPr>
            <w:rFonts w:ascii="DejaVu Serif Condensed" w:hAnsi="DejaVu Serif Condensed"/>
          </w:rPr>
          <w:t xml:space="preserve">2023 maiatza-ekaina</w:t>
        </w:r>
      </w:hyperlink>
      <w:r>
        <w:rPr>
          <w:rFonts w:ascii="DejaVu Serif Condensed" w:hAnsi="DejaVu Serif Condensed"/>
        </w:rPr>
        <w:t xml:space="preserve">:</w:t>
      </w:r>
    </w:p>
    <w:p w14:paraId="28B12704" w14:textId="77777777" w:rsidR="006B05ED" w:rsidRPr="003479BD" w:rsidRDefault="006B05ED" w:rsidP="00A37C13">
      <w:pPr>
        <w:pStyle w:val="NormalWeb"/>
        <w:spacing w:line="280" w:lineRule="exact"/>
        <w:jc w:val="both"/>
        <w:rPr>
          <w:rFonts w:ascii="DejaVu Serif Condensed" w:hAnsi="DejaVu Serif Condensed"/>
        </w:rPr>
      </w:pPr>
      <w:r>
        <w:rPr>
          <w:rFonts w:ascii="DejaVu Serif Condensed" w:hAnsi="DejaVu Serif Condensed"/>
        </w:rPr>
        <w:t xml:space="preserve">2023ko maiatzaren 9an izandako Osasun Publikoko Batzordearen bileran adostu zen nirsevimab erabiliko zela arnas birus sinzitiala izateko arrisku handiko haurren kasuan.</w:t>
      </w:r>
    </w:p>
    <w:p w14:paraId="2F327D7A" w14:textId="77777777" w:rsidR="006B05ED" w:rsidRPr="003479BD" w:rsidRDefault="006B05ED" w:rsidP="00A37C13">
      <w:pPr>
        <w:pStyle w:val="NormalWeb"/>
        <w:spacing w:line="280" w:lineRule="exact"/>
        <w:jc w:val="both"/>
        <w:rPr>
          <w:rFonts w:ascii="DejaVu Serif Condensed" w:hAnsi="DejaVu Serif Condensed"/>
        </w:rPr>
      </w:pPr>
      <w:r>
        <w:rPr>
          <w:rFonts w:ascii="DejaVu Serif Condensed" w:hAnsi="DejaVu Serif Condensed"/>
        </w:rPr>
        <w:t xml:space="preserve">Bermatu ahal izateko sasoia hastean herritarrek arnas birus sinzitialaren aurka immunizatzeko estrategia bat eskura dutela, eta immunizazio egutegian jasota ez dagoenez, autonomia erkidegoek beren inguruabar espezifikoei jarraikiz erabakiko dute nola eta zer eperen barruan inplementatuko duten Txertoei buruzko ponentziak egindako gomendioen proposamena.</w:t>
      </w:r>
      <w:r>
        <w:rPr>
          <w:rFonts w:ascii="DejaVu Serif Condensed" w:hAnsi="DejaVu Serif Condensed"/>
        </w:rPr>
        <w:t xml:space="preserve"> </w:t>
      </w:r>
      <w:r>
        <w:rPr>
          <w:rFonts w:ascii="DejaVu Serif Condensed" w:hAnsi="DejaVu Serif Condensed"/>
        </w:rPr>
        <w:t xml:space="preserve">Halaber, eta xede horrekin berarekin, une horretara arte immunizazioaren esparruan izan daitezkeen berritasunak ere artatu behar izanen dira, zeinak osorik zein zati batean aldatu ahal izanen dituzten egungo gomendioak, aldian aldiko organismo arautzaileak baimentzeko beharrezko prozedura onetsi ondoren.</w:t>
      </w:r>
      <w:r>
        <w:rPr>
          <w:rFonts w:ascii="DejaVu Serif Condensed" w:hAnsi="DejaVu Serif Condensed"/>
        </w:rPr>
        <w:t xml:space="preserve"> </w:t>
      </w:r>
    </w:p>
    <w:p w14:paraId="3F046D90" w14:textId="0E07A109" w:rsidR="006B05ED" w:rsidRPr="003479BD" w:rsidRDefault="006B05ED" w:rsidP="00A37C13">
      <w:pPr>
        <w:spacing w:line="280" w:lineRule="exact"/>
        <w:jc w:val="both"/>
        <w:rPr>
          <w:sz w:val="24"/>
          <w:szCs w:val="24"/>
          <w:rFonts w:ascii="DejaVu Serif Condensed" w:hAnsi="DejaVu Serif Condensed"/>
        </w:rPr>
      </w:pPr>
      <w:r>
        <w:rPr>
          <w:sz w:val="24"/>
          <w:rFonts w:ascii="DejaVu Serif Condensed" w:hAnsi="DejaVu Serif Condensed"/>
        </w:rPr>
        <w:t xml:space="preserve">Nafarroa</w:t>
      </w:r>
    </w:p>
    <w:p w14:paraId="27EC08A7" w14:textId="77777777" w:rsidR="006B05ED" w:rsidRPr="003479BD" w:rsidRDefault="006B05ED" w:rsidP="00A37C13">
      <w:pPr>
        <w:pStyle w:val="NormalWeb"/>
        <w:spacing w:line="280" w:lineRule="exact"/>
        <w:jc w:val="both"/>
        <w:rPr>
          <w:rFonts w:ascii="DejaVu Serif Condensed" w:hAnsi="DejaVu Serif Condensed"/>
        </w:rPr>
      </w:pPr>
      <w:r>
        <w:rPr>
          <w:rFonts w:ascii="DejaVu Serif Condensed" w:hAnsi="DejaVu Serif Condensed"/>
        </w:rPr>
        <w:t xml:space="preserve">Ildo horretatik, Nafarroako Txertoen Aholku Batzorde Teknikoaren bilera deitu zen, eta irailaren 7an egin zen.</w:t>
      </w:r>
      <w:r>
        <w:rPr>
          <w:rFonts w:ascii="DejaVu Serif Condensed" w:hAnsi="DejaVu Serif Condensed"/>
        </w:rPr>
        <w:t xml:space="preserve"> </w:t>
      </w:r>
      <w:r>
        <w:rPr>
          <w:rFonts w:ascii="DejaVu Serif Condensed" w:hAnsi="DejaVu Serif Condensed"/>
        </w:rPr>
        <w:t xml:space="preserve">Bertan zenbait aukera baloratu ziren eta aho batez honako akordio hau adostu zen:</w:t>
      </w:r>
      <w:r>
        <w:rPr>
          <w:rFonts w:ascii="DejaVu Serif Condensed" w:hAnsi="DejaVu Serif Condensed"/>
        </w:rPr>
        <w:t xml:space="preserve"> </w:t>
      </w:r>
    </w:p>
    <w:p w14:paraId="2514B241" w14:textId="55B98B78" w:rsidR="006B05ED" w:rsidRPr="003479BD" w:rsidRDefault="006B05ED" w:rsidP="00A37C13">
      <w:pPr>
        <w:pStyle w:val="NormalWeb"/>
        <w:spacing w:line="280" w:lineRule="exact"/>
        <w:jc w:val="both"/>
        <w:rPr>
          <w:rFonts w:ascii="DejaVu Serif Condensed" w:hAnsi="DejaVu Serif Condensed"/>
        </w:rPr>
      </w:pPr>
      <w:r>
        <w:rPr>
          <w:rFonts w:ascii="DejaVu Serif Condensed" w:hAnsi="DejaVu Serif Condensed"/>
        </w:rPr>
        <w:t xml:space="preserve">2023/2024 denboraldian Arnas Birus Sinzitialaren aurka nirsevimab antigorputz monoklonarekin immunizatzea honako hauek:</w:t>
      </w:r>
    </w:p>
    <w:p w14:paraId="26073B4F" w14:textId="77777777" w:rsidR="006B05ED" w:rsidRPr="003479BD" w:rsidRDefault="006B05ED" w:rsidP="00A37C13">
      <w:pPr>
        <w:pStyle w:val="NormalWeb"/>
        <w:spacing w:line="280" w:lineRule="exact"/>
        <w:jc w:val="both"/>
        <w:rPr>
          <w:rFonts w:ascii="DejaVu Serif Condensed" w:hAnsi="DejaVu Serif Condensed"/>
        </w:rPr>
      </w:pPr>
      <w:r>
        <w:rPr>
          <w:rFonts w:ascii="DejaVu Serif Condensed" w:hAnsi="DejaVu Serif Condensed"/>
        </w:rPr>
        <w:t xml:space="preserve">• Arnas Birus Sinzitialaren ondorioz gaixotasun larriren bat izateko arriskua duten haurrak, eta orain arte eman den palivizumab antigorputz monoklonala ordeztea..</w:t>
      </w:r>
    </w:p>
    <w:p w14:paraId="7E7B1B6A" w14:textId="77777777" w:rsidR="006B05ED" w:rsidRPr="003479BD" w:rsidRDefault="006B05ED" w:rsidP="00A37C13">
      <w:pPr>
        <w:pStyle w:val="NormalWeb"/>
        <w:spacing w:line="280" w:lineRule="exact"/>
        <w:jc w:val="both"/>
        <w:rPr>
          <w:rFonts w:ascii="DejaVu Serif Condensed" w:hAnsi="DejaVu Serif Condensed"/>
        </w:rPr>
      </w:pPr>
      <w:r>
        <w:rPr>
          <w:rFonts w:ascii="DejaVu Serif Condensed" w:hAnsi="DejaVu Serif Condensed"/>
        </w:rPr>
        <w:t xml:space="preserve">• Immunizazio unibertsala 2023ko urriaren 1etik abenduaren 31ra bitartean jaiotzen diren adingabe guztientzat. 2024ko urtarriletik martxora bitartean jaiotako adingabeek immunizazioarekin jarraitzeko aukera izango dute, egoera epidemiologikoaren, Arnas Birus Sinzitialak gure erkidegoan duen zirkulazioaren eta aurrekontu nahikoa eta iraunkorra izatearen arabera.</w:t>
      </w:r>
      <w:r>
        <w:rPr>
          <w:rFonts w:ascii="DejaVu Serif Condensed" w:hAnsi="DejaVu Serif Condensed"/>
        </w:rPr>
        <w:t xml:space="preserve"> </w:t>
      </w:r>
      <w:r>
        <w:rPr>
          <w:rFonts w:ascii="DejaVu Serif Condensed" w:hAnsi="DejaVu Serif Condensed"/>
        </w:rPr>
        <w:t xml:space="preserve">Immunizazio hori ospitale eremuan eskainiko da, jaio eta 24-48 ordura.</w:t>
      </w:r>
    </w:p>
    <w:p w14:paraId="53D7A9EB" w14:textId="77777777" w:rsidR="006B05ED" w:rsidRPr="003479BD" w:rsidRDefault="006B05ED" w:rsidP="00A37C13">
      <w:pPr>
        <w:pStyle w:val="NormalWeb"/>
        <w:spacing w:line="280" w:lineRule="exact"/>
        <w:jc w:val="both"/>
        <w:rPr>
          <w:rFonts w:ascii="DejaVu Serif Condensed" w:hAnsi="DejaVu Serif Condensed"/>
        </w:rPr>
      </w:pPr>
      <w:r>
        <w:rPr>
          <w:rFonts w:ascii="DejaVu Serif Condensed" w:hAnsi="DejaVu Serif Condensed"/>
        </w:rPr>
        <w:t xml:space="preserve">Akordio hori Osasun Departamentuari helarazi zitzaion, eta 2023ko urriaren 1etik aurrera 2023-2024 denboraldirako hartutako jarraibideak dira.</w:t>
      </w:r>
    </w:p>
    <w:p w14:paraId="139E7251" w14:textId="77777777" w:rsidR="006B05ED" w:rsidRPr="003479BD" w:rsidRDefault="006B05ED" w:rsidP="00A37C13">
      <w:pPr>
        <w:spacing w:line="280" w:lineRule="exact"/>
        <w:jc w:val="both"/>
        <w:rPr>
          <w:b/>
          <w:sz w:val="24"/>
          <w:szCs w:val="24"/>
          <w:rFonts w:ascii="DejaVu Serif Condensed" w:hAnsi="DejaVu Serif Condensed"/>
        </w:rPr>
      </w:pPr>
      <w:r>
        <w:rPr>
          <w:b/>
          <w:sz w:val="24"/>
          <w:rFonts w:ascii="DejaVu Serif Condensed" w:hAnsi="DejaVu Serif Condensed"/>
        </w:rPr>
        <w:t xml:space="preserve">Txertoen Aholku Batzorde Teknikoaren erabakia hartzeko motibazioa</w:t>
      </w:r>
    </w:p>
    <w:p w14:paraId="40944E04" w14:textId="77777777" w:rsidR="006B05ED" w:rsidRPr="003479BD" w:rsidRDefault="006B05ED" w:rsidP="00A37C13">
      <w:pPr>
        <w:pStyle w:val="NormalWeb"/>
        <w:spacing w:line="280" w:lineRule="exact"/>
        <w:jc w:val="both"/>
        <w:rPr>
          <w:rFonts w:ascii="DejaVu Serif Condensed" w:hAnsi="DejaVu Serif Condensed"/>
        </w:rPr>
      </w:pPr>
      <w:r>
        <w:rPr>
          <w:rFonts w:ascii="DejaVu Serif Condensed" w:hAnsi="DejaVu Serif Condensed"/>
        </w:rPr>
        <w:t xml:space="preserve">Epidemiologiaren eta Osasun Prebentzioaren Zerbitzuak azaldu zuenez, populazioarentzako programa bat ezartzeak, fitxa teknikoan adierazitako indikazioarekin bat etorriz, eragina izanen luke asistentzia sanitarioaren lan karga murriztean, ospitaleko egonaldian eta ABSak eragindako infekzioaren ondoriozko kostu zuzenetan.</w:t>
      </w:r>
      <w:r>
        <w:rPr>
          <w:rFonts w:ascii="DejaVu Serif Condensed" w:hAnsi="DejaVu Serif Condensed"/>
        </w:rPr>
        <w:t xml:space="preserve"> </w:t>
      </w:r>
      <w:r>
        <w:rPr>
          <w:rFonts w:ascii="DejaVu Serif Condensed" w:hAnsi="DejaVu Serif Condensed"/>
        </w:rPr>
        <w:t xml:space="preserve">Hala ere, murrizketa hori Osasun Publikoko inbertsio baten kontura gauzatuko litzateke, 2022-23 denboraldian aztertutako adin taldean izandako zuzeneko kostu guztien ia bikoitza (518.572,50 vs. 1.003.768,48 euro).</w:t>
      </w:r>
      <w:r>
        <w:rPr>
          <w:rFonts w:ascii="DejaVu Serif Condensed" w:hAnsi="DejaVu Serif Condensed"/>
        </w:rPr>
        <w:t xml:space="preserve"> </w:t>
      </w:r>
      <w:r>
        <w:rPr>
          <w:rFonts w:ascii="DejaVu Serif Condensed" w:hAnsi="DejaVu Serif Condensed"/>
        </w:rPr>
        <w:t xml:space="preserve">Bestela esanda, farmakoa erosteak kohorte osoari eraginen liokeen zuzeneko kostua kohorte horretan ABSaren infekzioak eragindako osasun-asistentzian inbertitzen den diruaren ia bikoitza izanen litzateke (1,94 aldiz).</w:t>
      </w:r>
    </w:p>
    <w:p w14:paraId="1481B8F6" w14:textId="77777777" w:rsidR="006B05ED" w:rsidRPr="003479BD" w:rsidRDefault="006B05ED" w:rsidP="00A37C13">
      <w:pPr>
        <w:pStyle w:val="NormalWeb"/>
        <w:spacing w:line="280" w:lineRule="exact"/>
        <w:jc w:val="both"/>
        <w:rPr>
          <w:rFonts w:ascii="DejaVu Serif Condensed" w:hAnsi="DejaVu Serif Condensed"/>
        </w:rPr>
      </w:pPr>
      <w:r>
        <w:rPr>
          <w:rFonts w:ascii="DejaVu Serif Condensed" w:hAnsi="DejaVu Serif Condensed"/>
        </w:rPr>
        <w:t xml:space="preserve">Osasun Sistema Nazionaleko Farmaziako eta Osasun Prestazioetako Zuzendariordetzak azaldu zuen zer ondorio izanen luke arrisku handiko haurren profilaxitik 6 hilabetetik beherakoen profilaxi unibertsalera igarotzea.</w:t>
      </w:r>
    </w:p>
    <w:p w14:paraId="4FA1701C" w14:textId="77777777" w:rsidR="006B05ED" w:rsidRPr="003479BD" w:rsidRDefault="006B05ED" w:rsidP="00A37C13">
      <w:pPr>
        <w:pStyle w:val="NormalWeb"/>
        <w:spacing w:line="280" w:lineRule="exact"/>
        <w:jc w:val="both"/>
        <w:rPr>
          <w:rFonts w:ascii="DejaVu Serif Condensed" w:hAnsi="DejaVu Serif Condensed"/>
        </w:rPr>
      </w:pPr>
      <w:r>
        <w:rPr>
          <w:rFonts w:ascii="DejaVu Serif Condensed" w:hAnsi="DejaVu Serif Condensed"/>
        </w:rPr>
        <w:t xml:space="preserve">Gaixotasun Transmitigarrien eta Txertaketen Atalak immunizazio egoera alternatiboak proposatu zituen, gaixotasunaren epidemiologiaren eta birusaren zirkulazioaren arabera.</w:t>
      </w:r>
      <w:r>
        <w:rPr>
          <w:rFonts w:ascii="DejaVu Serif Condensed" w:hAnsi="DejaVu Serif Condensed"/>
        </w:rPr>
        <w:t xml:space="preserve"> </w:t>
      </w:r>
      <w:r>
        <w:rPr>
          <w:rFonts w:ascii="DejaVu Serif Condensed" w:hAnsi="DejaVu Serif Condensed"/>
        </w:rPr>
        <w:t xml:space="preserve">Ildo horretatik, azaldu zen ABSaren ondoriozko infekzioa izateko arriskurik handiena azaroan jaiotako haurrek dutela, eta neurri txikiagoan urrian eta abenduan jaioen direnek.</w:t>
      </w:r>
      <w:r>
        <w:rPr>
          <w:rFonts w:ascii="DejaVu Serif Condensed" w:hAnsi="DejaVu Serif Condensed"/>
        </w:rPr>
        <w:t xml:space="preserve"> </w:t>
      </w:r>
      <w:r>
        <w:rPr>
          <w:rFonts w:ascii="DejaVu Serif Condensed" w:hAnsi="DejaVu Serif Condensed"/>
        </w:rPr>
        <w:t xml:space="preserve">Gainera, azaltzen da immunizazio unibertsal prospektiborako estrategia bat hartzeak, kostuak aurrezteaz gain, onura maximizatzen duela eta immunizazio programa errazagoa egiten duela, programa hori ospitaleetan gauza baitaiteke, jaioberriari alta eman aurretik.</w:t>
      </w:r>
      <w:r>
        <w:rPr>
          <w:rFonts w:ascii="DejaVu Serif Condensed" w:hAnsi="DejaVu Serif Condensed"/>
        </w:rPr>
        <w:t xml:space="preserve"> </w:t>
      </w:r>
      <w:r>
        <w:rPr>
          <w:rFonts w:ascii="DejaVu Serif Condensed" w:hAnsi="DejaVu Serif Condensed"/>
        </w:rPr>
        <w:t xml:space="preserve">2023ko urritik abendura bitartean jaiotakoen profilaxia arrisku handiko faktorerik gabe jaiotako 1.153 bat haurri zuzenduta egonen litzateke.</w:t>
      </w:r>
      <w:r>
        <w:rPr>
          <w:rFonts w:ascii="DejaVu Serif Condensed" w:hAnsi="DejaVu Serif Condensed"/>
        </w:rPr>
        <w:t xml:space="preserve"> </w:t>
      </w:r>
    </w:p>
    <w:p w14:paraId="7F56CB98" w14:textId="77777777" w:rsidR="006B05ED" w:rsidRPr="003479BD" w:rsidRDefault="006B05ED" w:rsidP="00A37C13">
      <w:pPr>
        <w:pStyle w:val="NormalWeb"/>
        <w:spacing w:line="280" w:lineRule="exact"/>
        <w:jc w:val="both"/>
        <w:rPr>
          <w:rFonts w:ascii="DejaVu Serif Condensed" w:hAnsi="DejaVu Serif Condensed"/>
        </w:rPr>
      </w:pPr>
      <w:r>
        <w:rPr>
          <w:rFonts w:ascii="DejaVu Serif Condensed" w:hAnsi="DejaVu Serif Condensed"/>
        </w:rPr>
        <w:t xml:space="preserve">Aurkezpenaren ondoren, eztabaida bat hasi zen. Eztabaida horretan, bai HUNko Pediatria Atalak bai ANPE elkarte zientifikoak agerian utzi zuten nirsevimab behar zela birusaren zirkulazio denboraldian ABSak eragindako asistentziaren gainkarga minimizatzeko, bai ospitaleratzeetan, bai Oinarrizko Osasun Laguntzan.</w:t>
      </w:r>
    </w:p>
    <w:p w14:paraId="3FCD75DD" w14:textId="77777777" w:rsidR="006B05ED" w:rsidRPr="003479BD" w:rsidRDefault="006B05ED" w:rsidP="00A37C13">
      <w:pPr>
        <w:pStyle w:val="NormalWeb"/>
        <w:spacing w:line="280" w:lineRule="exact"/>
        <w:jc w:val="both"/>
        <w:rPr>
          <w:rFonts w:ascii="DejaVu Serif Condensed" w:hAnsi="DejaVu Serif Condensed"/>
        </w:rPr>
      </w:pPr>
      <w:r>
        <w:rPr>
          <w:rFonts w:ascii="DejaVu Serif Condensed" w:hAnsi="DejaVu Serif Condensed"/>
        </w:rPr>
        <w:t xml:space="preserve">Era berean, Nafarroako Farmazia Antolamendu eta Ikuskapenaren Atalak adierazi zuen Espainia osoko Farmakozaintza Zentroek farmakozaintza intentsiboko plan bat jarri dutela abian sendagai horretarako, segurtasunari buruzko daturik ez dagoelako.</w:t>
      </w:r>
      <w:r>
        <w:rPr>
          <w:rFonts w:ascii="DejaVu Serif Condensed" w:hAnsi="DejaVu Serif Condensed"/>
        </w:rPr>
        <w:t xml:space="preserve"> </w:t>
      </w:r>
      <w:r>
        <w:rPr>
          <w:rFonts w:ascii="DejaVu Serif Condensed" w:hAnsi="DejaVu Serif Condensed"/>
        </w:rPr>
        <w:t xml:space="preserve">Plan hori AEMPSek koordinatzen du, Farmakozaintzako zentro autonomikoekin batera, eta giza erabilerarako sendagaien segurtasun batzordean eztabaidatuko da.</w:t>
      </w:r>
    </w:p>
    <w:p w14:paraId="482F6BA3" w14:textId="77777777" w:rsidR="006B05ED" w:rsidRPr="003479BD" w:rsidRDefault="006B05ED" w:rsidP="00A37C13">
      <w:pPr>
        <w:pStyle w:val="NormalWeb"/>
        <w:spacing w:line="280" w:lineRule="exact"/>
        <w:jc w:val="both"/>
        <w:rPr>
          <w:rFonts w:ascii="DejaVu Serif Condensed" w:hAnsi="DejaVu Serif Condensed"/>
        </w:rPr>
      </w:pPr>
      <w:r>
        <w:rPr>
          <w:rFonts w:ascii="DejaVu Serif Condensed" w:hAnsi="DejaVu Serif Condensed"/>
        </w:rPr>
        <w:t xml:space="preserve">Halaber, Nafarroan gurasoentzako informazioa biltzen duen formatu lagungarriko dokumentu bat egitearen garrantzia eztabaidatu zen.</w:t>
      </w:r>
    </w:p>
    <w:p w14:paraId="5E412993" w14:textId="77777777" w:rsidR="006B05ED" w:rsidRPr="003479BD" w:rsidRDefault="006B05ED" w:rsidP="00A37C13">
      <w:pPr>
        <w:pStyle w:val="NormalWeb"/>
        <w:spacing w:line="280" w:lineRule="exact"/>
        <w:jc w:val="both"/>
        <w:rPr>
          <w:rFonts w:ascii="DejaVu Serif Condensed" w:hAnsi="DejaVu Serif Condensed"/>
        </w:rPr>
      </w:pPr>
      <w:r>
        <w:rPr>
          <w:rFonts w:ascii="DejaVu Serif Condensed" w:hAnsi="DejaVu Serif Condensed"/>
        </w:rPr>
        <w:t xml:space="preserve">Ildo horretan, nabarmendu zen oso garrantzitsua dela detektatzen diren kontrako erreakzio guztien susmoak jakinaraztea eta dokumentu horretan nola eta non jakinarazi behar den azaltzea.</w:t>
      </w:r>
    </w:p>
    <w:p w14:paraId="597334BA" w14:textId="606C4E22" w:rsidR="005C57FC" w:rsidRPr="00A37C13" w:rsidRDefault="006B05ED" w:rsidP="00A37C13">
      <w:pPr>
        <w:pStyle w:val="NormalWeb"/>
        <w:spacing w:line="280" w:lineRule="exact"/>
        <w:jc w:val="both"/>
        <w:rPr>
          <w:rFonts w:ascii="DejaVu Serif Condensed" w:hAnsi="DejaVu Serif Condensed"/>
        </w:rPr>
      </w:pPr>
      <w:r>
        <w:rPr>
          <w:rFonts w:ascii="DejaVu Serif Condensed" w:hAnsi="DejaVu Serif Condensed"/>
        </w:rPr>
        <w:t xml:space="preserve">Behin neurriaren alde onak eta txarrak ikusi ondoren, aho batez erabaki zen, ABSaren ondoriozko gaixotasun larria izateko arrisku handia duten haurrentzako immunizazioan palivizumab farmakoa ordezteaz gain, 2023ko urriaren 1etik 2023ko abenduaren 31ra bitartean jaiotako haur guztiei immunizazio unibertsala jartzea, eta 2024ko urtarriletik martxora bitartean jaiotako haurrek immunizazioarekin jarraitzeko aukera zabalik uztea, egoera epidemiologikoaren, gure erkidegoan Arnas Birus Sinzitialaren zirkulazioaren eta aurrekontu nahikoa eta iraunkorra izatearen arabera.</w:t>
      </w:r>
    </w:p>
    <w:p w14:paraId="1A1B8C79" w14:textId="4CB1EA0A" w:rsidR="005C57FC" w:rsidRPr="007C0BA1" w:rsidRDefault="005C57FC" w:rsidP="00A37C13">
      <w:pPr>
        <w:spacing w:line="280" w:lineRule="exact"/>
        <w:jc w:val="both"/>
        <w:rPr>
          <w:sz w:val="24"/>
          <w:szCs w:val="24"/>
          <w:rFonts w:ascii="DejaVu Serif Condensed" w:hAnsi="DejaVu Serif Condensed"/>
        </w:rPr>
      </w:pPr>
      <w:r>
        <w:rPr>
          <w:sz w:val="24"/>
          <w:rFonts w:ascii="DejaVu Serif Condensed" w:hAnsi="DejaVu Serif Condensed"/>
        </w:rPr>
        <w:t xml:space="preserve">Hori guztia jakinarazten dizut, Nafarroako Parlamentuko Erregelamenduaren 215. artikulua betez.</w:t>
      </w:r>
    </w:p>
    <w:p w14:paraId="2DE8C092" w14:textId="77777777" w:rsidR="007C0BA1" w:rsidRPr="007C0BA1" w:rsidRDefault="007C0BA1" w:rsidP="00A37C13">
      <w:pPr>
        <w:spacing w:line="280" w:lineRule="exact"/>
        <w:jc w:val="center"/>
        <w:rPr>
          <w:sz w:val="24"/>
          <w:szCs w:val="24"/>
          <w:rFonts w:ascii="DejaVu Serif Condensed" w:hAnsi="DejaVu Serif Condensed"/>
        </w:rPr>
      </w:pPr>
      <w:r>
        <w:rPr>
          <w:sz w:val="24"/>
          <w:rFonts w:ascii="DejaVu Serif Condensed" w:hAnsi="DejaVu Serif Condensed"/>
        </w:rPr>
        <w:t xml:space="preserve">Iruñean, 2023ko urriaren 24an</w:t>
      </w:r>
    </w:p>
    <w:p w14:paraId="7790F7A5" w14:textId="35FE59A6" w:rsidR="005E442E" w:rsidRPr="007C0BA1" w:rsidRDefault="00A37C13" w:rsidP="00A37C13">
      <w:pPr>
        <w:spacing w:line="280" w:lineRule="exact"/>
        <w:jc w:val="center"/>
        <w:rPr>
          <w:sz w:val="24"/>
          <w:szCs w:val="24"/>
          <w:rFonts w:ascii="DejaVu Serif Condensed" w:hAnsi="DejaVu Serif Condensed"/>
        </w:rPr>
      </w:pPr>
      <w:r>
        <w:rPr>
          <w:sz w:val="24"/>
          <w:rFonts w:ascii="DejaVu Serif Condensed" w:hAnsi="DejaVu Serif Condensed"/>
        </w:rPr>
        <w:t xml:space="preserve">Osasuneko kontseilaria:</w:t>
      </w:r>
      <w:r>
        <w:rPr>
          <w:sz w:val="24"/>
          <w:rFonts w:ascii="DejaVu Serif Condensed" w:hAnsi="DejaVu Serif Condensed"/>
        </w:rPr>
        <w:t xml:space="preserve"> </w:t>
      </w:r>
      <w:r>
        <w:rPr>
          <w:sz w:val="24"/>
          <w:rFonts w:ascii="DejaVu Serif Condensed" w:hAnsi="DejaVu Serif Condensed"/>
        </w:rPr>
        <w:t xml:space="preserve">Fernando Domínguez Cunchillos</w:t>
      </w:r>
    </w:p>
    <w:sectPr w:rsidR="005E442E" w:rsidRPr="007C0BA1" w:rsidSect="00A37C13">
      <w:pgSz w:w="11907" w:h="16840" w:code="9"/>
      <w:pgMar w:top="1134" w:right="1559"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95E70" w14:textId="77777777" w:rsidR="00B81DF9" w:rsidRDefault="00B81DF9" w:rsidP="00805581">
      <w:r>
        <w:separator/>
      </w:r>
    </w:p>
  </w:endnote>
  <w:endnote w:type="continuationSeparator" w:id="0">
    <w:p w14:paraId="5790DD10" w14:textId="77777777" w:rsidR="00B81DF9" w:rsidRDefault="00B81DF9"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erif Condensed">
    <w:altName w:val="Sylfaen"/>
    <w:charset w:val="00"/>
    <w:family w:val="roman"/>
    <w:pitch w:val="variable"/>
    <w:sig w:usb0="E50006FF" w:usb1="5200F9FB" w:usb2="0A04002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97D8A" w14:textId="77777777" w:rsidR="00B81DF9" w:rsidRDefault="00B81DF9" w:rsidP="00805581">
      <w:r>
        <w:separator/>
      </w:r>
    </w:p>
  </w:footnote>
  <w:footnote w:type="continuationSeparator" w:id="0">
    <w:p w14:paraId="061A0B8E" w14:textId="77777777" w:rsidR="00B81DF9" w:rsidRDefault="00B81DF9" w:rsidP="008055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noTabHangInd/>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A18"/>
    <w:rsid w:val="00004FCE"/>
    <w:rsid w:val="00047109"/>
    <w:rsid w:val="00061227"/>
    <w:rsid w:val="00061978"/>
    <w:rsid w:val="000747BF"/>
    <w:rsid w:val="000C24EC"/>
    <w:rsid w:val="000C2BAE"/>
    <w:rsid w:val="00150F99"/>
    <w:rsid w:val="0015364A"/>
    <w:rsid w:val="00187E82"/>
    <w:rsid w:val="001C10F8"/>
    <w:rsid w:val="001C1E70"/>
    <w:rsid w:val="001E7D6B"/>
    <w:rsid w:val="00207D6A"/>
    <w:rsid w:val="00235E3A"/>
    <w:rsid w:val="00264D61"/>
    <w:rsid w:val="00266A20"/>
    <w:rsid w:val="00302F80"/>
    <w:rsid w:val="003217FB"/>
    <w:rsid w:val="00340FDD"/>
    <w:rsid w:val="003479BD"/>
    <w:rsid w:val="00377151"/>
    <w:rsid w:val="003A0CE7"/>
    <w:rsid w:val="0040150F"/>
    <w:rsid w:val="00443B5F"/>
    <w:rsid w:val="00462CA9"/>
    <w:rsid w:val="00491B64"/>
    <w:rsid w:val="004B5C04"/>
    <w:rsid w:val="004C3705"/>
    <w:rsid w:val="00564CC7"/>
    <w:rsid w:val="005C36E7"/>
    <w:rsid w:val="005C57FC"/>
    <w:rsid w:val="005D3701"/>
    <w:rsid w:val="005E442E"/>
    <w:rsid w:val="00632DDC"/>
    <w:rsid w:val="006360EF"/>
    <w:rsid w:val="00654E5C"/>
    <w:rsid w:val="006B05ED"/>
    <w:rsid w:val="00730366"/>
    <w:rsid w:val="007B5B6D"/>
    <w:rsid w:val="007C0BA1"/>
    <w:rsid w:val="00800A18"/>
    <w:rsid w:val="00805581"/>
    <w:rsid w:val="008303D7"/>
    <w:rsid w:val="00857FEB"/>
    <w:rsid w:val="00872BB8"/>
    <w:rsid w:val="00901F02"/>
    <w:rsid w:val="00915D78"/>
    <w:rsid w:val="00924421"/>
    <w:rsid w:val="00932262"/>
    <w:rsid w:val="00950A82"/>
    <w:rsid w:val="009620D6"/>
    <w:rsid w:val="009A0F11"/>
    <w:rsid w:val="009C585B"/>
    <w:rsid w:val="009F2469"/>
    <w:rsid w:val="00A23304"/>
    <w:rsid w:val="00A37C13"/>
    <w:rsid w:val="00A701BE"/>
    <w:rsid w:val="00AB066C"/>
    <w:rsid w:val="00B7603A"/>
    <w:rsid w:val="00B81DF9"/>
    <w:rsid w:val="00B95259"/>
    <w:rsid w:val="00BA0FC9"/>
    <w:rsid w:val="00BD62C4"/>
    <w:rsid w:val="00C01890"/>
    <w:rsid w:val="00CF554E"/>
    <w:rsid w:val="00D23AFB"/>
    <w:rsid w:val="00D57D81"/>
    <w:rsid w:val="00D83E62"/>
    <w:rsid w:val="00DD3120"/>
    <w:rsid w:val="00DD4A22"/>
    <w:rsid w:val="00DE5C78"/>
    <w:rsid w:val="00E01BCD"/>
    <w:rsid w:val="00E0202E"/>
    <w:rsid w:val="00E2075A"/>
    <w:rsid w:val="00E3053A"/>
    <w:rsid w:val="00E42E78"/>
    <w:rsid w:val="00E55333"/>
    <w:rsid w:val="00EA380B"/>
    <w:rsid w:val="00F25A76"/>
    <w:rsid w:val="00F307AE"/>
    <w:rsid w:val="00F96648"/>
    <w:rsid w:val="00FC7290"/>
    <w:rsid w:val="00FF0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7F8979"/>
  <w15:chartTrackingRefBased/>
  <w15:docId w15:val="{D5765CFC-19C4-49E3-A5F3-83749AE71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rPr>
      <w:lang w:val="eu-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u-ES"/>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u-ES"/>
    </w:rPr>
  </w:style>
  <w:style w:type="paragraph" w:styleId="Piedepgina">
    <w:name w:val="footer"/>
    <w:basedOn w:val="Normal"/>
    <w:link w:val="PiedepginaCar"/>
    <w:rsid w:val="00805581"/>
    <w:pPr>
      <w:tabs>
        <w:tab w:val="center" w:pos="4252"/>
        <w:tab w:val="right" w:pos="8504"/>
      </w:tabs>
    </w:pPr>
  </w:style>
  <w:style w:type="character" w:customStyle="1" w:styleId="PiedepginaCar">
    <w:name w:val="Pie de página Car"/>
    <w:link w:val="Piedepgina"/>
    <w:rsid w:val="00805581"/>
    <w:rPr>
      <w:lang w:val="eu-ES"/>
    </w:rPr>
  </w:style>
  <w:style w:type="paragraph" w:styleId="NormalWeb">
    <w:name w:val="Normal (Web)"/>
    <w:basedOn w:val="Normal"/>
    <w:uiPriority w:val="99"/>
    <w:unhideWhenUsed/>
    <w:rsid w:val="006B05ED"/>
    <w:pPr>
      <w:spacing w:before="100" w:beforeAutospacing="1" w:after="100" w:afterAutospacing="1"/>
    </w:pPr>
    <w:rPr>
      <w:sz w:val="24"/>
      <w:szCs w:val="24"/>
      <w:lang w:val="eu-ES"/>
    </w:rPr>
  </w:style>
  <w:style w:type="character" w:customStyle="1" w:styleId="negrita">
    <w:name w:val="negrita"/>
    <w:rsid w:val="006B05ED"/>
  </w:style>
  <w:style w:type="character" w:styleId="Hipervnculo">
    <w:name w:val="Hyperlink"/>
    <w:uiPriority w:val="99"/>
    <w:unhideWhenUsed/>
    <w:rsid w:val="006B05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anidad.gob.es/areas/promocionPrevencion/vacunaciones/comoTrabajamos/sincitial.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nidad.gob.es/areas/promocionPrevencion/vacunaciones/comoTrabajamos/docs/Nirsevimab.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1084</Words>
  <Characters>5963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7033</CharactersWithSpaces>
  <SharedDoc>false</SharedDoc>
  <HLinks>
    <vt:vector size="12" baseType="variant">
      <vt:variant>
        <vt:i4>8192113</vt:i4>
      </vt:variant>
      <vt:variant>
        <vt:i4>3</vt:i4>
      </vt:variant>
      <vt:variant>
        <vt:i4>0</vt:i4>
      </vt:variant>
      <vt:variant>
        <vt:i4>5</vt:i4>
      </vt:variant>
      <vt:variant>
        <vt:lpwstr>https://www.sanidad.gob.es/areas/promocionPrevencion/vacunaciones/comoTrabajamos/sincitial.htm</vt:lpwstr>
      </vt:variant>
      <vt:variant>
        <vt:lpwstr/>
      </vt:variant>
      <vt:variant>
        <vt:i4>5505043</vt:i4>
      </vt:variant>
      <vt:variant>
        <vt:i4>0</vt:i4>
      </vt:variant>
      <vt:variant>
        <vt:i4>0</vt:i4>
      </vt:variant>
      <vt:variant>
        <vt:i4>5</vt:i4>
      </vt:variant>
      <vt:variant>
        <vt:lpwstr>https://www.sanidad.gob.es/areas/promocionPrevencion/vacunaciones/comoTrabajamos/docs/Nirsevimab.pdf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Aranaz, Carlota</cp:lastModifiedBy>
  <cp:revision>3</cp:revision>
  <dcterms:created xsi:type="dcterms:W3CDTF">2023-11-07T10:54:00Z</dcterms:created>
  <dcterms:modified xsi:type="dcterms:W3CDTF">2023-11-07T10:56:00Z</dcterms:modified>
</cp:coreProperties>
</file>