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1BAE" w14:textId="77777777" w:rsidR="001C3A32"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44865297" wp14:editId="161D7A99">
                <wp:simplePos x="0" y="0"/>
                <wp:positionH relativeFrom="column">
                  <wp:posOffset>-270510</wp:posOffset>
                </wp:positionH>
                <wp:positionV relativeFrom="paragraph">
                  <wp:posOffset>-330200</wp:posOffset>
                </wp:positionV>
                <wp:extent cx="1157469" cy="1145894"/>
                <wp:effectExtent l="0" t="0" r="508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469" cy="114589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9949DB" w:rsidRPr="003A7956" w:rsidRDefault="009949DB" w:rsidP="004C3423">
                            <w:pPr>
                              <w:spacing w:after="0"/>
                              <w:ind w:firstLine="0"/>
                              <w:jc w:val="center"/>
                              <w:rPr>
                                <w:sz w:val="18"/>
                                <w:szCs w:val="18"/>
                              </w:rPr>
                            </w:pPr>
                            <w:r>
                              <w:rPr>
                                <w:sz w:val="18"/>
                              </w:rPr>
                              <w:t>CAMARA DE</w:t>
                            </w:r>
                          </w:p>
                          <w:p w14:paraId="014AEEE6" w14:textId="77777777" w:rsidR="009949DB" w:rsidRPr="003A7956" w:rsidRDefault="009949DB" w:rsidP="004C3423">
                            <w:pPr>
                              <w:spacing w:after="0"/>
                              <w:ind w:firstLine="0"/>
                              <w:jc w:val="center"/>
                              <w:rPr>
                                <w:sz w:val="18"/>
                                <w:szCs w:val="18"/>
                              </w:rPr>
                            </w:pPr>
                            <w:r>
                              <w:rPr>
                                <w:sz w:val="18"/>
                              </w:rPr>
                              <w:t>COMPTOS</w:t>
                            </w:r>
                          </w:p>
                          <w:p w14:paraId="44471B96" w14:textId="77777777" w:rsidR="009949DB" w:rsidRPr="003A7956" w:rsidRDefault="009949DB" w:rsidP="004C3423">
                            <w:pPr>
                              <w:spacing w:after="0"/>
                              <w:ind w:firstLine="0"/>
                              <w:jc w:val="center"/>
                              <w:rPr>
                                <w:sz w:val="18"/>
                                <w:szCs w:val="18"/>
                              </w:rPr>
                            </w:pPr>
                            <w:r>
                              <w:rPr>
                                <w:sz w:val="18"/>
                              </w:rPr>
                              <w:t>DE NAVARRA</w:t>
                            </w:r>
                          </w:p>
                          <w:p w14:paraId="07A085F6" w14:textId="77777777" w:rsidR="009949DB" w:rsidRPr="003A7956" w:rsidRDefault="009949DB" w:rsidP="004C3423">
                            <w:pPr>
                              <w:spacing w:after="0"/>
                              <w:ind w:firstLine="0"/>
                              <w:jc w:val="center"/>
                              <w:rPr>
                                <w:color w:val="808080"/>
                                <w:sz w:val="18"/>
                                <w:szCs w:val="18"/>
                              </w:rPr>
                            </w:pPr>
                            <w:r>
                              <w:rPr>
                                <w:color w:val="808080"/>
                                <w:sz w:val="18"/>
                              </w:rPr>
                              <w:t>NAFARROAKO</w:t>
                            </w:r>
                          </w:p>
                          <w:p w14:paraId="0496B026" w14:textId="77777777" w:rsidR="009949DB" w:rsidRPr="003A7956" w:rsidRDefault="009949DB" w:rsidP="004C3423">
                            <w:pPr>
                              <w:spacing w:after="0"/>
                              <w:ind w:firstLine="0"/>
                              <w:jc w:val="center"/>
                              <w:rPr>
                                <w:color w:val="808080"/>
                                <w:sz w:val="18"/>
                                <w:szCs w:val="18"/>
                              </w:rPr>
                            </w:pPr>
                            <w:r>
                              <w:rPr>
                                <w:color w:val="808080"/>
                                <w:sz w:val="18"/>
                              </w:rPr>
                              <w:t>KONTUEN</w:t>
                            </w:r>
                          </w:p>
                          <w:p w14:paraId="376CDB4B" w14:textId="77777777" w:rsidR="009949DB" w:rsidRPr="003A7956" w:rsidRDefault="009949DB" w:rsidP="004C3423">
                            <w:pPr>
                              <w:spacing w:after="0"/>
                              <w:ind w:firstLine="0"/>
                              <w:jc w:val="center"/>
                              <w:rPr>
                                <w:color w:val="808080"/>
                                <w:sz w:val="18"/>
                                <w:szCs w:val="18"/>
                              </w:rPr>
                            </w:pPr>
                            <w:r>
                              <w:rPr>
                                <w:color w:val="808080"/>
                                <w:sz w:val="18"/>
                              </w:rPr>
                              <w:t>GANBERA</w:t>
                            </w:r>
                          </w:p>
                          <w:p w14:paraId="672A6659" w14:textId="77777777" w:rsidR="009949DB" w:rsidRPr="002C7026" w:rsidRDefault="009949DB"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21.3pt;margin-top:-26pt;width:91.15pt;height: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" stroked="f" strokecolor="white">
                <v:textbox>
                  <w:txbxContent>
                    <w:p w14:paraId="7CE9EDB8" w14:textId="77777777" w:rsidR="009949DB" w:rsidRPr="003A7956" w:rsidRDefault="009949DB" w:rsidP="004C3423">
                      <w:pPr>
                        <w:spacing w:after="0"/>
                        <w:ind w:firstLine="0"/>
                        <w:jc w:val="center"/>
                        <w:rPr>
                          <w:sz w:val="18"/>
                          <w:szCs w:val="18"/>
                        </w:rPr>
                      </w:pPr>
                      <w:r>
                        <w:rPr>
                          <w:sz w:val="18"/>
                        </w:rPr>
                        <w:t>CAMARA DE</w:t>
                      </w:r>
                    </w:p>
                    <w:p w14:paraId="014AEEE6" w14:textId="77777777" w:rsidR="009949DB" w:rsidRPr="003A7956" w:rsidRDefault="009949DB" w:rsidP="004C3423">
                      <w:pPr>
                        <w:spacing w:after="0"/>
                        <w:ind w:firstLine="0"/>
                        <w:jc w:val="center"/>
                        <w:rPr>
                          <w:sz w:val="18"/>
                          <w:szCs w:val="18"/>
                        </w:rPr>
                      </w:pPr>
                      <w:r>
                        <w:rPr>
                          <w:sz w:val="18"/>
                        </w:rPr>
                        <w:t>COMPTOS</w:t>
                      </w:r>
                    </w:p>
                    <w:p w14:paraId="44471B96" w14:textId="77777777" w:rsidR="009949DB" w:rsidRPr="003A7956" w:rsidRDefault="009949DB" w:rsidP="004C3423">
                      <w:pPr>
                        <w:spacing w:after="0"/>
                        <w:ind w:firstLine="0"/>
                        <w:jc w:val="center"/>
                        <w:rPr>
                          <w:sz w:val="18"/>
                          <w:szCs w:val="18"/>
                        </w:rPr>
                      </w:pPr>
                      <w:r>
                        <w:rPr>
                          <w:sz w:val="18"/>
                        </w:rPr>
                        <w:t>DE NAVARRA</w:t>
                      </w:r>
                    </w:p>
                    <w:p w14:paraId="07A085F6" w14:textId="77777777" w:rsidR="009949DB" w:rsidRPr="003A7956" w:rsidRDefault="009949DB" w:rsidP="004C3423">
                      <w:pPr>
                        <w:spacing w:after="0"/>
                        <w:ind w:firstLine="0"/>
                        <w:jc w:val="center"/>
                        <w:rPr>
                          <w:color w:val="808080"/>
                          <w:sz w:val="18"/>
                          <w:szCs w:val="18"/>
                        </w:rPr>
                      </w:pPr>
                      <w:r>
                        <w:rPr>
                          <w:color w:val="808080"/>
                          <w:sz w:val="18"/>
                        </w:rPr>
                        <w:t>NAFARROAKO</w:t>
                      </w:r>
                    </w:p>
                    <w:p w14:paraId="0496B026" w14:textId="77777777" w:rsidR="009949DB" w:rsidRPr="003A7956" w:rsidRDefault="009949DB" w:rsidP="004C3423">
                      <w:pPr>
                        <w:spacing w:after="0"/>
                        <w:ind w:firstLine="0"/>
                        <w:jc w:val="center"/>
                        <w:rPr>
                          <w:color w:val="808080"/>
                          <w:sz w:val="18"/>
                          <w:szCs w:val="18"/>
                        </w:rPr>
                      </w:pPr>
                      <w:r>
                        <w:rPr>
                          <w:color w:val="808080"/>
                          <w:sz w:val="18"/>
                        </w:rPr>
                        <w:t>KONTUEN</w:t>
                      </w:r>
                    </w:p>
                    <w:p w14:paraId="376CDB4B" w14:textId="77777777" w:rsidR="009949DB" w:rsidRPr="003A7956" w:rsidRDefault="009949DB" w:rsidP="004C3423">
                      <w:pPr>
                        <w:spacing w:after="0"/>
                        <w:ind w:firstLine="0"/>
                        <w:jc w:val="center"/>
                        <w:rPr>
                          <w:color w:val="808080"/>
                          <w:sz w:val="18"/>
                          <w:szCs w:val="18"/>
                        </w:rPr>
                      </w:pPr>
                      <w:r>
                        <w:rPr>
                          <w:color w:val="808080"/>
                          <w:sz w:val="18"/>
                        </w:rPr>
                        <w:t>GANBERA</w:t>
                      </w:r>
                    </w:p>
                    <w:p w14:paraId="672A6659" w14:textId="77777777" w:rsidR="009949DB" w:rsidRPr="002C7026" w:rsidRDefault="009949DB"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5DAB6C7B" w14:textId="77777777" w:rsidR="00345C6C" w:rsidRDefault="00345C6C" w:rsidP="00075677">
      <w:pPr>
        <w:pStyle w:val="cuadroCabe"/>
      </w:pPr>
    </w:p>
    <w:p w14:paraId="02EB378F" w14:textId="77777777" w:rsidR="00345C6C" w:rsidRPr="00204979" w:rsidRDefault="00345C6C" w:rsidP="00075677">
      <w:pPr>
        <w:pStyle w:val="cuadroCabe"/>
      </w:pPr>
    </w:p>
    <w:p w14:paraId="29689F1E" w14:textId="7800BF89" w:rsidR="00345C6C" w:rsidRPr="0078403B" w:rsidRDefault="00345C6C" w:rsidP="00345C6C">
      <w:pPr>
        <w:pStyle w:val="EstiloPortada"/>
        <w:ind w:left="3780"/>
        <w:rPr>
          <w:color w:val="BFBFBF" w:themeColor="background1" w:themeShade="BF"/>
          <w:sz w:val="52"/>
          <w:szCs w:val="52"/>
        </w:rPr>
      </w:pPr>
    </w:p>
    <w:p w14:paraId="0346A4EA" w14:textId="0CF8E352" w:rsidR="00345C6C" w:rsidRPr="00B81E61" w:rsidRDefault="00345C6C" w:rsidP="007D7A19">
      <w:pPr>
        <w:pStyle w:val="EstiloPortada"/>
        <w:spacing w:before="240"/>
        <w:ind w:left="3782" w:right="-1049"/>
        <w:rPr>
          <w:color w:val="000000" w:themeColor="text1"/>
        </w:rPr>
      </w:pPr>
      <w:r>
        <w:rPr>
          <w:color w:val="000000" w:themeColor="text1"/>
        </w:rPr>
        <w:t xml:space="preserve">Nafarroako toki sektore publikoa, 2021 </w:t>
      </w:r>
    </w:p>
    <w:p w14:paraId="6A05A809" w14:textId="77777777" w:rsidR="001C3A32" w:rsidRPr="00204979" w:rsidRDefault="001C3A32" w:rsidP="00891D73">
      <w:pPr>
        <w:pStyle w:val="texto"/>
      </w:pPr>
    </w:p>
    <w:p w14:paraId="5A39BBE3" w14:textId="77777777" w:rsidR="001C3A32" w:rsidRPr="00204979" w:rsidRDefault="001C3A32" w:rsidP="00891D73">
      <w:pPr>
        <w:pStyle w:val="texto"/>
      </w:pPr>
    </w:p>
    <w:p w14:paraId="41C8F396" w14:textId="77777777" w:rsidR="002F2530" w:rsidRPr="00204979" w:rsidRDefault="002F2530" w:rsidP="00891D73">
      <w:pPr>
        <w:pStyle w:val="texto"/>
      </w:pPr>
    </w:p>
    <w:p w14:paraId="72A3D3EC" w14:textId="77777777" w:rsidR="002F2530" w:rsidRPr="00204979" w:rsidRDefault="002F2530"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1C3A32" w:rsidRPr="00204979" w:rsidRDefault="001C3A32" w:rsidP="00891D73">
      <w:pPr>
        <w:pStyle w:val="texto"/>
      </w:pPr>
    </w:p>
    <w:p w14:paraId="53128261" w14:textId="77777777" w:rsidR="001C3A32" w:rsidRPr="00204979" w:rsidRDefault="001C3A32" w:rsidP="00891D73">
      <w:pPr>
        <w:pStyle w:val="texto"/>
      </w:pPr>
    </w:p>
    <w:p w14:paraId="62486C05" w14:textId="77777777" w:rsidR="001C3A32" w:rsidRPr="00204979" w:rsidRDefault="001C3A32" w:rsidP="00891D73">
      <w:pPr>
        <w:pStyle w:val="texto"/>
      </w:pPr>
    </w:p>
    <w:p w14:paraId="4B99056E" w14:textId="77777777" w:rsidR="001C3A32" w:rsidRPr="00204979" w:rsidRDefault="001C3A32" w:rsidP="00891D73">
      <w:pPr>
        <w:pStyle w:val="texto"/>
      </w:pPr>
    </w:p>
    <w:p w14:paraId="1299C43A" w14:textId="77777777" w:rsidR="00844F74" w:rsidRPr="00204979" w:rsidRDefault="00844F74" w:rsidP="00891D73">
      <w:pPr>
        <w:pStyle w:val="texto"/>
      </w:pPr>
    </w:p>
    <w:p w14:paraId="3EADC74B" w14:textId="75320E54" w:rsidR="00B97C1D" w:rsidRDefault="002E7D7C" w:rsidP="009936FC">
      <w:pPr>
        <w:pStyle w:val="Fechaportada"/>
        <w:sectPr w:rsidR="00B97C1D" w:rsidSect="00F05277">
          <w:headerReference w:type="even" r:id="rId8"/>
          <w:headerReference w:type="default" r:id="rId9"/>
          <w:footerReference w:type="default" r:id="rId10"/>
          <w:type w:val="oddPage"/>
          <w:pgSz w:w="11907" w:h="16840" w:code="9"/>
          <w:pgMar w:top="2109" w:right="1559" w:bottom="1644" w:left="1560" w:header="369" w:footer="136" w:gutter="0"/>
          <w:pgNumType w:start="3"/>
          <w:cols w:space="720"/>
          <w:docGrid w:linePitch="360"/>
        </w:sectPr>
      </w:pPr>
      <w:r>
        <w:t>2023ko abendua</w:t>
      </w:r>
    </w:p>
    <w:p w14:paraId="50D001AB" w14:textId="77777777" w:rsidR="00CD2DDD" w:rsidRDefault="00CD2DDD" w:rsidP="00CD2DDD">
      <w:pPr>
        <w:pStyle w:val="NormalWeb"/>
      </w:pPr>
      <w:r>
        <w:rPr>
          <w:noProof/>
        </w:rPr>
        <w:lastRenderedPageBreak/>
        <w:drawing>
          <wp:inline distT="0" distB="0" distL="0" distR="0" wp14:anchorId="56DCD071" wp14:editId="2C4A135B">
            <wp:extent cx="5638800" cy="5638800"/>
            <wp:effectExtent l="0" t="0" r="0" b="0"/>
            <wp:docPr id="2261105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10586"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5638800"/>
                    </a:xfrm>
                    <a:prstGeom prst="rect">
                      <a:avLst/>
                    </a:prstGeom>
                    <a:noFill/>
                    <a:ln>
                      <a:noFill/>
                    </a:ln>
                  </pic:spPr>
                </pic:pic>
              </a:graphicData>
            </a:graphic>
          </wp:inline>
        </w:drawing>
      </w:r>
    </w:p>
    <w:p w14:paraId="7960C1E3" w14:textId="3FC88CDA" w:rsidR="00BE42CF" w:rsidRDefault="00BE42CF">
      <w:pPr>
        <w:spacing w:after="0"/>
        <w:ind w:firstLine="0"/>
        <w:jc w:val="left"/>
      </w:pPr>
    </w:p>
    <w:p w14:paraId="6477F5EE" w14:textId="77777777" w:rsidR="00BE42CF" w:rsidRDefault="00BE42CF">
      <w:pPr>
        <w:spacing w:after="0"/>
        <w:ind w:firstLine="0"/>
        <w:jc w:val="left"/>
      </w:pPr>
    </w:p>
    <w:p w14:paraId="6F65983C" w14:textId="77777777" w:rsidR="00BE42CF" w:rsidRDefault="00BE42CF">
      <w:pPr>
        <w:spacing w:after="0"/>
        <w:ind w:firstLine="0"/>
        <w:jc w:val="left"/>
        <w:rPr>
          <w:rFonts w:ascii="Arial" w:hAnsi="Arial"/>
          <w:b/>
          <w:caps/>
          <w:color w:val="000000" w:themeColor="text1"/>
          <w:kern w:val="28"/>
          <w:sz w:val="25"/>
          <w:szCs w:val="26"/>
        </w:rPr>
      </w:pPr>
      <w:r>
        <w:br w:type="page"/>
      </w:r>
    </w:p>
    <w:p w14:paraId="6EC93065" w14:textId="744753C5" w:rsidR="00345C6C" w:rsidRPr="00033257" w:rsidRDefault="00345C6C" w:rsidP="00345C6C">
      <w:pPr>
        <w:pStyle w:val="ndice"/>
        <w:rPr>
          <w:color w:val="000000" w:themeColor="text1"/>
        </w:rPr>
      </w:pPr>
      <w:r>
        <w:rPr>
          <w:color w:val="000000" w:themeColor="text1"/>
        </w:rPr>
        <w:lastRenderedPageBreak/>
        <w:t>Aurkibidea</w:t>
      </w:r>
    </w:p>
    <w:p w14:paraId="207D95AF" w14:textId="11A84C8F" w:rsidR="00AB20B4" w:rsidRDefault="00345C6C">
      <w:pPr>
        <w:pStyle w:val="TDC1"/>
        <w:rPr>
          <w:rFonts w:asciiTheme="minorHAnsi" w:eastAsiaTheme="minorEastAsia" w:hAnsiTheme="minorHAnsi" w:cstheme="minorBidi"/>
          <w:smallCaps w:val="0"/>
          <w:noProof/>
          <w:szCs w:val="22"/>
        </w:rPr>
      </w:pPr>
      <w:r w:rsidRPr="00033257">
        <w:rPr>
          <w:color w:val="000000" w:themeColor="text1"/>
        </w:rPr>
        <w:fldChar w:fldCharType="begin"/>
      </w:r>
      <w:r w:rsidRPr="00033257">
        <w:rPr>
          <w:color w:val="000000" w:themeColor="text1"/>
        </w:rPr>
        <w:instrText xml:space="preserve"> TOC \o "1-3" \h \z \t "atitulo1;1;atitulo2;2" </w:instrText>
      </w:r>
      <w:r w:rsidRPr="00033257">
        <w:rPr>
          <w:color w:val="000000" w:themeColor="text1"/>
        </w:rPr>
        <w:fldChar w:fldCharType="separate"/>
      </w:r>
      <w:hyperlink w:anchor="_Toc151635586" w:history="1">
        <w:r w:rsidR="00AB20B4" w:rsidRPr="002F0392">
          <w:rPr>
            <w:rStyle w:val="Hipervnculo"/>
          </w:rPr>
          <w:t>I. Introducción</w:t>
        </w:r>
        <w:r w:rsidR="00AB20B4">
          <w:rPr>
            <w:webHidden/>
          </w:rPr>
          <w:tab/>
        </w:r>
        <w:r w:rsidR="00AB20B4">
          <w:rPr>
            <w:webHidden/>
          </w:rPr>
          <w:fldChar w:fldCharType="begin"/>
        </w:r>
        <w:r w:rsidR="00AB20B4">
          <w:rPr>
            <w:webHidden/>
          </w:rPr>
          <w:instrText xml:space="preserve"> PAGEREF _Toc151635586 \h </w:instrText>
        </w:r>
        <w:r w:rsidR="00AB20B4">
          <w:rPr>
            <w:webHidden/>
          </w:rPr>
        </w:r>
        <w:r w:rsidR="00AB20B4">
          <w:rPr>
            <w:webHidden/>
          </w:rPr>
          <w:fldChar w:fldCharType="separate"/>
        </w:r>
        <w:r w:rsidR="009949DB">
          <w:rPr>
            <w:webHidden/>
          </w:rPr>
          <w:t>4</w:t>
        </w:r>
        <w:r w:rsidR="00AB20B4">
          <w:rPr>
            <w:webHidden/>
          </w:rPr>
          <w:fldChar w:fldCharType="end"/>
        </w:r>
      </w:hyperlink>
    </w:p>
    <w:p w14:paraId="0CE42C40" w14:textId="323602D0" w:rsidR="00AB20B4" w:rsidRDefault="00022533">
      <w:pPr>
        <w:pStyle w:val="TDC1"/>
        <w:rPr>
          <w:rFonts w:asciiTheme="minorHAnsi" w:eastAsiaTheme="minorEastAsia" w:hAnsiTheme="minorHAnsi" w:cstheme="minorBidi"/>
          <w:smallCaps w:val="0"/>
        </w:rPr>
      </w:pPr>
      <w:hyperlink w:anchor="_Toc151635587" w:history="1">
        <w:r w:rsidR="00AB20B4" w:rsidRPr="002F0392">
          <w:rPr>
            <w:rStyle w:val="Hipervnculo"/>
          </w:rPr>
          <w:t>II. Objetivos, alcance y limitaciones</w:t>
        </w:r>
        <w:r w:rsidR="00AB20B4">
          <w:rPr>
            <w:webHidden/>
          </w:rPr>
          <w:tab/>
        </w:r>
        <w:r w:rsidR="00AB20B4">
          <w:rPr>
            <w:webHidden/>
          </w:rPr>
          <w:fldChar w:fldCharType="begin"/>
        </w:r>
        <w:r w:rsidR="00AB20B4">
          <w:rPr>
            <w:webHidden/>
          </w:rPr>
          <w:instrText xml:space="preserve"> PAGEREF _Toc151635587 \h </w:instrText>
        </w:r>
        <w:r w:rsidR="00AB20B4">
          <w:rPr>
            <w:webHidden/>
          </w:rPr>
        </w:r>
        <w:r w:rsidR="00AB20B4">
          <w:rPr>
            <w:webHidden/>
          </w:rPr>
          <w:fldChar w:fldCharType="separate"/>
        </w:r>
        <w:r w:rsidR="009949DB">
          <w:rPr>
            <w:webHidden/>
          </w:rPr>
          <w:t>5</w:t>
        </w:r>
        <w:r w:rsidR="00AB20B4">
          <w:rPr>
            <w:webHidden/>
          </w:rPr>
          <w:fldChar w:fldCharType="end"/>
        </w:r>
      </w:hyperlink>
    </w:p>
    <w:p w14:paraId="28824647" w14:textId="57B81FC2" w:rsidR="00AB20B4" w:rsidRDefault="00022533">
      <w:pPr>
        <w:pStyle w:val="TDC1"/>
        <w:rPr>
          <w:rFonts w:asciiTheme="minorHAnsi" w:eastAsiaTheme="minorEastAsia" w:hAnsiTheme="minorHAnsi" w:cstheme="minorBidi"/>
          <w:smallCaps w:val="0"/>
        </w:rPr>
      </w:pPr>
      <w:hyperlink w:anchor="_Toc151635588" w:history="1">
        <w:r w:rsidR="00AB20B4" w:rsidRPr="002F0392">
          <w:rPr>
            <w:rStyle w:val="Hipervnculo"/>
          </w:rPr>
          <w:t>III. Conclusiones y recomendaciones</w:t>
        </w:r>
        <w:r w:rsidR="00AB20B4">
          <w:rPr>
            <w:webHidden/>
          </w:rPr>
          <w:tab/>
        </w:r>
        <w:r w:rsidR="00AB20B4">
          <w:rPr>
            <w:webHidden/>
          </w:rPr>
          <w:fldChar w:fldCharType="begin"/>
        </w:r>
        <w:r w:rsidR="00AB20B4">
          <w:rPr>
            <w:webHidden/>
          </w:rPr>
          <w:instrText xml:space="preserve"> PAGEREF _Toc151635588 \h </w:instrText>
        </w:r>
        <w:r w:rsidR="00AB20B4">
          <w:rPr>
            <w:webHidden/>
          </w:rPr>
        </w:r>
        <w:r w:rsidR="00AB20B4">
          <w:rPr>
            <w:webHidden/>
          </w:rPr>
          <w:fldChar w:fldCharType="separate"/>
        </w:r>
        <w:r w:rsidR="009949DB">
          <w:rPr>
            <w:webHidden/>
          </w:rPr>
          <w:t>8</w:t>
        </w:r>
        <w:r w:rsidR="00AB20B4">
          <w:rPr>
            <w:webHidden/>
          </w:rPr>
          <w:fldChar w:fldCharType="end"/>
        </w:r>
      </w:hyperlink>
    </w:p>
    <w:p w14:paraId="28CEE005" w14:textId="71046B81" w:rsidR="00AB20B4" w:rsidRDefault="00022533">
      <w:pPr>
        <w:pStyle w:val="TDC2"/>
        <w:rPr>
          <w:rFonts w:asciiTheme="minorHAnsi" w:eastAsiaTheme="minorEastAsia" w:hAnsiTheme="minorHAnsi" w:cstheme="minorBidi"/>
        </w:rPr>
      </w:pPr>
      <w:hyperlink w:anchor="_Toc151635589" w:history="1">
        <w:r w:rsidR="00AB20B4" w:rsidRPr="002F0392">
          <w:rPr>
            <w:rStyle w:val="Hipervnculo"/>
          </w:rPr>
          <w:t>III.1 Conclusiones</w:t>
        </w:r>
        <w:r w:rsidR="00AB20B4">
          <w:rPr>
            <w:webHidden/>
          </w:rPr>
          <w:tab/>
        </w:r>
        <w:r w:rsidR="00AB20B4">
          <w:rPr>
            <w:webHidden/>
          </w:rPr>
          <w:fldChar w:fldCharType="begin"/>
        </w:r>
        <w:r w:rsidR="00AB20B4">
          <w:rPr>
            <w:webHidden/>
          </w:rPr>
          <w:instrText xml:space="preserve"> PAGEREF _Toc151635589 \h </w:instrText>
        </w:r>
        <w:r w:rsidR="00AB20B4">
          <w:rPr>
            <w:webHidden/>
          </w:rPr>
        </w:r>
        <w:r w:rsidR="00AB20B4">
          <w:rPr>
            <w:webHidden/>
          </w:rPr>
          <w:fldChar w:fldCharType="separate"/>
        </w:r>
        <w:r w:rsidR="009949DB">
          <w:rPr>
            <w:webHidden/>
          </w:rPr>
          <w:t>8</w:t>
        </w:r>
        <w:r w:rsidR="00AB20B4">
          <w:rPr>
            <w:webHidden/>
          </w:rPr>
          <w:fldChar w:fldCharType="end"/>
        </w:r>
      </w:hyperlink>
    </w:p>
    <w:p w14:paraId="2374EB92" w14:textId="72B76D0F" w:rsidR="00AB20B4" w:rsidRDefault="00022533">
      <w:pPr>
        <w:pStyle w:val="TDC2"/>
        <w:rPr>
          <w:rFonts w:asciiTheme="minorHAnsi" w:eastAsiaTheme="minorEastAsia" w:hAnsiTheme="minorHAnsi" w:cstheme="minorBidi"/>
        </w:rPr>
      </w:pPr>
      <w:hyperlink w:anchor="_Toc151635590" w:history="1">
        <w:r w:rsidR="00AB20B4" w:rsidRPr="002F0392">
          <w:rPr>
            <w:rStyle w:val="Hipervnculo"/>
          </w:rPr>
          <w:t>III.2 Recomendaciones a la Administración de la Comunidad Foral y al Parlamento de Navarra</w:t>
        </w:r>
        <w:r w:rsidR="00AB20B4">
          <w:rPr>
            <w:webHidden/>
          </w:rPr>
          <w:tab/>
        </w:r>
        <w:r w:rsidR="00AB20B4">
          <w:rPr>
            <w:webHidden/>
          </w:rPr>
          <w:fldChar w:fldCharType="begin"/>
        </w:r>
        <w:r w:rsidR="00AB20B4">
          <w:rPr>
            <w:webHidden/>
          </w:rPr>
          <w:instrText xml:space="preserve"> PAGEREF _Toc151635590 \h </w:instrText>
        </w:r>
        <w:r w:rsidR="00AB20B4">
          <w:rPr>
            <w:webHidden/>
          </w:rPr>
        </w:r>
        <w:r w:rsidR="00AB20B4">
          <w:rPr>
            <w:webHidden/>
          </w:rPr>
          <w:fldChar w:fldCharType="separate"/>
        </w:r>
        <w:r w:rsidR="009949DB">
          <w:rPr>
            <w:webHidden/>
          </w:rPr>
          <w:t>12</w:t>
        </w:r>
        <w:r w:rsidR="00AB20B4">
          <w:rPr>
            <w:webHidden/>
          </w:rPr>
          <w:fldChar w:fldCharType="end"/>
        </w:r>
      </w:hyperlink>
    </w:p>
    <w:p w14:paraId="577E0C04" w14:textId="714B0865" w:rsidR="00AB20B4" w:rsidRDefault="00022533">
      <w:pPr>
        <w:pStyle w:val="TDC2"/>
        <w:rPr>
          <w:rFonts w:asciiTheme="minorHAnsi" w:eastAsiaTheme="minorEastAsia" w:hAnsiTheme="minorHAnsi" w:cstheme="minorBidi"/>
        </w:rPr>
      </w:pPr>
      <w:hyperlink w:anchor="_Toc151635591" w:history="1">
        <w:r w:rsidR="00AB20B4" w:rsidRPr="002F0392">
          <w:rPr>
            <w:rStyle w:val="Hipervnculo"/>
          </w:rPr>
          <w:t>III.3 Recomendaciones a las entidades locales</w:t>
        </w:r>
        <w:r w:rsidR="00AB20B4">
          <w:rPr>
            <w:webHidden/>
          </w:rPr>
          <w:tab/>
        </w:r>
        <w:r w:rsidR="00AB20B4">
          <w:rPr>
            <w:webHidden/>
          </w:rPr>
          <w:fldChar w:fldCharType="begin"/>
        </w:r>
        <w:r w:rsidR="00AB20B4">
          <w:rPr>
            <w:webHidden/>
          </w:rPr>
          <w:instrText xml:space="preserve"> PAGEREF _Toc151635591 \h </w:instrText>
        </w:r>
        <w:r w:rsidR="00AB20B4">
          <w:rPr>
            <w:webHidden/>
          </w:rPr>
        </w:r>
        <w:r w:rsidR="00AB20B4">
          <w:rPr>
            <w:webHidden/>
          </w:rPr>
          <w:fldChar w:fldCharType="separate"/>
        </w:r>
        <w:r w:rsidR="009949DB">
          <w:rPr>
            <w:webHidden/>
          </w:rPr>
          <w:t>14</w:t>
        </w:r>
        <w:r w:rsidR="00AB20B4">
          <w:rPr>
            <w:webHidden/>
          </w:rPr>
          <w:fldChar w:fldCharType="end"/>
        </w:r>
      </w:hyperlink>
    </w:p>
    <w:p w14:paraId="199FD657" w14:textId="66EA3546" w:rsidR="00AB20B4" w:rsidRDefault="00022533">
      <w:pPr>
        <w:pStyle w:val="TDC1"/>
        <w:rPr>
          <w:rFonts w:asciiTheme="minorHAnsi" w:eastAsiaTheme="minorEastAsia" w:hAnsiTheme="minorHAnsi" w:cstheme="minorBidi"/>
          <w:smallCaps w:val="0"/>
        </w:rPr>
      </w:pPr>
      <w:hyperlink w:anchor="_Toc151635592" w:history="1">
        <w:r w:rsidR="00AB20B4" w:rsidRPr="002F0392">
          <w:rPr>
            <w:rStyle w:val="Hipervnculo"/>
          </w:rPr>
          <w:t>IV. Estructura organizativa y normativa del sector público local</w:t>
        </w:r>
        <w:r w:rsidR="00AB20B4">
          <w:rPr>
            <w:webHidden/>
          </w:rPr>
          <w:tab/>
        </w:r>
        <w:r w:rsidR="00AB20B4">
          <w:rPr>
            <w:webHidden/>
          </w:rPr>
          <w:fldChar w:fldCharType="begin"/>
        </w:r>
        <w:r w:rsidR="00AB20B4">
          <w:rPr>
            <w:webHidden/>
          </w:rPr>
          <w:instrText xml:space="preserve"> PAGEREF _Toc151635592 \h </w:instrText>
        </w:r>
        <w:r w:rsidR="00AB20B4">
          <w:rPr>
            <w:webHidden/>
          </w:rPr>
        </w:r>
        <w:r w:rsidR="00AB20B4">
          <w:rPr>
            <w:webHidden/>
          </w:rPr>
          <w:fldChar w:fldCharType="separate"/>
        </w:r>
        <w:r w:rsidR="009949DB">
          <w:rPr>
            <w:webHidden/>
          </w:rPr>
          <w:t>16</w:t>
        </w:r>
        <w:r w:rsidR="00AB20B4">
          <w:rPr>
            <w:webHidden/>
          </w:rPr>
          <w:fldChar w:fldCharType="end"/>
        </w:r>
      </w:hyperlink>
    </w:p>
    <w:p w14:paraId="23EE75C3" w14:textId="6C90AEDF" w:rsidR="00AB20B4" w:rsidRDefault="00022533">
      <w:pPr>
        <w:pStyle w:val="TDC2"/>
        <w:rPr>
          <w:rFonts w:asciiTheme="minorHAnsi" w:eastAsiaTheme="minorEastAsia" w:hAnsiTheme="minorHAnsi" w:cstheme="minorBidi"/>
        </w:rPr>
      </w:pPr>
      <w:hyperlink w:anchor="_Toc151635593" w:history="1">
        <w:r w:rsidR="00AB20B4" w:rsidRPr="002F0392">
          <w:rPr>
            <w:rStyle w:val="Hipervnculo"/>
          </w:rPr>
          <w:t>IV.1 Estructura organizativa</w:t>
        </w:r>
        <w:r w:rsidR="00AB20B4">
          <w:rPr>
            <w:webHidden/>
          </w:rPr>
          <w:tab/>
        </w:r>
        <w:r w:rsidR="00AB20B4">
          <w:rPr>
            <w:webHidden/>
          </w:rPr>
          <w:fldChar w:fldCharType="begin"/>
        </w:r>
        <w:r w:rsidR="00AB20B4">
          <w:rPr>
            <w:webHidden/>
          </w:rPr>
          <w:instrText xml:space="preserve"> PAGEREF _Toc151635593 \h </w:instrText>
        </w:r>
        <w:r w:rsidR="00AB20B4">
          <w:rPr>
            <w:webHidden/>
          </w:rPr>
        </w:r>
        <w:r w:rsidR="00AB20B4">
          <w:rPr>
            <w:webHidden/>
          </w:rPr>
          <w:fldChar w:fldCharType="separate"/>
        </w:r>
        <w:r w:rsidR="009949DB">
          <w:rPr>
            <w:webHidden/>
          </w:rPr>
          <w:t>16</w:t>
        </w:r>
        <w:r w:rsidR="00AB20B4">
          <w:rPr>
            <w:webHidden/>
          </w:rPr>
          <w:fldChar w:fldCharType="end"/>
        </w:r>
      </w:hyperlink>
    </w:p>
    <w:p w14:paraId="0E288F7C" w14:textId="74B47512" w:rsidR="00AB20B4" w:rsidRDefault="00022533">
      <w:pPr>
        <w:pStyle w:val="TDC2"/>
        <w:rPr>
          <w:rFonts w:asciiTheme="minorHAnsi" w:eastAsiaTheme="minorEastAsia" w:hAnsiTheme="minorHAnsi" w:cstheme="minorBidi"/>
        </w:rPr>
      </w:pPr>
      <w:hyperlink w:anchor="_Toc151635594" w:history="1">
        <w:r w:rsidR="00AB20B4" w:rsidRPr="002F0392">
          <w:rPr>
            <w:rStyle w:val="Hipervnculo"/>
          </w:rPr>
          <w:t>IV.2 Racionalización del sector público local</w:t>
        </w:r>
        <w:r w:rsidR="00AB20B4">
          <w:rPr>
            <w:webHidden/>
          </w:rPr>
          <w:tab/>
        </w:r>
        <w:r w:rsidR="00AB20B4">
          <w:rPr>
            <w:webHidden/>
          </w:rPr>
          <w:fldChar w:fldCharType="begin"/>
        </w:r>
        <w:r w:rsidR="00AB20B4">
          <w:rPr>
            <w:webHidden/>
          </w:rPr>
          <w:instrText xml:space="preserve"> PAGEREF _Toc151635594 \h </w:instrText>
        </w:r>
        <w:r w:rsidR="00AB20B4">
          <w:rPr>
            <w:webHidden/>
          </w:rPr>
        </w:r>
        <w:r w:rsidR="00AB20B4">
          <w:rPr>
            <w:webHidden/>
          </w:rPr>
          <w:fldChar w:fldCharType="separate"/>
        </w:r>
        <w:r w:rsidR="009949DB">
          <w:rPr>
            <w:webHidden/>
          </w:rPr>
          <w:t>18</w:t>
        </w:r>
        <w:r w:rsidR="00AB20B4">
          <w:rPr>
            <w:webHidden/>
          </w:rPr>
          <w:fldChar w:fldCharType="end"/>
        </w:r>
      </w:hyperlink>
    </w:p>
    <w:p w14:paraId="45155320" w14:textId="0D8FD2F4" w:rsidR="00AB20B4" w:rsidRDefault="00022533">
      <w:pPr>
        <w:pStyle w:val="TDC2"/>
        <w:rPr>
          <w:rFonts w:asciiTheme="minorHAnsi" w:eastAsiaTheme="minorEastAsia" w:hAnsiTheme="minorHAnsi" w:cstheme="minorBidi"/>
        </w:rPr>
      </w:pPr>
      <w:hyperlink w:anchor="_Toc151635595" w:history="1">
        <w:r w:rsidR="00AB20B4" w:rsidRPr="002F0392">
          <w:rPr>
            <w:rStyle w:val="Hipervnculo"/>
          </w:rPr>
          <w:t>IV.3 Normativa aplicable a las entidades locales de Navarra</w:t>
        </w:r>
        <w:r w:rsidR="00AB20B4">
          <w:rPr>
            <w:webHidden/>
          </w:rPr>
          <w:tab/>
        </w:r>
        <w:r w:rsidR="00AB20B4">
          <w:rPr>
            <w:webHidden/>
          </w:rPr>
          <w:fldChar w:fldCharType="begin"/>
        </w:r>
        <w:r w:rsidR="00AB20B4">
          <w:rPr>
            <w:webHidden/>
          </w:rPr>
          <w:instrText xml:space="preserve"> PAGEREF _Toc151635595 \h </w:instrText>
        </w:r>
        <w:r w:rsidR="00AB20B4">
          <w:rPr>
            <w:webHidden/>
          </w:rPr>
        </w:r>
        <w:r w:rsidR="00AB20B4">
          <w:rPr>
            <w:webHidden/>
          </w:rPr>
          <w:fldChar w:fldCharType="separate"/>
        </w:r>
        <w:r w:rsidR="009949DB">
          <w:rPr>
            <w:webHidden/>
          </w:rPr>
          <w:t>19</w:t>
        </w:r>
        <w:r w:rsidR="00AB20B4">
          <w:rPr>
            <w:webHidden/>
          </w:rPr>
          <w:fldChar w:fldCharType="end"/>
        </w:r>
      </w:hyperlink>
    </w:p>
    <w:p w14:paraId="5E22CC9D" w14:textId="65AB7B90" w:rsidR="00AB20B4" w:rsidRDefault="00022533">
      <w:pPr>
        <w:pStyle w:val="TDC1"/>
        <w:rPr>
          <w:rFonts w:asciiTheme="minorHAnsi" w:eastAsiaTheme="minorEastAsia" w:hAnsiTheme="minorHAnsi" w:cstheme="minorBidi"/>
          <w:smallCaps w:val="0"/>
        </w:rPr>
      </w:pPr>
      <w:hyperlink w:anchor="_Toc151635596" w:history="1">
        <w:r w:rsidR="00AB20B4" w:rsidRPr="002F0392">
          <w:rPr>
            <w:rStyle w:val="Hipervnculo"/>
          </w:rPr>
          <w:t>V. Memoria-resumen de las actuaciones de fiscalización referidas al ejercicio 2021</w:t>
        </w:r>
        <w:r w:rsidR="00AB20B4">
          <w:rPr>
            <w:webHidden/>
          </w:rPr>
          <w:tab/>
        </w:r>
        <w:r w:rsidR="00AB20B4">
          <w:rPr>
            <w:webHidden/>
          </w:rPr>
          <w:fldChar w:fldCharType="begin"/>
        </w:r>
        <w:r w:rsidR="00AB20B4">
          <w:rPr>
            <w:webHidden/>
          </w:rPr>
          <w:instrText xml:space="preserve"> PAGEREF _Toc151635596 \h </w:instrText>
        </w:r>
        <w:r w:rsidR="00AB20B4">
          <w:rPr>
            <w:webHidden/>
          </w:rPr>
        </w:r>
        <w:r w:rsidR="00AB20B4">
          <w:rPr>
            <w:webHidden/>
          </w:rPr>
          <w:fldChar w:fldCharType="separate"/>
        </w:r>
        <w:r w:rsidR="009949DB">
          <w:rPr>
            <w:webHidden/>
          </w:rPr>
          <w:t>21</w:t>
        </w:r>
        <w:r w:rsidR="00AB20B4">
          <w:rPr>
            <w:webHidden/>
          </w:rPr>
          <w:fldChar w:fldCharType="end"/>
        </w:r>
      </w:hyperlink>
    </w:p>
    <w:p w14:paraId="781082A4" w14:textId="13828E28" w:rsidR="00AB20B4" w:rsidRDefault="00022533">
      <w:pPr>
        <w:pStyle w:val="TDC1"/>
        <w:rPr>
          <w:rFonts w:asciiTheme="minorHAnsi" w:eastAsiaTheme="minorEastAsia" w:hAnsiTheme="minorHAnsi" w:cstheme="minorBidi"/>
          <w:smallCaps w:val="0"/>
        </w:rPr>
      </w:pPr>
      <w:hyperlink w:anchor="_Toc151635597" w:history="1">
        <w:r w:rsidR="00AB20B4" w:rsidRPr="002F0392">
          <w:rPr>
            <w:rStyle w:val="Hipervnculo"/>
          </w:rPr>
          <w:t>VI. Situación financiera del sector público local</w:t>
        </w:r>
        <w:r w:rsidR="00AB20B4">
          <w:rPr>
            <w:webHidden/>
          </w:rPr>
          <w:tab/>
        </w:r>
        <w:r w:rsidR="00AB20B4">
          <w:rPr>
            <w:webHidden/>
          </w:rPr>
          <w:fldChar w:fldCharType="begin"/>
        </w:r>
        <w:r w:rsidR="00AB20B4">
          <w:rPr>
            <w:webHidden/>
          </w:rPr>
          <w:instrText xml:space="preserve"> PAGEREF _Toc151635597 \h </w:instrText>
        </w:r>
        <w:r w:rsidR="00AB20B4">
          <w:rPr>
            <w:webHidden/>
          </w:rPr>
        </w:r>
        <w:r w:rsidR="00AB20B4">
          <w:rPr>
            <w:webHidden/>
          </w:rPr>
          <w:fldChar w:fldCharType="separate"/>
        </w:r>
        <w:r w:rsidR="009949DB">
          <w:rPr>
            <w:webHidden/>
          </w:rPr>
          <w:t>25</w:t>
        </w:r>
        <w:r w:rsidR="00AB20B4">
          <w:rPr>
            <w:webHidden/>
          </w:rPr>
          <w:fldChar w:fldCharType="end"/>
        </w:r>
      </w:hyperlink>
    </w:p>
    <w:p w14:paraId="2C70C517" w14:textId="16F0C020" w:rsidR="00AB20B4" w:rsidRDefault="00022533">
      <w:pPr>
        <w:pStyle w:val="TDC2"/>
        <w:rPr>
          <w:rFonts w:asciiTheme="minorHAnsi" w:eastAsiaTheme="minorEastAsia" w:hAnsiTheme="minorHAnsi" w:cstheme="minorBidi"/>
        </w:rPr>
      </w:pPr>
      <w:hyperlink w:anchor="_Toc151635598" w:history="1">
        <w:r w:rsidR="00AB20B4" w:rsidRPr="002F0392">
          <w:rPr>
            <w:rStyle w:val="Hipervnculo"/>
          </w:rPr>
          <w:t>VI.1 Ingresos</w:t>
        </w:r>
        <w:r w:rsidR="00AB20B4">
          <w:rPr>
            <w:webHidden/>
          </w:rPr>
          <w:tab/>
        </w:r>
        <w:r w:rsidR="00AB20B4">
          <w:rPr>
            <w:webHidden/>
          </w:rPr>
          <w:fldChar w:fldCharType="begin"/>
        </w:r>
        <w:r w:rsidR="00AB20B4">
          <w:rPr>
            <w:webHidden/>
          </w:rPr>
          <w:instrText xml:space="preserve"> PAGEREF _Toc151635598 \h </w:instrText>
        </w:r>
        <w:r w:rsidR="00AB20B4">
          <w:rPr>
            <w:webHidden/>
          </w:rPr>
        </w:r>
        <w:r w:rsidR="00AB20B4">
          <w:rPr>
            <w:webHidden/>
          </w:rPr>
          <w:fldChar w:fldCharType="separate"/>
        </w:r>
        <w:r w:rsidR="009949DB">
          <w:rPr>
            <w:webHidden/>
          </w:rPr>
          <w:t>25</w:t>
        </w:r>
        <w:r w:rsidR="00AB20B4">
          <w:rPr>
            <w:webHidden/>
          </w:rPr>
          <w:fldChar w:fldCharType="end"/>
        </w:r>
      </w:hyperlink>
    </w:p>
    <w:p w14:paraId="7D45D267" w14:textId="75345399" w:rsidR="00AB20B4" w:rsidRDefault="00022533">
      <w:pPr>
        <w:pStyle w:val="TDC2"/>
        <w:rPr>
          <w:rFonts w:asciiTheme="minorHAnsi" w:eastAsiaTheme="minorEastAsia" w:hAnsiTheme="minorHAnsi" w:cstheme="minorBidi"/>
        </w:rPr>
      </w:pPr>
      <w:hyperlink w:anchor="_Toc151635599" w:history="1">
        <w:r w:rsidR="00AB20B4" w:rsidRPr="002F0392">
          <w:rPr>
            <w:rStyle w:val="Hipervnculo"/>
          </w:rPr>
          <w:t>VI.2 Gastos</w:t>
        </w:r>
        <w:r w:rsidR="00AB20B4">
          <w:rPr>
            <w:webHidden/>
          </w:rPr>
          <w:tab/>
        </w:r>
        <w:r w:rsidR="00AB20B4">
          <w:rPr>
            <w:webHidden/>
          </w:rPr>
          <w:fldChar w:fldCharType="begin"/>
        </w:r>
        <w:r w:rsidR="00AB20B4">
          <w:rPr>
            <w:webHidden/>
          </w:rPr>
          <w:instrText xml:space="preserve"> PAGEREF _Toc151635599 \h </w:instrText>
        </w:r>
        <w:r w:rsidR="00AB20B4">
          <w:rPr>
            <w:webHidden/>
          </w:rPr>
        </w:r>
        <w:r w:rsidR="00AB20B4">
          <w:rPr>
            <w:webHidden/>
          </w:rPr>
          <w:fldChar w:fldCharType="separate"/>
        </w:r>
        <w:r w:rsidR="009949DB">
          <w:rPr>
            <w:webHidden/>
          </w:rPr>
          <w:t>28</w:t>
        </w:r>
        <w:r w:rsidR="00AB20B4">
          <w:rPr>
            <w:webHidden/>
          </w:rPr>
          <w:fldChar w:fldCharType="end"/>
        </w:r>
      </w:hyperlink>
    </w:p>
    <w:p w14:paraId="7AA5AB75" w14:textId="78495545" w:rsidR="00AB20B4" w:rsidRDefault="00022533">
      <w:pPr>
        <w:pStyle w:val="TDC2"/>
        <w:rPr>
          <w:rFonts w:asciiTheme="minorHAnsi" w:eastAsiaTheme="minorEastAsia" w:hAnsiTheme="minorHAnsi" w:cstheme="minorBidi"/>
        </w:rPr>
      </w:pPr>
      <w:hyperlink w:anchor="_Toc151635600" w:history="1">
        <w:r w:rsidR="00AB20B4" w:rsidRPr="002F0392">
          <w:rPr>
            <w:rStyle w:val="Hipervnculo"/>
          </w:rPr>
          <w:t>VI.3 Indicadores</w:t>
        </w:r>
        <w:r w:rsidR="00AB20B4">
          <w:rPr>
            <w:webHidden/>
          </w:rPr>
          <w:tab/>
        </w:r>
        <w:r w:rsidR="00AB20B4">
          <w:rPr>
            <w:webHidden/>
          </w:rPr>
          <w:fldChar w:fldCharType="begin"/>
        </w:r>
        <w:r w:rsidR="00AB20B4">
          <w:rPr>
            <w:webHidden/>
          </w:rPr>
          <w:instrText xml:space="preserve"> PAGEREF _Toc151635600 \h </w:instrText>
        </w:r>
        <w:r w:rsidR="00AB20B4">
          <w:rPr>
            <w:webHidden/>
          </w:rPr>
        </w:r>
        <w:r w:rsidR="00AB20B4">
          <w:rPr>
            <w:webHidden/>
          </w:rPr>
          <w:fldChar w:fldCharType="separate"/>
        </w:r>
        <w:r w:rsidR="009949DB">
          <w:rPr>
            <w:webHidden/>
          </w:rPr>
          <w:t>31</w:t>
        </w:r>
        <w:r w:rsidR="00AB20B4">
          <w:rPr>
            <w:webHidden/>
          </w:rPr>
          <w:fldChar w:fldCharType="end"/>
        </w:r>
      </w:hyperlink>
    </w:p>
    <w:p w14:paraId="40AF9307" w14:textId="51D8AE25" w:rsidR="00AB20B4" w:rsidRDefault="00022533">
      <w:pPr>
        <w:pStyle w:val="TDC2"/>
        <w:rPr>
          <w:rFonts w:asciiTheme="minorHAnsi" w:eastAsiaTheme="minorEastAsia" w:hAnsiTheme="minorHAnsi" w:cstheme="minorBidi"/>
        </w:rPr>
      </w:pPr>
      <w:hyperlink w:anchor="_Toc151635601" w:history="1">
        <w:r w:rsidR="00AB20B4" w:rsidRPr="002F0392">
          <w:rPr>
            <w:rStyle w:val="Hipervnculo"/>
          </w:rPr>
          <w:t>VI.4 Incidencia de la Covid-19</w:t>
        </w:r>
        <w:r w:rsidR="00AB20B4">
          <w:rPr>
            <w:webHidden/>
          </w:rPr>
          <w:tab/>
        </w:r>
        <w:r w:rsidR="00AB20B4">
          <w:rPr>
            <w:webHidden/>
          </w:rPr>
          <w:fldChar w:fldCharType="begin"/>
        </w:r>
        <w:r w:rsidR="00AB20B4">
          <w:rPr>
            <w:webHidden/>
          </w:rPr>
          <w:instrText xml:space="preserve"> PAGEREF _Toc151635601 \h </w:instrText>
        </w:r>
        <w:r w:rsidR="00AB20B4">
          <w:rPr>
            <w:webHidden/>
          </w:rPr>
        </w:r>
        <w:r w:rsidR="00AB20B4">
          <w:rPr>
            <w:webHidden/>
          </w:rPr>
          <w:fldChar w:fldCharType="separate"/>
        </w:r>
        <w:r w:rsidR="009949DB">
          <w:rPr>
            <w:webHidden/>
          </w:rPr>
          <w:t>33</w:t>
        </w:r>
        <w:r w:rsidR="00AB20B4">
          <w:rPr>
            <w:webHidden/>
          </w:rPr>
          <w:fldChar w:fldCharType="end"/>
        </w:r>
      </w:hyperlink>
    </w:p>
    <w:p w14:paraId="2AA84032" w14:textId="014BDF33" w:rsidR="00AB20B4" w:rsidRDefault="00022533">
      <w:pPr>
        <w:pStyle w:val="TDC2"/>
        <w:rPr>
          <w:rFonts w:asciiTheme="minorHAnsi" w:eastAsiaTheme="minorEastAsia" w:hAnsiTheme="minorHAnsi" w:cstheme="minorBidi"/>
        </w:rPr>
      </w:pPr>
      <w:hyperlink w:anchor="_Toc151635602" w:history="1">
        <w:r w:rsidR="00AB20B4" w:rsidRPr="002F0392">
          <w:rPr>
            <w:rStyle w:val="Hipervnculo"/>
          </w:rPr>
          <w:t>VI.5 Objetivos de estabilidad presupuestaria y sostenibilidad financiera</w:t>
        </w:r>
        <w:r w:rsidR="00AB20B4">
          <w:rPr>
            <w:webHidden/>
          </w:rPr>
          <w:tab/>
        </w:r>
        <w:r w:rsidR="00AB20B4">
          <w:rPr>
            <w:webHidden/>
          </w:rPr>
          <w:fldChar w:fldCharType="begin"/>
        </w:r>
        <w:r w:rsidR="00AB20B4">
          <w:rPr>
            <w:webHidden/>
          </w:rPr>
          <w:instrText xml:space="preserve"> PAGEREF _Toc151635602 \h </w:instrText>
        </w:r>
        <w:r w:rsidR="00AB20B4">
          <w:rPr>
            <w:webHidden/>
          </w:rPr>
        </w:r>
        <w:r w:rsidR="00AB20B4">
          <w:rPr>
            <w:webHidden/>
          </w:rPr>
          <w:fldChar w:fldCharType="separate"/>
        </w:r>
        <w:r w:rsidR="009949DB">
          <w:rPr>
            <w:webHidden/>
          </w:rPr>
          <w:t>35</w:t>
        </w:r>
        <w:r w:rsidR="00AB20B4">
          <w:rPr>
            <w:webHidden/>
          </w:rPr>
          <w:fldChar w:fldCharType="end"/>
        </w:r>
      </w:hyperlink>
    </w:p>
    <w:p w14:paraId="13B3910A" w14:textId="45D19F3F" w:rsidR="00AB20B4" w:rsidRDefault="00022533">
      <w:pPr>
        <w:pStyle w:val="TDC1"/>
        <w:rPr>
          <w:rFonts w:asciiTheme="minorHAnsi" w:eastAsiaTheme="minorEastAsia" w:hAnsiTheme="minorHAnsi" w:cstheme="minorBidi"/>
          <w:smallCaps w:val="0"/>
        </w:rPr>
      </w:pPr>
      <w:hyperlink w:anchor="_Toc151635603" w:history="1">
        <w:r w:rsidR="00AB20B4" w:rsidRPr="002F0392">
          <w:rPr>
            <w:rStyle w:val="Hipervnculo"/>
          </w:rPr>
          <w:t>VII. Contratación administrativa</w:t>
        </w:r>
        <w:r w:rsidR="00AB20B4">
          <w:rPr>
            <w:webHidden/>
          </w:rPr>
          <w:tab/>
        </w:r>
        <w:r w:rsidR="00AB20B4">
          <w:rPr>
            <w:webHidden/>
          </w:rPr>
          <w:fldChar w:fldCharType="begin"/>
        </w:r>
        <w:r w:rsidR="00AB20B4">
          <w:rPr>
            <w:webHidden/>
          </w:rPr>
          <w:instrText xml:space="preserve"> PAGEREF _Toc151635603 \h </w:instrText>
        </w:r>
        <w:r w:rsidR="00AB20B4">
          <w:rPr>
            <w:webHidden/>
          </w:rPr>
        </w:r>
        <w:r w:rsidR="00AB20B4">
          <w:rPr>
            <w:webHidden/>
          </w:rPr>
          <w:fldChar w:fldCharType="separate"/>
        </w:r>
        <w:r w:rsidR="009949DB">
          <w:rPr>
            <w:webHidden/>
          </w:rPr>
          <w:t>37</w:t>
        </w:r>
        <w:r w:rsidR="00AB20B4">
          <w:rPr>
            <w:webHidden/>
          </w:rPr>
          <w:fldChar w:fldCharType="end"/>
        </w:r>
      </w:hyperlink>
    </w:p>
    <w:p w14:paraId="6ACFDC0F" w14:textId="34563D32" w:rsidR="00AB20B4" w:rsidRDefault="00022533">
      <w:pPr>
        <w:pStyle w:val="TDC1"/>
        <w:rPr>
          <w:rFonts w:asciiTheme="minorHAnsi" w:eastAsiaTheme="minorEastAsia" w:hAnsiTheme="minorHAnsi" w:cstheme="minorBidi"/>
          <w:smallCaps w:val="0"/>
        </w:rPr>
      </w:pPr>
      <w:hyperlink w:anchor="_Toc151635604" w:history="1">
        <w:r w:rsidR="00AB20B4" w:rsidRPr="002F0392">
          <w:rPr>
            <w:rStyle w:val="Hipervnculo"/>
          </w:rPr>
          <w:t>VIII. Rendición de cuentas y aprobación de presupuestos</w:t>
        </w:r>
        <w:r w:rsidR="00AB20B4">
          <w:rPr>
            <w:webHidden/>
          </w:rPr>
          <w:tab/>
        </w:r>
        <w:r w:rsidR="00AB20B4">
          <w:rPr>
            <w:webHidden/>
          </w:rPr>
          <w:fldChar w:fldCharType="begin"/>
        </w:r>
        <w:r w:rsidR="00AB20B4">
          <w:rPr>
            <w:webHidden/>
          </w:rPr>
          <w:instrText xml:space="preserve"> PAGEREF _Toc151635604 \h </w:instrText>
        </w:r>
        <w:r w:rsidR="00AB20B4">
          <w:rPr>
            <w:webHidden/>
          </w:rPr>
        </w:r>
        <w:r w:rsidR="00AB20B4">
          <w:rPr>
            <w:webHidden/>
          </w:rPr>
          <w:fldChar w:fldCharType="separate"/>
        </w:r>
        <w:r w:rsidR="009949DB">
          <w:rPr>
            <w:webHidden/>
          </w:rPr>
          <w:t>39</w:t>
        </w:r>
        <w:r w:rsidR="00AB20B4">
          <w:rPr>
            <w:webHidden/>
          </w:rPr>
          <w:fldChar w:fldCharType="end"/>
        </w:r>
      </w:hyperlink>
    </w:p>
    <w:p w14:paraId="433A2AD4" w14:textId="043ED50D" w:rsidR="00AB20B4" w:rsidRDefault="00022533">
      <w:pPr>
        <w:pStyle w:val="TDC2"/>
        <w:rPr>
          <w:rFonts w:asciiTheme="minorHAnsi" w:eastAsiaTheme="minorEastAsia" w:hAnsiTheme="minorHAnsi" w:cstheme="minorBidi"/>
        </w:rPr>
      </w:pPr>
      <w:hyperlink w:anchor="_Toc151635605" w:history="1">
        <w:r w:rsidR="00AB20B4" w:rsidRPr="002F0392">
          <w:rPr>
            <w:rStyle w:val="Hipervnculo"/>
          </w:rPr>
          <w:t>VIII.1 Cumplimiento de la obligación de rendición de cuentas</w:t>
        </w:r>
        <w:r w:rsidR="00AB20B4">
          <w:rPr>
            <w:webHidden/>
          </w:rPr>
          <w:tab/>
        </w:r>
        <w:r w:rsidR="00AB20B4">
          <w:rPr>
            <w:webHidden/>
          </w:rPr>
          <w:fldChar w:fldCharType="begin"/>
        </w:r>
        <w:r w:rsidR="00AB20B4">
          <w:rPr>
            <w:webHidden/>
          </w:rPr>
          <w:instrText xml:space="preserve"> PAGEREF _Toc151635605 \h </w:instrText>
        </w:r>
        <w:r w:rsidR="00AB20B4">
          <w:rPr>
            <w:webHidden/>
          </w:rPr>
        </w:r>
        <w:r w:rsidR="00AB20B4">
          <w:rPr>
            <w:webHidden/>
          </w:rPr>
          <w:fldChar w:fldCharType="separate"/>
        </w:r>
        <w:r w:rsidR="009949DB">
          <w:rPr>
            <w:webHidden/>
          </w:rPr>
          <w:t>39</w:t>
        </w:r>
        <w:r w:rsidR="00AB20B4">
          <w:rPr>
            <w:webHidden/>
          </w:rPr>
          <w:fldChar w:fldCharType="end"/>
        </w:r>
      </w:hyperlink>
    </w:p>
    <w:p w14:paraId="2989D8C4" w14:textId="5DA54BDA" w:rsidR="00AB20B4" w:rsidRDefault="00022533">
      <w:pPr>
        <w:pStyle w:val="TDC2"/>
        <w:rPr>
          <w:rFonts w:asciiTheme="minorHAnsi" w:eastAsiaTheme="minorEastAsia" w:hAnsiTheme="minorHAnsi" w:cstheme="minorBidi"/>
        </w:rPr>
      </w:pPr>
      <w:hyperlink w:anchor="_Toc151635606" w:history="1">
        <w:r w:rsidR="00AB20B4" w:rsidRPr="002F0392">
          <w:rPr>
            <w:rStyle w:val="Hipervnculo"/>
          </w:rPr>
          <w:t>VIII.2 Aprobación y remisión del presupuesto</w:t>
        </w:r>
        <w:r w:rsidR="00AB20B4">
          <w:rPr>
            <w:webHidden/>
          </w:rPr>
          <w:tab/>
        </w:r>
        <w:r w:rsidR="00AB20B4">
          <w:rPr>
            <w:webHidden/>
          </w:rPr>
          <w:fldChar w:fldCharType="begin"/>
        </w:r>
        <w:r w:rsidR="00AB20B4">
          <w:rPr>
            <w:webHidden/>
          </w:rPr>
          <w:instrText xml:space="preserve"> PAGEREF _Toc151635606 \h </w:instrText>
        </w:r>
        <w:r w:rsidR="00AB20B4">
          <w:rPr>
            <w:webHidden/>
          </w:rPr>
        </w:r>
        <w:r w:rsidR="00AB20B4">
          <w:rPr>
            <w:webHidden/>
          </w:rPr>
          <w:fldChar w:fldCharType="separate"/>
        </w:r>
        <w:r w:rsidR="009949DB">
          <w:rPr>
            <w:webHidden/>
          </w:rPr>
          <w:t>40</w:t>
        </w:r>
        <w:r w:rsidR="00AB20B4">
          <w:rPr>
            <w:webHidden/>
          </w:rPr>
          <w:fldChar w:fldCharType="end"/>
        </w:r>
      </w:hyperlink>
    </w:p>
    <w:p w14:paraId="284D9133" w14:textId="03E8AC07" w:rsidR="00AB20B4" w:rsidRDefault="00022533">
      <w:pPr>
        <w:pStyle w:val="TDC1"/>
        <w:rPr>
          <w:rFonts w:asciiTheme="minorHAnsi" w:eastAsiaTheme="minorEastAsia" w:hAnsiTheme="minorHAnsi" w:cstheme="minorBidi"/>
          <w:smallCaps w:val="0"/>
        </w:rPr>
      </w:pPr>
      <w:hyperlink w:anchor="_Toc151635607" w:history="1">
        <w:r w:rsidR="00AB20B4" w:rsidRPr="002F0392">
          <w:rPr>
            <w:rStyle w:val="Hipervnculo"/>
          </w:rPr>
          <w:t>IX. Control interno y reparos emitidos por los órganos interventores</w:t>
        </w:r>
        <w:r w:rsidR="00AB20B4">
          <w:rPr>
            <w:webHidden/>
          </w:rPr>
          <w:tab/>
        </w:r>
        <w:r w:rsidR="00AB20B4">
          <w:rPr>
            <w:webHidden/>
          </w:rPr>
          <w:fldChar w:fldCharType="begin"/>
        </w:r>
        <w:r w:rsidR="00AB20B4">
          <w:rPr>
            <w:webHidden/>
          </w:rPr>
          <w:instrText xml:space="preserve"> PAGEREF _Toc151635607 \h </w:instrText>
        </w:r>
        <w:r w:rsidR="00AB20B4">
          <w:rPr>
            <w:webHidden/>
          </w:rPr>
        </w:r>
        <w:r w:rsidR="00AB20B4">
          <w:rPr>
            <w:webHidden/>
          </w:rPr>
          <w:fldChar w:fldCharType="separate"/>
        </w:r>
        <w:r w:rsidR="009949DB">
          <w:rPr>
            <w:webHidden/>
          </w:rPr>
          <w:t>41</w:t>
        </w:r>
        <w:r w:rsidR="00AB20B4">
          <w:rPr>
            <w:webHidden/>
          </w:rPr>
          <w:fldChar w:fldCharType="end"/>
        </w:r>
      </w:hyperlink>
    </w:p>
    <w:p w14:paraId="42C81BA2" w14:textId="7F804426" w:rsidR="00AB20B4" w:rsidRDefault="00022533">
      <w:pPr>
        <w:pStyle w:val="TDC2"/>
        <w:rPr>
          <w:rFonts w:asciiTheme="minorHAnsi" w:eastAsiaTheme="minorEastAsia" w:hAnsiTheme="minorHAnsi" w:cstheme="minorBidi"/>
        </w:rPr>
      </w:pPr>
      <w:hyperlink w:anchor="_Toc151635608" w:history="1">
        <w:r w:rsidR="00AB20B4" w:rsidRPr="002F0392">
          <w:rPr>
            <w:rStyle w:val="Hipervnculo"/>
          </w:rPr>
          <w:t>IX.1 Cumplimiento de la obligación de remisión de la información solicitada</w:t>
        </w:r>
        <w:r w:rsidR="00AB20B4">
          <w:rPr>
            <w:webHidden/>
          </w:rPr>
          <w:tab/>
        </w:r>
        <w:r w:rsidR="00AB20B4">
          <w:rPr>
            <w:webHidden/>
          </w:rPr>
          <w:fldChar w:fldCharType="begin"/>
        </w:r>
        <w:r w:rsidR="00AB20B4">
          <w:rPr>
            <w:webHidden/>
          </w:rPr>
          <w:instrText xml:space="preserve"> PAGEREF _Toc151635608 \h </w:instrText>
        </w:r>
        <w:r w:rsidR="00AB20B4">
          <w:rPr>
            <w:webHidden/>
          </w:rPr>
        </w:r>
        <w:r w:rsidR="00AB20B4">
          <w:rPr>
            <w:webHidden/>
          </w:rPr>
          <w:fldChar w:fldCharType="separate"/>
        </w:r>
        <w:r w:rsidR="009949DB">
          <w:rPr>
            <w:webHidden/>
          </w:rPr>
          <w:t>41</w:t>
        </w:r>
        <w:r w:rsidR="00AB20B4">
          <w:rPr>
            <w:webHidden/>
          </w:rPr>
          <w:fldChar w:fldCharType="end"/>
        </w:r>
      </w:hyperlink>
    </w:p>
    <w:p w14:paraId="11D8E1FB" w14:textId="1316B0EE" w:rsidR="00AB20B4" w:rsidRDefault="00022533">
      <w:pPr>
        <w:pStyle w:val="TDC2"/>
        <w:rPr>
          <w:rFonts w:asciiTheme="minorHAnsi" w:eastAsiaTheme="minorEastAsia" w:hAnsiTheme="minorHAnsi" w:cstheme="minorBidi"/>
        </w:rPr>
      </w:pPr>
      <w:hyperlink w:anchor="_Toc151635609" w:history="1">
        <w:r w:rsidR="00AB20B4" w:rsidRPr="002F0392">
          <w:rPr>
            <w:rStyle w:val="Hipervnculo"/>
          </w:rPr>
          <w:t>IX.2 Control interno</w:t>
        </w:r>
        <w:r w:rsidR="00AB20B4">
          <w:rPr>
            <w:webHidden/>
          </w:rPr>
          <w:tab/>
        </w:r>
        <w:r w:rsidR="00AB20B4">
          <w:rPr>
            <w:webHidden/>
          </w:rPr>
          <w:fldChar w:fldCharType="begin"/>
        </w:r>
        <w:r w:rsidR="00AB20B4">
          <w:rPr>
            <w:webHidden/>
          </w:rPr>
          <w:instrText xml:space="preserve"> PAGEREF _Toc151635609 \h </w:instrText>
        </w:r>
        <w:r w:rsidR="00AB20B4">
          <w:rPr>
            <w:webHidden/>
          </w:rPr>
        </w:r>
        <w:r w:rsidR="00AB20B4">
          <w:rPr>
            <w:webHidden/>
          </w:rPr>
          <w:fldChar w:fldCharType="separate"/>
        </w:r>
        <w:r w:rsidR="009949DB">
          <w:rPr>
            <w:webHidden/>
          </w:rPr>
          <w:t>41</w:t>
        </w:r>
        <w:r w:rsidR="00AB20B4">
          <w:rPr>
            <w:webHidden/>
          </w:rPr>
          <w:fldChar w:fldCharType="end"/>
        </w:r>
      </w:hyperlink>
    </w:p>
    <w:p w14:paraId="486222A4" w14:textId="4395767B" w:rsidR="00AB20B4" w:rsidRDefault="00022533">
      <w:pPr>
        <w:pStyle w:val="TDC2"/>
        <w:rPr>
          <w:rFonts w:asciiTheme="minorHAnsi" w:eastAsiaTheme="minorEastAsia" w:hAnsiTheme="minorHAnsi" w:cstheme="minorBidi"/>
        </w:rPr>
      </w:pPr>
      <w:hyperlink w:anchor="_Toc151635610" w:history="1">
        <w:r w:rsidR="00AB20B4" w:rsidRPr="002F0392">
          <w:rPr>
            <w:rStyle w:val="Hipervnculo"/>
          </w:rPr>
          <w:t>IX.3 Reparos</w:t>
        </w:r>
        <w:r w:rsidR="00AB20B4">
          <w:rPr>
            <w:webHidden/>
          </w:rPr>
          <w:tab/>
        </w:r>
        <w:r w:rsidR="00AB20B4">
          <w:rPr>
            <w:webHidden/>
          </w:rPr>
          <w:fldChar w:fldCharType="begin"/>
        </w:r>
        <w:r w:rsidR="00AB20B4">
          <w:rPr>
            <w:webHidden/>
          </w:rPr>
          <w:instrText xml:space="preserve"> PAGEREF _Toc151635610 \h </w:instrText>
        </w:r>
        <w:r w:rsidR="00AB20B4">
          <w:rPr>
            <w:webHidden/>
          </w:rPr>
        </w:r>
        <w:r w:rsidR="00AB20B4">
          <w:rPr>
            <w:webHidden/>
          </w:rPr>
          <w:fldChar w:fldCharType="separate"/>
        </w:r>
        <w:r w:rsidR="009949DB">
          <w:rPr>
            <w:webHidden/>
          </w:rPr>
          <w:t>42</w:t>
        </w:r>
        <w:r w:rsidR="00AB20B4">
          <w:rPr>
            <w:webHidden/>
          </w:rPr>
          <w:fldChar w:fldCharType="end"/>
        </w:r>
      </w:hyperlink>
    </w:p>
    <w:p w14:paraId="77D7B9DA" w14:textId="46500DE5" w:rsidR="00AB20B4" w:rsidRDefault="00022533">
      <w:pPr>
        <w:pStyle w:val="TDC2"/>
        <w:rPr>
          <w:rFonts w:asciiTheme="minorHAnsi" w:eastAsiaTheme="minorEastAsia" w:hAnsiTheme="minorHAnsi" w:cstheme="minorBidi"/>
        </w:rPr>
      </w:pPr>
      <w:hyperlink w:anchor="_Toc151635611" w:history="1">
        <w:r w:rsidR="00AB20B4" w:rsidRPr="002F0392">
          <w:rPr>
            <w:rStyle w:val="Hipervnculo"/>
          </w:rPr>
          <w:t>IX.4 Principales anomalías en materia de ingresos</w:t>
        </w:r>
        <w:r w:rsidR="00AB20B4">
          <w:rPr>
            <w:webHidden/>
          </w:rPr>
          <w:tab/>
        </w:r>
        <w:r w:rsidR="00AB20B4">
          <w:rPr>
            <w:webHidden/>
          </w:rPr>
          <w:fldChar w:fldCharType="begin"/>
        </w:r>
        <w:r w:rsidR="00AB20B4">
          <w:rPr>
            <w:webHidden/>
          </w:rPr>
          <w:instrText xml:space="preserve"> PAGEREF _Toc151635611 \h </w:instrText>
        </w:r>
        <w:r w:rsidR="00AB20B4">
          <w:rPr>
            <w:webHidden/>
          </w:rPr>
        </w:r>
        <w:r w:rsidR="00AB20B4">
          <w:rPr>
            <w:webHidden/>
          </w:rPr>
          <w:fldChar w:fldCharType="separate"/>
        </w:r>
        <w:r w:rsidR="009949DB">
          <w:rPr>
            <w:webHidden/>
          </w:rPr>
          <w:t>43</w:t>
        </w:r>
        <w:r w:rsidR="00AB20B4">
          <w:rPr>
            <w:webHidden/>
          </w:rPr>
          <w:fldChar w:fldCharType="end"/>
        </w:r>
      </w:hyperlink>
    </w:p>
    <w:p w14:paraId="2A01DCF4" w14:textId="0FFCCD2B" w:rsidR="00AB20B4" w:rsidRDefault="00022533">
      <w:pPr>
        <w:pStyle w:val="TDC1"/>
        <w:rPr>
          <w:rFonts w:asciiTheme="minorHAnsi" w:eastAsiaTheme="minorEastAsia" w:hAnsiTheme="minorHAnsi" w:cstheme="minorBidi"/>
          <w:smallCaps w:val="0"/>
        </w:rPr>
      </w:pPr>
      <w:hyperlink w:anchor="_Toc151635612" w:history="1">
        <w:r w:rsidR="00AB20B4" w:rsidRPr="002F0392">
          <w:rPr>
            <w:rStyle w:val="Hipervnculo"/>
          </w:rPr>
          <w:t>X. Análisis comparativo</w:t>
        </w:r>
        <w:r w:rsidR="00AB20B4">
          <w:rPr>
            <w:webHidden/>
          </w:rPr>
          <w:tab/>
        </w:r>
        <w:r w:rsidR="00AB20B4">
          <w:rPr>
            <w:webHidden/>
          </w:rPr>
          <w:fldChar w:fldCharType="begin"/>
        </w:r>
        <w:r w:rsidR="00AB20B4">
          <w:rPr>
            <w:webHidden/>
          </w:rPr>
          <w:instrText xml:space="preserve"> PAGEREF _Toc151635612 \h </w:instrText>
        </w:r>
        <w:r w:rsidR="00AB20B4">
          <w:rPr>
            <w:webHidden/>
          </w:rPr>
        </w:r>
        <w:r w:rsidR="00AB20B4">
          <w:rPr>
            <w:webHidden/>
          </w:rPr>
          <w:fldChar w:fldCharType="separate"/>
        </w:r>
        <w:r w:rsidR="009949DB">
          <w:rPr>
            <w:webHidden/>
          </w:rPr>
          <w:t>44</w:t>
        </w:r>
        <w:r w:rsidR="00AB20B4">
          <w:rPr>
            <w:webHidden/>
          </w:rPr>
          <w:fldChar w:fldCharType="end"/>
        </w:r>
      </w:hyperlink>
    </w:p>
    <w:p w14:paraId="248640C1" w14:textId="37E4F077" w:rsidR="00AB20B4" w:rsidRDefault="00022533">
      <w:pPr>
        <w:pStyle w:val="TDC2"/>
        <w:rPr>
          <w:rFonts w:asciiTheme="minorHAnsi" w:eastAsiaTheme="minorEastAsia" w:hAnsiTheme="minorHAnsi" w:cstheme="minorBidi"/>
        </w:rPr>
      </w:pPr>
      <w:hyperlink w:anchor="_Toc151635613" w:history="1">
        <w:r w:rsidR="00AB20B4" w:rsidRPr="002F0392">
          <w:rPr>
            <w:rStyle w:val="Hipervnculo"/>
          </w:rPr>
          <w:t>X.1 Comparativa de ayuntamientos navarros por tramos de población</w:t>
        </w:r>
        <w:r w:rsidR="00AB20B4">
          <w:rPr>
            <w:webHidden/>
          </w:rPr>
          <w:tab/>
        </w:r>
        <w:r w:rsidR="00AB20B4">
          <w:rPr>
            <w:webHidden/>
          </w:rPr>
          <w:fldChar w:fldCharType="begin"/>
        </w:r>
        <w:r w:rsidR="00AB20B4">
          <w:rPr>
            <w:webHidden/>
          </w:rPr>
          <w:instrText xml:space="preserve"> PAGEREF _Toc151635613 \h </w:instrText>
        </w:r>
        <w:r w:rsidR="00AB20B4">
          <w:rPr>
            <w:webHidden/>
          </w:rPr>
        </w:r>
        <w:r w:rsidR="00AB20B4">
          <w:rPr>
            <w:webHidden/>
          </w:rPr>
          <w:fldChar w:fldCharType="separate"/>
        </w:r>
        <w:r w:rsidR="009949DB">
          <w:rPr>
            <w:webHidden/>
          </w:rPr>
          <w:t>44</w:t>
        </w:r>
        <w:r w:rsidR="00AB20B4">
          <w:rPr>
            <w:webHidden/>
          </w:rPr>
          <w:fldChar w:fldCharType="end"/>
        </w:r>
      </w:hyperlink>
    </w:p>
    <w:p w14:paraId="4D6EE3DC" w14:textId="07DD3891" w:rsidR="00AB20B4" w:rsidRDefault="00022533">
      <w:pPr>
        <w:pStyle w:val="TDC2"/>
        <w:rPr>
          <w:rFonts w:asciiTheme="minorHAnsi" w:eastAsiaTheme="minorEastAsia" w:hAnsiTheme="minorHAnsi" w:cstheme="minorBidi"/>
        </w:rPr>
      </w:pPr>
      <w:hyperlink w:anchor="_Toc151635614" w:history="1">
        <w:r w:rsidR="00AB20B4" w:rsidRPr="002F0392">
          <w:rPr>
            <w:rStyle w:val="Hipervnculo"/>
          </w:rPr>
          <w:t>X.2 Comparativa entre los ayuntamientos de Navarra, País Vasco y Estado</w:t>
        </w:r>
        <w:r w:rsidR="00AB20B4">
          <w:rPr>
            <w:webHidden/>
          </w:rPr>
          <w:tab/>
        </w:r>
        <w:r w:rsidR="00AB20B4">
          <w:rPr>
            <w:webHidden/>
          </w:rPr>
          <w:fldChar w:fldCharType="begin"/>
        </w:r>
        <w:r w:rsidR="00AB20B4">
          <w:rPr>
            <w:webHidden/>
          </w:rPr>
          <w:instrText xml:space="preserve"> PAGEREF _Toc151635614 \h </w:instrText>
        </w:r>
        <w:r w:rsidR="00AB20B4">
          <w:rPr>
            <w:webHidden/>
          </w:rPr>
        </w:r>
        <w:r w:rsidR="00AB20B4">
          <w:rPr>
            <w:webHidden/>
          </w:rPr>
          <w:fldChar w:fldCharType="separate"/>
        </w:r>
        <w:r w:rsidR="009949DB">
          <w:rPr>
            <w:webHidden/>
          </w:rPr>
          <w:t>44</w:t>
        </w:r>
        <w:r w:rsidR="00AB20B4">
          <w:rPr>
            <w:webHidden/>
          </w:rPr>
          <w:fldChar w:fldCharType="end"/>
        </w:r>
      </w:hyperlink>
    </w:p>
    <w:p w14:paraId="32284E28" w14:textId="7D19F825" w:rsidR="00AB20B4" w:rsidRDefault="00022533">
      <w:pPr>
        <w:pStyle w:val="TDC1"/>
        <w:rPr>
          <w:rFonts w:asciiTheme="minorHAnsi" w:eastAsiaTheme="minorEastAsia" w:hAnsiTheme="minorHAnsi" w:cstheme="minorBidi"/>
          <w:smallCaps w:val="0"/>
        </w:rPr>
      </w:pPr>
      <w:hyperlink w:anchor="_Toc151635615" w:history="1">
        <w:r w:rsidR="00AB20B4" w:rsidRPr="002F0392">
          <w:rPr>
            <w:rStyle w:val="Hipervnculo"/>
          </w:rPr>
          <w:t>ANEXOS</w:t>
        </w:r>
        <w:r w:rsidR="00AB20B4">
          <w:rPr>
            <w:webHidden/>
          </w:rPr>
          <w:tab/>
        </w:r>
        <w:r w:rsidR="00AB20B4">
          <w:rPr>
            <w:webHidden/>
          </w:rPr>
          <w:fldChar w:fldCharType="begin"/>
        </w:r>
        <w:r w:rsidR="00AB20B4">
          <w:rPr>
            <w:webHidden/>
          </w:rPr>
          <w:instrText xml:space="preserve"> PAGEREF _Toc151635615 \h </w:instrText>
        </w:r>
        <w:r w:rsidR="00AB20B4">
          <w:rPr>
            <w:webHidden/>
          </w:rPr>
        </w:r>
        <w:r w:rsidR="00AB20B4">
          <w:rPr>
            <w:webHidden/>
          </w:rPr>
          <w:fldChar w:fldCharType="separate"/>
        </w:r>
        <w:r w:rsidR="009949DB">
          <w:rPr>
            <w:webHidden/>
          </w:rPr>
          <w:t>48</w:t>
        </w:r>
        <w:r w:rsidR="00AB20B4">
          <w:rPr>
            <w:webHidden/>
          </w:rPr>
          <w:fldChar w:fldCharType="end"/>
        </w:r>
      </w:hyperlink>
    </w:p>
    <w:p w14:paraId="4F4B2933" w14:textId="58CC7F66" w:rsidR="00AB20B4" w:rsidRDefault="00022533">
      <w:pPr>
        <w:pStyle w:val="TDC1"/>
        <w:rPr>
          <w:rFonts w:asciiTheme="minorHAnsi" w:eastAsiaTheme="minorEastAsia" w:hAnsiTheme="minorHAnsi" w:cstheme="minorBidi"/>
          <w:smallCaps w:val="0"/>
        </w:rPr>
      </w:pPr>
      <w:hyperlink w:anchor="_Toc151635616" w:history="1">
        <w:r w:rsidR="00AB20B4" w:rsidRPr="002F0392">
          <w:rPr>
            <w:rStyle w:val="Hipervnculo"/>
          </w:rPr>
          <w:t>Anexo I. Normativa aplicable a las entidades locales</w:t>
        </w:r>
        <w:r w:rsidR="00AB20B4">
          <w:rPr>
            <w:webHidden/>
          </w:rPr>
          <w:tab/>
        </w:r>
        <w:r w:rsidR="00AB20B4">
          <w:rPr>
            <w:webHidden/>
          </w:rPr>
          <w:fldChar w:fldCharType="begin"/>
        </w:r>
        <w:r w:rsidR="00AB20B4">
          <w:rPr>
            <w:webHidden/>
          </w:rPr>
          <w:instrText xml:space="preserve"> PAGEREF _Toc151635616 \h </w:instrText>
        </w:r>
        <w:r w:rsidR="00AB20B4">
          <w:rPr>
            <w:webHidden/>
          </w:rPr>
        </w:r>
        <w:r w:rsidR="00AB20B4">
          <w:rPr>
            <w:webHidden/>
          </w:rPr>
          <w:fldChar w:fldCharType="separate"/>
        </w:r>
        <w:r w:rsidR="009949DB">
          <w:rPr>
            <w:webHidden/>
          </w:rPr>
          <w:t>49</w:t>
        </w:r>
        <w:r w:rsidR="00AB20B4">
          <w:rPr>
            <w:webHidden/>
          </w:rPr>
          <w:fldChar w:fldCharType="end"/>
        </w:r>
      </w:hyperlink>
    </w:p>
    <w:p w14:paraId="11786D1C" w14:textId="0C5123D8" w:rsidR="00AB20B4" w:rsidRDefault="00022533">
      <w:pPr>
        <w:pStyle w:val="TDC2"/>
        <w:rPr>
          <w:rFonts w:asciiTheme="minorHAnsi" w:eastAsiaTheme="minorEastAsia" w:hAnsiTheme="minorHAnsi" w:cstheme="minorBidi"/>
        </w:rPr>
      </w:pPr>
      <w:hyperlink w:anchor="_Toc151635617" w:history="1">
        <w:r w:rsidR="00AB20B4" w:rsidRPr="002F0392">
          <w:rPr>
            <w:rStyle w:val="Hipervnculo"/>
          </w:rPr>
          <w:t>Principales normas aprobadas en 2021 aplicables al sector público local de Navarra</w:t>
        </w:r>
        <w:r w:rsidR="00AB20B4">
          <w:rPr>
            <w:webHidden/>
          </w:rPr>
          <w:tab/>
        </w:r>
        <w:r w:rsidR="00AB20B4">
          <w:rPr>
            <w:webHidden/>
          </w:rPr>
          <w:fldChar w:fldCharType="begin"/>
        </w:r>
        <w:r w:rsidR="00AB20B4">
          <w:rPr>
            <w:webHidden/>
          </w:rPr>
          <w:instrText xml:space="preserve"> PAGEREF _Toc151635617 \h </w:instrText>
        </w:r>
        <w:r w:rsidR="00AB20B4">
          <w:rPr>
            <w:webHidden/>
          </w:rPr>
        </w:r>
        <w:r w:rsidR="00AB20B4">
          <w:rPr>
            <w:webHidden/>
          </w:rPr>
          <w:fldChar w:fldCharType="separate"/>
        </w:r>
        <w:r w:rsidR="009949DB">
          <w:rPr>
            <w:webHidden/>
          </w:rPr>
          <w:t>49</w:t>
        </w:r>
        <w:r w:rsidR="00AB20B4">
          <w:rPr>
            <w:webHidden/>
          </w:rPr>
          <w:fldChar w:fldCharType="end"/>
        </w:r>
      </w:hyperlink>
    </w:p>
    <w:p w14:paraId="53FE8E02" w14:textId="0B7C89A1" w:rsidR="00AB20B4" w:rsidRDefault="00022533">
      <w:pPr>
        <w:pStyle w:val="TDC2"/>
        <w:rPr>
          <w:rFonts w:asciiTheme="minorHAnsi" w:eastAsiaTheme="minorEastAsia" w:hAnsiTheme="minorHAnsi" w:cstheme="minorBidi"/>
        </w:rPr>
      </w:pPr>
      <w:hyperlink w:anchor="_Toc151635618" w:history="1">
        <w:r w:rsidR="00AB20B4" w:rsidRPr="002F0392">
          <w:rPr>
            <w:rStyle w:val="Hipervnculo"/>
          </w:rPr>
          <w:t>Principales normas aplicables al sector público local de Navarra en 2021</w:t>
        </w:r>
        <w:r w:rsidR="00AB20B4">
          <w:rPr>
            <w:webHidden/>
          </w:rPr>
          <w:tab/>
        </w:r>
        <w:r w:rsidR="00AB20B4">
          <w:rPr>
            <w:webHidden/>
          </w:rPr>
          <w:fldChar w:fldCharType="begin"/>
        </w:r>
        <w:r w:rsidR="00AB20B4">
          <w:rPr>
            <w:webHidden/>
          </w:rPr>
          <w:instrText xml:space="preserve"> PAGEREF _Toc151635618 \h </w:instrText>
        </w:r>
        <w:r w:rsidR="00AB20B4">
          <w:rPr>
            <w:webHidden/>
          </w:rPr>
        </w:r>
        <w:r w:rsidR="00AB20B4">
          <w:rPr>
            <w:webHidden/>
          </w:rPr>
          <w:fldChar w:fldCharType="separate"/>
        </w:r>
        <w:r w:rsidR="009949DB">
          <w:rPr>
            <w:webHidden/>
          </w:rPr>
          <w:t>50</w:t>
        </w:r>
        <w:r w:rsidR="00AB20B4">
          <w:rPr>
            <w:webHidden/>
          </w:rPr>
          <w:fldChar w:fldCharType="end"/>
        </w:r>
      </w:hyperlink>
    </w:p>
    <w:p w14:paraId="679ABD76" w14:textId="6762146E" w:rsidR="00AB20B4" w:rsidRDefault="00022533">
      <w:pPr>
        <w:pStyle w:val="TDC1"/>
        <w:rPr>
          <w:rFonts w:asciiTheme="minorHAnsi" w:eastAsiaTheme="minorEastAsia" w:hAnsiTheme="minorHAnsi" w:cstheme="minorBidi"/>
          <w:smallCaps w:val="0"/>
        </w:rPr>
      </w:pPr>
      <w:hyperlink w:anchor="_Toc151635619" w:history="1">
        <w:r w:rsidR="00AB20B4" w:rsidRPr="002F0392">
          <w:rPr>
            <w:rStyle w:val="Hipervnculo"/>
          </w:rPr>
          <w:t>Anexo II. Situación financiera del sector público local de Navarra, año 2021</w:t>
        </w:r>
        <w:r w:rsidR="00AB20B4">
          <w:rPr>
            <w:webHidden/>
          </w:rPr>
          <w:tab/>
        </w:r>
        <w:r w:rsidR="00AB20B4">
          <w:rPr>
            <w:webHidden/>
          </w:rPr>
          <w:fldChar w:fldCharType="begin"/>
        </w:r>
        <w:r w:rsidR="00AB20B4">
          <w:rPr>
            <w:webHidden/>
          </w:rPr>
          <w:instrText xml:space="preserve"> PAGEREF _Toc151635619 \h </w:instrText>
        </w:r>
        <w:r w:rsidR="00AB20B4">
          <w:rPr>
            <w:webHidden/>
          </w:rPr>
        </w:r>
        <w:r w:rsidR="00AB20B4">
          <w:rPr>
            <w:webHidden/>
          </w:rPr>
          <w:fldChar w:fldCharType="separate"/>
        </w:r>
        <w:r w:rsidR="009949DB">
          <w:rPr>
            <w:webHidden/>
          </w:rPr>
          <w:t>56</w:t>
        </w:r>
        <w:r w:rsidR="00AB20B4">
          <w:rPr>
            <w:webHidden/>
          </w:rPr>
          <w:fldChar w:fldCharType="end"/>
        </w:r>
      </w:hyperlink>
    </w:p>
    <w:p w14:paraId="74D8A742" w14:textId="27E53DB8" w:rsidR="00B97C1D" w:rsidRDefault="00345C6C" w:rsidP="00345C6C">
      <w:pPr>
        <w:pStyle w:val="texto"/>
        <w:rPr>
          <w:color w:val="000000" w:themeColor="text1"/>
        </w:rPr>
      </w:pPr>
      <w:r w:rsidRPr="00033257">
        <w:rPr>
          <w:color w:val="000000" w:themeColor="text1"/>
        </w:rPr>
        <w:fldChar w:fldCharType="end"/>
      </w:r>
    </w:p>
    <w:p w14:paraId="16510179" w14:textId="77777777" w:rsidR="00B97C1D" w:rsidRDefault="00B97C1D">
      <w:pPr>
        <w:spacing w:after="0"/>
        <w:ind w:firstLine="0"/>
        <w:jc w:val="left"/>
        <w:rPr>
          <w:color w:val="000000" w:themeColor="text1"/>
          <w:spacing w:val="6"/>
          <w:sz w:val="26"/>
          <w:szCs w:val="24"/>
        </w:rPr>
      </w:pPr>
      <w:r>
        <w:br w:type="page"/>
      </w:r>
    </w:p>
    <w:p w14:paraId="55C5E569" w14:textId="77777777" w:rsidR="00B97C1D" w:rsidRDefault="00B97C1D" w:rsidP="00345C6C">
      <w:pPr>
        <w:pStyle w:val="texto"/>
        <w:rPr>
          <w:color w:val="000000" w:themeColor="text1"/>
        </w:rPr>
        <w:sectPr w:rsidR="00B97C1D" w:rsidSect="00B97C1D">
          <w:headerReference w:type="default" r:id="rId12"/>
          <w:footerReference w:type="default" r:id="rId13"/>
          <w:pgSz w:w="11907" w:h="16840" w:code="9"/>
          <w:pgMar w:top="2109" w:right="1559" w:bottom="1644" w:left="1560" w:header="369" w:footer="136" w:gutter="0"/>
          <w:pgNumType w:start="3"/>
          <w:cols w:space="720"/>
          <w:docGrid w:linePitch="360"/>
        </w:sectPr>
      </w:pPr>
    </w:p>
    <w:p w14:paraId="38D4FC4A" w14:textId="16EFED74" w:rsidR="00345C6C" w:rsidRPr="00033257" w:rsidRDefault="00345C6C" w:rsidP="00345C6C">
      <w:pPr>
        <w:pStyle w:val="atitulo1"/>
      </w:pP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151635586"/>
      <w:r>
        <w:lastRenderedPageBreak/>
        <w:t>I. Sarrera</w:t>
      </w:r>
      <w:bookmarkEnd w:id="0"/>
      <w:bookmarkEnd w:id="1"/>
      <w:bookmarkEnd w:id="2"/>
      <w:bookmarkEnd w:id="3"/>
      <w:bookmarkEnd w:id="4"/>
      <w:bookmarkEnd w:id="5"/>
      <w:bookmarkEnd w:id="6"/>
      <w:bookmarkEnd w:id="7"/>
      <w:bookmarkEnd w:id="8"/>
    </w:p>
    <w:p w14:paraId="6FE33F63" w14:textId="7C94ECAE" w:rsidR="009A7A48" w:rsidRPr="00033257" w:rsidRDefault="009A7A48" w:rsidP="009A7A48">
      <w:pPr>
        <w:pStyle w:val="texto"/>
        <w:rPr>
          <w:color w:val="000000" w:themeColor="text1"/>
        </w:rPr>
      </w:pPr>
      <w:r>
        <w:rPr>
          <w:color w:val="000000" w:themeColor="text1"/>
        </w:rPr>
        <w:t>Nafarroako toki sektore publikoari buruzko txosten hau egin da, Nafarroako Kontuen Ganberaren abenduaren 20ko 19/1984 Foru Legearekin bat, Nafarroako Toki Administrazioari buruzko uztailaren 2ko 6/1990 Foru Legea betetzeko (aurrerantzean TAFL), haren 350.2 artikuluak ezartzen baitu derrigorrezkoa dela urtero bidaltzea Nafarroako Parlamentuari eta Gobernuari Kontuen Ganberak Nafarroako toki-entitateen esparruan egin dituen fiskalizazioko eta kontroleko jarduketen berri ematen duen laburpen-oroitidazkia.</w:t>
      </w:r>
    </w:p>
    <w:p w14:paraId="6FDF7172" w14:textId="0AA5A68E" w:rsidR="00A655FB" w:rsidRPr="00033257" w:rsidRDefault="00A655FB" w:rsidP="00A655FB">
      <w:pPr>
        <w:pStyle w:val="texto"/>
        <w:rPr>
          <w:color w:val="000000" w:themeColor="text1"/>
        </w:rPr>
      </w:pPr>
      <w:r>
        <w:rPr>
          <w:color w:val="000000" w:themeColor="text1"/>
        </w:rPr>
        <w:t>Txostenarekin batera, gainera, bi eranskin daude, honako hauek biltzen dituztenak: Nafarroako toki-entitateetan aplikatzekoa den araudi nagusia, eta toki sektore publikoaren 2021eko finantza egoerari buruz Nafarroako Gobernuko Toki Administrazioaren eta Despopulazioaren Zuzendaritza Nagusiak (TADZN) egindako txostena.</w:t>
      </w:r>
    </w:p>
    <w:p w14:paraId="5736335D" w14:textId="059D5EBB" w:rsidR="00F67A1A" w:rsidRDefault="00F67A1A" w:rsidP="009A7A48">
      <w:pPr>
        <w:pStyle w:val="texto"/>
        <w:rPr>
          <w:color w:val="000000" w:themeColor="text1"/>
        </w:rPr>
      </w:pPr>
      <w:r>
        <w:rPr>
          <w:color w:val="000000" w:themeColor="text1"/>
        </w:rPr>
        <w:t>Toki-entitateek kontu orokorrak Nafarroako Foru Komunitateko Administrazioari (aurrerantzean, NFKA) igortzeko epeak eta informazioaren tratamenduaren konplexutasuna direla eta, 2021eko ekitaldiari buruzko txostena ezin izan da 2023ra arte argitaratu.</w:t>
      </w:r>
    </w:p>
    <w:p w14:paraId="20A4A702" w14:textId="77777777" w:rsidR="009A7A48" w:rsidRPr="00033257" w:rsidRDefault="009A7A48" w:rsidP="009A7A48">
      <w:pPr>
        <w:pStyle w:val="texto"/>
        <w:rPr>
          <w:color w:val="000000" w:themeColor="text1"/>
        </w:rPr>
      </w:pPr>
      <w:r>
        <w:rPr>
          <w:color w:val="000000" w:themeColor="text1"/>
        </w:rPr>
        <w:t>Lana 2023ko urrian eta azaroan egin du auditoretzako bi teknikarik eta auditore batek osatutako lantaldeak, Kontuen Ganberaren zerbitzu juridikoekin, informatikoekin eta administratiboekin lankidetzan.</w:t>
      </w:r>
    </w:p>
    <w:p w14:paraId="13F08D3B" w14:textId="77777777" w:rsidR="009A7A48" w:rsidRPr="00033257" w:rsidRDefault="009A7A48" w:rsidP="009A7A48">
      <w:pPr>
        <w:pStyle w:val="texto"/>
        <w:rPr>
          <w:color w:val="000000" w:themeColor="text1"/>
        </w:rPr>
      </w:pPr>
      <w:r>
        <w:rPr>
          <w:color w:val="000000" w:themeColor="text1"/>
        </w:rPr>
        <w:t>Eskerrak ematen dizkiegu Toki Administrazioaren eta Despopulazioaren Zuzendaritza Nagusiko, Nafarroako Udal eta Kontzejuen Federazioko eta Nafarroako toki-entitateetako langileei lan hau egiteko eman diguten laguntzarengatik.</w:t>
      </w:r>
    </w:p>
    <w:p w14:paraId="10C6D643" w14:textId="77777777" w:rsidR="009A7A48" w:rsidRPr="00033257" w:rsidRDefault="009A7A48" w:rsidP="009A7A48">
      <w:pPr>
        <w:pStyle w:val="texto"/>
        <w:rPr>
          <w:color w:val="000000" w:themeColor="text1"/>
        </w:rPr>
      </w:pPr>
      <w:r>
        <w:rPr>
          <w:color w:val="000000" w:themeColor="text1"/>
        </w:rPr>
        <w:t>Txosteneko diru kopuruak biribildu egin dira, zentimorik ez agertzeko. Datuek beti adierazten dute balio zehatz bakoitza biribilduta, eta ez biribildutako datuen batura. Ehunekoak ere balio zehatzen gainean kalkulatuta daude, eta ez biribildutako balioen gainean.</w:t>
      </w:r>
    </w:p>
    <w:p w14:paraId="110FFD37" w14:textId="72BE30C7" w:rsidR="001D196E" w:rsidRDefault="001D196E">
      <w:pPr>
        <w:spacing w:after="0"/>
        <w:ind w:firstLine="0"/>
        <w:jc w:val="left"/>
        <w:rPr>
          <w:spacing w:val="6"/>
          <w:sz w:val="26"/>
          <w:szCs w:val="24"/>
        </w:rPr>
      </w:pPr>
      <w:r>
        <w:br w:type="page"/>
      </w:r>
    </w:p>
    <w:p w14:paraId="6753B2EF" w14:textId="77777777" w:rsidR="00683931" w:rsidRPr="00033257" w:rsidRDefault="00683931" w:rsidP="00683931">
      <w:pPr>
        <w:pStyle w:val="atitulo1"/>
      </w:pPr>
      <w:bookmarkStart w:id="9" w:name="_Toc217455261"/>
      <w:bookmarkStart w:id="10" w:name="_Toc527634608"/>
      <w:bookmarkStart w:id="11" w:name="_Toc529773875"/>
      <w:bookmarkStart w:id="12" w:name="_Toc531088341"/>
      <w:bookmarkStart w:id="13" w:name="_Toc24100140"/>
      <w:bookmarkStart w:id="14" w:name="_Toc52348288"/>
      <w:bookmarkStart w:id="15" w:name="_Toc151635587"/>
      <w:bookmarkStart w:id="16" w:name="_Toc121292759"/>
      <w:bookmarkStart w:id="17" w:name="_Toc121293082"/>
      <w:bookmarkStart w:id="18" w:name="_Toc291067875"/>
      <w:bookmarkStart w:id="19" w:name="_Toc399916258"/>
      <w:bookmarkStart w:id="20" w:name="_Toc465686681"/>
      <w:r>
        <w:lastRenderedPageBreak/>
        <w:t>II. Helburuak</w:t>
      </w:r>
      <w:bookmarkEnd w:id="9"/>
      <w:r>
        <w:t>, norainokoa eta mugak</w:t>
      </w:r>
      <w:bookmarkEnd w:id="10"/>
      <w:bookmarkEnd w:id="11"/>
      <w:bookmarkEnd w:id="12"/>
      <w:bookmarkEnd w:id="13"/>
      <w:bookmarkEnd w:id="14"/>
      <w:bookmarkEnd w:id="15"/>
      <w:r>
        <w:t xml:space="preserve"> </w:t>
      </w:r>
    </w:p>
    <w:p w14:paraId="6957FF19" w14:textId="77777777" w:rsidR="009A7A48" w:rsidRPr="00033257" w:rsidRDefault="009A7A48" w:rsidP="009A7A48">
      <w:pPr>
        <w:pStyle w:val="texto"/>
        <w:rPr>
          <w:color w:val="000000" w:themeColor="text1"/>
          <w:szCs w:val="26"/>
        </w:rPr>
      </w:pPr>
      <w:r>
        <w:rPr>
          <w:color w:val="000000" w:themeColor="text1"/>
        </w:rPr>
        <w:t>Lan honen helburuak hauek izan dira:</w:t>
      </w:r>
    </w:p>
    <w:p w14:paraId="422C5567"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Ganbera honek Nafarroako toki-entitateen esparruan 2021eko ekitaldiari buruz egin dituen fiskalizazio jarduketak laburbiltzea.</w:t>
      </w:r>
    </w:p>
    <w:p w14:paraId="50377D50"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Nafarroako toki-entitateen 2021eko finantza egoeraren eta antolamenduaren ikuspegi bat ematea Parlamentuari, administrazio publikoei eta Nafarroako gizarteari.</w:t>
      </w:r>
    </w:p>
    <w:p w14:paraId="2C9DE746"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Pr>
          <w:color w:val="000000" w:themeColor="text1"/>
        </w:rPr>
        <w:t>Toki-entitateek ekitaldi horretan egindako kontratazioa aztertzea.</w:t>
      </w:r>
    </w:p>
    <w:p w14:paraId="7361C6DF"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Toki erakundeen kontu-hartzailetzak diru-sarrerei dagokienez jakinarazitako barne kontrola, eragozpenak eta anomaliak aztertzea.</w:t>
      </w:r>
    </w:p>
    <w:p w14:paraId="066FB059"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Adierazpen multzo bat harturik, konparazioa egitea biztanleria-tarte desberdinetako Nafarroako udalen artean, bai eta horien eta EAEko udalen artean eta Estatuko gainerakoen artean ere.</w:t>
      </w:r>
    </w:p>
    <w:p w14:paraId="30DFF5CA"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Toki sektore publikoaren kudeaketa hobetzeko gomendioak egitea.</w:t>
      </w:r>
    </w:p>
    <w:p w14:paraId="15E83CF7" w14:textId="77777777" w:rsidR="009A7A48" w:rsidRPr="00033257" w:rsidRDefault="009A7A48" w:rsidP="009A7A48">
      <w:pPr>
        <w:pStyle w:val="texto"/>
        <w:tabs>
          <w:tab w:val="clear" w:pos="2835"/>
          <w:tab w:val="clear" w:pos="3969"/>
          <w:tab w:val="clear" w:pos="5103"/>
          <w:tab w:val="clear" w:pos="6237"/>
          <w:tab w:val="clear" w:pos="7371"/>
          <w:tab w:val="left" w:pos="480"/>
          <w:tab w:val="num" w:pos="644"/>
          <w:tab w:val="num" w:pos="720"/>
          <w:tab w:val="num" w:pos="1320"/>
          <w:tab w:val="num" w:pos="5606"/>
        </w:tabs>
        <w:ind w:firstLine="289"/>
        <w:rPr>
          <w:rFonts w:cs="Arial"/>
          <w:color w:val="000000" w:themeColor="text1"/>
        </w:rPr>
      </w:pPr>
      <w:r>
        <w:rPr>
          <w:color w:val="000000" w:themeColor="text1"/>
        </w:rPr>
        <w:t>Lanaren norainokoak toki-entitateen 2021eko ekitaldiko kontu orokorra hartzen du; honako hauek osatzen dute kontu hori:</w:t>
      </w:r>
    </w:p>
    <w:p w14:paraId="1C2DC45F" w14:textId="2D6759F9" w:rsidR="009A7A48" w:rsidRPr="00033257" w:rsidRDefault="21B8DB18" w:rsidP="009A7A48">
      <w:pPr>
        <w:pStyle w:val="texto"/>
        <w:numPr>
          <w:ilvl w:val="0"/>
          <w:numId w:val="22"/>
        </w:numPr>
        <w:tabs>
          <w:tab w:val="clear" w:pos="2835"/>
          <w:tab w:val="clear" w:pos="3969"/>
          <w:tab w:val="clear" w:pos="5103"/>
          <w:tab w:val="clear" w:pos="6237"/>
          <w:tab w:val="clear" w:pos="7371"/>
          <w:tab w:val="left" w:pos="480"/>
          <w:tab w:val="num" w:pos="567"/>
          <w:tab w:val="num" w:pos="720"/>
          <w:tab w:val="num" w:pos="1320"/>
          <w:tab w:val="num" w:pos="5606"/>
        </w:tabs>
        <w:rPr>
          <w:rFonts w:cs="Arial"/>
          <w:color w:val="000000" w:themeColor="text1"/>
        </w:rPr>
      </w:pPr>
      <w:r>
        <w:rPr>
          <w:color w:val="000000" w:themeColor="text1"/>
        </w:rPr>
        <w:t>Toki-entitatearen beraren kontua eta haren erakunde autonomoena (aurrerantzean EE AA).</w:t>
      </w:r>
    </w:p>
    <w:p w14:paraId="1061843D" w14:textId="77777777" w:rsidR="009A7A48" w:rsidRPr="00033257" w:rsidRDefault="009A7A48" w:rsidP="009A7A48">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color w:val="000000" w:themeColor="text1"/>
        </w:rPr>
      </w:pPr>
      <w:r>
        <w:rPr>
          <w:color w:val="000000" w:themeColor="text1"/>
        </w:rPr>
        <w:t>b) Merkataritzako sozietateena, horien kapitala oso-osorik kasuko toki-entitatearena bada.</w:t>
      </w:r>
    </w:p>
    <w:p w14:paraId="67D784DF" w14:textId="77777777" w:rsidR="009A7A48" w:rsidRPr="00033257" w:rsidRDefault="009A7A48" w:rsidP="009A7A48">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color w:val="000000" w:themeColor="text1"/>
        </w:rPr>
      </w:pPr>
      <w:r>
        <w:rPr>
          <w:color w:val="000000" w:themeColor="text1"/>
        </w:rPr>
        <w:t>c) Eranskinak.</w:t>
      </w:r>
    </w:p>
    <w:p w14:paraId="27662142" w14:textId="2B796464" w:rsidR="009A7A48" w:rsidRPr="00033257" w:rsidRDefault="00242407" w:rsidP="009A7A48">
      <w:pPr>
        <w:pStyle w:val="texto"/>
        <w:tabs>
          <w:tab w:val="clear" w:pos="2835"/>
          <w:tab w:val="clear" w:pos="3969"/>
          <w:tab w:val="clear" w:pos="5103"/>
          <w:tab w:val="clear" w:pos="6237"/>
          <w:tab w:val="clear" w:pos="7371"/>
          <w:tab w:val="left" w:pos="851"/>
        </w:tabs>
        <w:spacing w:before="120" w:after="120"/>
        <w:rPr>
          <w:color w:val="000000" w:themeColor="text1"/>
          <w:szCs w:val="26"/>
        </w:rPr>
      </w:pPr>
      <w:r>
        <w:rPr>
          <w:color w:val="000000" w:themeColor="text1"/>
        </w:rPr>
        <w:t>Honako hauek ere aztertu ditugu: Nafarroako toki sektore publikoaren 2021eko finantza egoeraz Toki Administrazioaren eta Despopulazioaren Zuzendaritza Nagusiak egindako txostena, eta zuzendaritza nagusi horrek kudeatzen duen Toki-entitateen Erregistroko datuak, bai eta Kontratazio Publikorako Batzordearen mendeko Kontratuen Erregistrotik lortutako informazioa ere. Halaber, kontuan hartu ditugu ekitaldiari dagokionez Ganbera honek eman dituen fiskalizazio txostenak, eta barne kontrolari eta eragozpen-oharrei buruz Ganbera honek informazioa eskatutakoan toki-entitateetako kontu-hartze organoek eman dituzten erantzunak.</w:t>
      </w:r>
    </w:p>
    <w:p w14:paraId="323F7D34" w14:textId="713B5CB9" w:rsidR="009A7A48" w:rsidRPr="00033257" w:rsidRDefault="21B8DB18" w:rsidP="00C84D07">
      <w:pPr>
        <w:pStyle w:val="texto"/>
        <w:rPr>
          <w:color w:val="000000" w:themeColor="text1"/>
        </w:rPr>
      </w:pPr>
      <w:r>
        <w:rPr>
          <w:color w:val="000000" w:themeColor="text1"/>
        </w:rPr>
        <w:t xml:space="preserve">Gure lanerako muga bat izan da informazio ekonomiko-finantzariorik eta aurrekontukorik ez edukitzea 2021eko ekitaldiko beren kontu orokorra edo aurrekontuaren likidazioa Toki Administrazioaren eta Despopulazioaren Zuzendaritza </w:t>
      </w:r>
      <w:r>
        <w:rPr>
          <w:color w:val="000000" w:themeColor="text1"/>
        </w:rPr>
        <w:lastRenderedPageBreak/>
        <w:t>Nagusiari 2023ko otsailaren 8an</w:t>
      </w:r>
      <w:r w:rsidR="001B4E2F">
        <w:rPr>
          <w:rStyle w:val="Refdenotaalpie"/>
          <w:color w:val="000000" w:themeColor="text1"/>
        </w:rPr>
        <w:footnoteReference w:id="1"/>
      </w:r>
      <w:r>
        <w:rPr>
          <w:color w:val="000000" w:themeColor="text1"/>
        </w:rPr>
        <w:t xml:space="preserve"> bidali gabe zeuzkaten toki-entitateei buruz; honako hauek dira, hain zuzen:</w:t>
      </w:r>
    </w:p>
    <w:p w14:paraId="4FA575D3" w14:textId="5D0112AB" w:rsidR="00C84D07" w:rsidRPr="00033257" w:rsidRDefault="2C7397AF"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 xml:space="preserve">272 udalerrietatik 23: Ameskoabarrena, Arbizu, Arellano, Aribe, Ziritza, Eratsun, Etxarri Aranatz, Ezkaroze, Ezkurra, Imotz, Itzaltzu, Jaurrieta, Txulapain, Ledea, Olazti, Orkoien, Oronoz, Saldias, San Martin Unx, Torralba del Río, Urzainki, Zugarramurdi eta Zuñiga. </w:t>
      </w:r>
    </w:p>
    <w:p w14:paraId="28554EA0" w14:textId="28107AEF" w:rsidR="00C84D07" w:rsidRPr="00033257" w:rsidRDefault="2C7397AF" w:rsidP="001D196E">
      <w:pPr>
        <w:pStyle w:val="texto"/>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rPr>
          <w:rFonts w:cs="Arial"/>
          <w:color w:val="000000" w:themeColor="text1"/>
        </w:rPr>
      </w:pPr>
      <w:r>
        <w:rPr>
          <w:color w:val="000000" w:themeColor="text1"/>
        </w:rPr>
        <w:t>Udalerri horiek 13.496 biztanle dituzte guztira; alegia, Nafarroak 2021eko urtarrilaren 1ean zituen biztanleen ehuneko 2,04. Horien artean, Orkoiengo Udala nabarmentzen da, 4.160 biztanle baititu. </w:t>
      </w:r>
    </w:p>
    <w:p w14:paraId="60E4BA62" w14:textId="71EC07C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346 kontzejuetatik 78: Abintzao, Albiasu, Allotz, Altzorritz, Aramendia, Arandigoien, Arbeitza, Arguiñano, Arlegi, Artabia, Asterain, Azantza, Azotz, Azparren, Bakedano, Zenborain, Zizur Txikia, Etxague, Etxabarri, Eraso, Eraul, Erro, Etxaleku, Figarol, Gaintza, Galdio, Garisoain, Gazolatz, Goldaratz, Goñi, Genbe, Gorza, Ibiriku Deierri, Igari, Igoa, Iguzkitza, Inbuluzketa, Intza, Iruñela, Irurre, Iturgoien, Labeaga, Lakar, Larraintzar, Larraia, Larraiotz, Larrion, Latasa (Imotz), Lerate, Lizarragabengoa, Lizaso, Markalain, Mendaza, Muneta, Murugarren, Muskitz, Nuin, Ollogoien, Oloritz, Otsakar, Oskotz, Paternain, Getze Ibargoiti, Getze Galar, Saragueta, Sartze, Soltxaga, Subitza, Dorre, Undio, Untzu, Urdotz, Urritza, Zarikiegi, Zarrantz, Zubielki, Zufia, Zurukuain.</w:t>
      </w:r>
    </w:p>
    <w:p w14:paraId="30982AD6" w14:textId="4AE8D409" w:rsidR="009A7A48" w:rsidRPr="00033257" w:rsidRDefault="21B8DB18" w:rsidP="3710BB4A">
      <w:pPr>
        <w:pStyle w:val="texto"/>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rPr>
          <w:rFonts w:cs="Arial"/>
          <w:color w:val="000000" w:themeColor="text1"/>
        </w:rPr>
      </w:pPr>
      <w:r>
        <w:rPr>
          <w:color w:val="000000" w:themeColor="text1"/>
        </w:rPr>
        <w:t xml:space="preserve">Kontzeju horien biztanleria 9.145 pertsonakoa da. Nafarroako guztizko biztanleriaren ehuneko 1,38 egiten du, eta kontzejuetako biztanleriaren ehuneko 21,83. </w:t>
      </w:r>
    </w:p>
    <w:p w14:paraId="0448C694" w14:textId="77777777" w:rsidR="00C84D07" w:rsidRPr="00033257" w:rsidRDefault="00C84D07" w:rsidP="00427D2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 xml:space="preserve">84 mankomunitate eta elkarteetatik zortzi: Basaburua Imotz Udal Elkartzea, Faltzes eta Miranda Arga Udalerrietako Administrazio Zerbitzuen Elkartea, Berragu Liburutegi Zerbitzuen Mankomunitatea, Malerrekako Zerbitzu Orokorren Mankomunitatea, Erriberri aldeko Oinarrizko Gizarte Zerbitzuen Mankomunitatea, Araxesgoienako Mankomunitatea, Nafarroako Iparraldeko Mankomunitatea Euskararen Kudeaketarako eta Orreagako Kirol Mankomunitatea. </w:t>
      </w:r>
    </w:p>
    <w:p w14:paraId="0047F90B" w14:textId="33469031" w:rsidR="009A7A48" w:rsidRPr="00033257" w:rsidRDefault="21B8DB18" w:rsidP="00C84D07">
      <w:pPr>
        <w:pStyle w:val="texto"/>
        <w:rPr>
          <w:color w:val="000000" w:themeColor="text1"/>
        </w:rPr>
      </w:pPr>
      <w:r>
        <w:rPr>
          <w:color w:val="000000" w:themeColor="text1"/>
        </w:rPr>
        <w:t>Bestetik, zehaztu beharra dago tokiko sektore publikoaren finantza egoerari buruzko azterketa egiten dela, funtsean, toki-entitateen eta haien erakunde autonomoen aurrekontu-datu bateratuetan oinarrituta. Hala ere, zenbait alderditan honako hauek barne hartzen duten informazioa aurkezten dugu: Iruñerriko Zerbitzuak SA sozietatea (SCPSA), Servicios Técnicos Mancomunados SLU (Sertecma) eta Jurramendiko Mankomunitatearen Zerbitzuak SA (SMSA). Hiru sozietate horiek mankomunitateen mende dauden eta kontuak eman dituzten bost sozietate publikoen gastuen eta diru-sarrera guztien ehuneko 98 inguru dira</w:t>
      </w:r>
      <w:r w:rsidR="00D97C2C" w:rsidRPr="00033257">
        <w:rPr>
          <w:rStyle w:val="Refdenotaalpie"/>
          <w:color w:val="000000" w:themeColor="text1"/>
        </w:rPr>
        <w:footnoteReference w:id="2"/>
      </w:r>
      <w:r>
        <w:rPr>
          <w:color w:val="000000" w:themeColor="text1"/>
        </w:rPr>
        <w:t xml:space="preserve">. </w:t>
      </w:r>
      <w:r>
        <w:rPr>
          <w:color w:val="000000" w:themeColor="text1"/>
        </w:rPr>
        <w:lastRenderedPageBreak/>
        <w:t>Zorpetzearen azterketan bai sartu dela udal eta mankomunitateen menpeko sozietate guztien baterakuntza. Fundazio publikoak eta partzuergoak, berriz, ez dira sartu inongo baterakuntzatan.</w:t>
      </w:r>
    </w:p>
    <w:p w14:paraId="44FBB7B8" w14:textId="77777777" w:rsidR="009A7A48" w:rsidRPr="00033257" w:rsidRDefault="00C84D07" w:rsidP="00C84D07">
      <w:pPr>
        <w:pStyle w:val="texto"/>
        <w:rPr>
          <w:color w:val="000000" w:themeColor="text1"/>
        </w:rPr>
      </w:pPr>
      <w:r>
        <w:rPr>
          <w:color w:val="000000" w:themeColor="text1"/>
        </w:rPr>
        <w:t>Informazio faltagatik muga hori eduki arren, uste dugu, datu horiek eskura izanez gero, egindako lanean lortutako ondorioak ez liratekeela nabarmen aldatuko.</w:t>
      </w:r>
    </w:p>
    <w:p w14:paraId="07459315" w14:textId="77777777" w:rsidR="00683931" w:rsidRPr="00033257" w:rsidRDefault="00683931" w:rsidP="00543D5A">
      <w:pPr>
        <w:rPr>
          <w:rFonts w:cs="Arial"/>
          <w:color w:val="000000" w:themeColor="text1"/>
          <w:spacing w:val="6"/>
          <w:sz w:val="26"/>
          <w:szCs w:val="24"/>
        </w:rPr>
      </w:pPr>
      <w:r>
        <w:br w:type="page"/>
      </w:r>
      <w:bookmarkEnd w:id="16"/>
      <w:bookmarkEnd w:id="17"/>
      <w:bookmarkEnd w:id="18"/>
      <w:bookmarkEnd w:id="19"/>
      <w:bookmarkEnd w:id="20"/>
    </w:p>
    <w:p w14:paraId="1326DB96" w14:textId="77777777" w:rsidR="00683931" w:rsidRPr="00033257" w:rsidRDefault="00683931" w:rsidP="00796A87">
      <w:pPr>
        <w:pStyle w:val="atitulo1"/>
        <w:rPr>
          <w:color w:val="000000" w:themeColor="text1"/>
        </w:rPr>
      </w:pPr>
      <w:bookmarkStart w:id="21" w:name="_Toc24100149"/>
      <w:bookmarkStart w:id="22" w:name="_Toc52348327"/>
      <w:bookmarkStart w:id="23" w:name="_Toc151635588"/>
      <w:r>
        <w:rPr>
          <w:color w:val="000000" w:themeColor="text1"/>
        </w:rPr>
        <w:lastRenderedPageBreak/>
        <w:t>III. Ondorioak eta gomendioak</w:t>
      </w:r>
      <w:bookmarkEnd w:id="21"/>
      <w:bookmarkEnd w:id="22"/>
      <w:bookmarkEnd w:id="23"/>
    </w:p>
    <w:p w14:paraId="3B56117B" w14:textId="77777777" w:rsidR="009A7A48" w:rsidRPr="00033257" w:rsidRDefault="009A7A48" w:rsidP="00F008D9">
      <w:pPr>
        <w:pStyle w:val="Ttulo2"/>
        <w:spacing w:after="240"/>
        <w:ind w:firstLine="0"/>
        <w:rPr>
          <w:b w:val="0"/>
          <w:i w:val="0"/>
          <w:sz w:val="25"/>
          <w:szCs w:val="25"/>
        </w:rPr>
      </w:pPr>
      <w:bookmarkStart w:id="24" w:name="_Toc123547399"/>
      <w:bookmarkStart w:id="25" w:name="_Toc151635589"/>
      <w:bookmarkStart w:id="26" w:name="_Toc311633164"/>
      <w:bookmarkStart w:id="27" w:name="_Toc311633173"/>
      <w:bookmarkStart w:id="28" w:name="_Toc399916259"/>
      <w:bookmarkStart w:id="29" w:name="_Toc465686682"/>
      <w:bookmarkStart w:id="30" w:name="_Toc529773876"/>
      <w:bookmarkStart w:id="31" w:name="_Toc24100136"/>
      <w:bookmarkStart w:id="32" w:name="_Toc52348284"/>
      <w:r>
        <w:rPr>
          <w:b w:val="0"/>
          <w:i w:val="0"/>
          <w:sz w:val="25"/>
        </w:rPr>
        <w:t>III.1 Ondorioak</w:t>
      </w:r>
      <w:bookmarkEnd w:id="24"/>
      <w:bookmarkEnd w:id="25"/>
    </w:p>
    <w:p w14:paraId="42A06408" w14:textId="77777777" w:rsidR="009A7A48" w:rsidRPr="00033257" w:rsidRDefault="009A7A48" w:rsidP="00F008D9">
      <w:pPr>
        <w:pStyle w:val="texto"/>
        <w:ind w:firstLine="0"/>
        <w:rPr>
          <w:i/>
          <w:color w:val="000000" w:themeColor="text1"/>
        </w:rPr>
      </w:pPr>
      <w:r>
        <w:rPr>
          <w:i/>
          <w:color w:val="000000" w:themeColor="text1"/>
        </w:rPr>
        <w:t>Toki sektore publikoaren osaera 2021ean</w:t>
      </w:r>
    </w:p>
    <w:p w14:paraId="01FC537A" w14:textId="77777777" w:rsidR="00F008D9" w:rsidRPr="00033257" w:rsidRDefault="00F008D9" w:rsidP="00F008D9">
      <w:pPr>
        <w:pStyle w:val="texto"/>
        <w:rPr>
          <w:color w:val="000000" w:themeColor="text1"/>
          <w:w w:val="103"/>
        </w:rPr>
      </w:pPr>
      <w:r>
        <w:rPr>
          <w:color w:val="000000" w:themeColor="text1"/>
        </w:rPr>
        <w:t>Toki sektore publikoa 702 toki-entitatek osatzen dute: 272 udal, 346 kontzeju, 62 mankomunitate eta 22 udal batasun edo elkarte. Zerbitzuak emateko, erakunde horiek 121 mendeko erakunde dituzte guztira, eta 17 partzuergo osatzen dituzte.</w:t>
      </w:r>
    </w:p>
    <w:p w14:paraId="7F698B66" w14:textId="723247F3" w:rsidR="00F008D9" w:rsidRPr="00033257" w:rsidRDefault="7343BDE8" w:rsidP="00F008D9">
      <w:pPr>
        <w:pStyle w:val="texto"/>
        <w:rPr>
          <w:color w:val="000000" w:themeColor="text1"/>
          <w:w w:val="103"/>
        </w:rPr>
      </w:pPr>
      <w:r>
        <w:rPr>
          <w:color w:val="000000" w:themeColor="text1"/>
        </w:rPr>
        <w:t>Aurreko txostenetan bezala, Nafarroako egungo toki plantaren arrazionalizazio ezaren arazoa azpimarratu nahi dugu. Udalerri gehienek biztanle gutxi dituzte, eta horrek eragina du baliabideen horniduran eta administrazio egitura egokia izateko aukeran, bai berezko eskumenak baliatzeko eta legezko hainbat betebehar betetzeko, bai zerbitzu publikoak eraginkortasunez, efizientziaz, ekonomiaz eta kalitatez emateko.</w:t>
      </w:r>
    </w:p>
    <w:p w14:paraId="46F6C11B" w14:textId="77777777" w:rsidR="00F008D9" w:rsidRPr="00736D0B" w:rsidRDefault="7343BDE8" w:rsidP="009949DB">
      <w:pPr>
        <w:pStyle w:val="texto"/>
        <w:spacing w:after="360"/>
        <w:rPr>
          <w:color w:val="000000" w:themeColor="text1"/>
          <w:spacing w:val="4"/>
          <w:w w:val="103"/>
        </w:rPr>
      </w:pPr>
      <w:r>
        <w:rPr>
          <w:color w:val="000000" w:themeColor="text1"/>
        </w:rPr>
        <w:t>Nafarroako Toki Administrazioaren erreformarako otsailaren 4ko 4/2019 Foru Legeak tokiko maparen erreforma aurreikusi zuen, eskualdeen figura sartuz eta finantzaketa sistema berria ezarriz. Tokiko maparen erreforma ez da garatu. Aldiz, finantzaketa sistema berri bat eratu da, 2022an onartutako hiru foru legek arautua.</w:t>
      </w:r>
    </w:p>
    <w:p w14:paraId="21F4389F" w14:textId="77777777" w:rsidR="009A7A48" w:rsidRPr="00033257" w:rsidRDefault="009A7A48" w:rsidP="00A90022">
      <w:pPr>
        <w:pStyle w:val="texto"/>
        <w:ind w:firstLine="0"/>
        <w:rPr>
          <w:i/>
          <w:color w:val="000000" w:themeColor="text1"/>
        </w:rPr>
      </w:pPr>
      <w:r>
        <w:rPr>
          <w:i/>
          <w:color w:val="000000" w:themeColor="text1"/>
        </w:rPr>
        <w:t>Toki eremuko 2021eko fiskalizazio lanak</w:t>
      </w:r>
    </w:p>
    <w:p w14:paraId="2FB5B5C5" w14:textId="3B7B4579" w:rsidR="00242407" w:rsidRDefault="6C54C311" w:rsidP="00FA5548">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Ganbera honek finantza- eta legezkotasun-fiskalizazioa egin zuen Iruñeko Udalaren 2021eko jarduera ekonomiko-finantzarioari buruz. Finantza auditoretzaren iritzia aldekoa izan zen, baita legezkotasuna betetzearena ere, bi salbuespenekin.</w:t>
      </w:r>
    </w:p>
    <w:p w14:paraId="345BA71A" w14:textId="51D10432" w:rsidR="00A90022" w:rsidRPr="00033257" w:rsidRDefault="2A3ED489" w:rsidP="00242407">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 xml:space="preserve"> Arguedas, Cadreita, Zizur Zendea, Irurtzun eta Valtierra udaletan 2021eko kontu orokorren fiskalizazio finantzarioak egin genituen, ekitaldi horretan langileen eta kontratazio publikoaren arloetan legezkotasuna bete zen aztertzearekin batera. Fiskalizazio horietan, aldeko iritzia eman zuen Zizur Zendeako Udalak, baita Arguedas, Cadreita eta Valtierrako udalek ere, salbuespen batzuekin. Irurtzungo Udalean ez zuten iritzirik eman.</w:t>
      </w:r>
    </w:p>
    <w:p w14:paraId="075121BA" w14:textId="00921303" w:rsidR="00FA5548" w:rsidRDefault="00FA5548" w:rsidP="004E1E57">
      <w:pPr>
        <w:pStyle w:val="texto"/>
        <w:spacing w:after="240"/>
        <w:rPr>
          <w:rFonts w:cs="Arial"/>
          <w:color w:val="000000" w:themeColor="text1"/>
        </w:rPr>
      </w:pPr>
      <w:r>
        <w:rPr>
          <w:color w:val="000000" w:themeColor="text1"/>
        </w:rPr>
        <w:t>Bestalde, fiskalizazio operatiboko txosten bat egin zen honako honi buruz: “Nafarroako 8.000 eta 20.000 biztanle arteko udaletan administrazio elektronikoa ezartzea (2020-2021)”.</w:t>
      </w:r>
    </w:p>
    <w:p w14:paraId="7EF0119C" w14:textId="2A286E3B" w:rsidR="005605A0" w:rsidRDefault="005605A0" w:rsidP="004E1E57">
      <w:pPr>
        <w:pStyle w:val="texto"/>
        <w:spacing w:after="240"/>
        <w:rPr>
          <w:rFonts w:cs="Arial"/>
          <w:color w:val="000000" w:themeColor="text1"/>
        </w:rPr>
      </w:pPr>
    </w:p>
    <w:p w14:paraId="6C19A4CC" w14:textId="77777777" w:rsidR="005605A0" w:rsidRPr="00033257" w:rsidRDefault="005605A0" w:rsidP="004E1E57">
      <w:pPr>
        <w:pStyle w:val="texto"/>
        <w:spacing w:after="240"/>
        <w:rPr>
          <w:rFonts w:cs="Arial"/>
          <w:color w:val="000000" w:themeColor="text1"/>
        </w:rPr>
      </w:pPr>
    </w:p>
    <w:p w14:paraId="22B4DD61" w14:textId="7822F2DE" w:rsidR="009A7A48" w:rsidRPr="00033257" w:rsidRDefault="009A7A48" w:rsidP="0089597D">
      <w:pPr>
        <w:pStyle w:val="texto"/>
        <w:ind w:firstLine="0"/>
        <w:rPr>
          <w:i/>
          <w:color w:val="000000" w:themeColor="text1"/>
        </w:rPr>
      </w:pPr>
      <w:r>
        <w:rPr>
          <w:i/>
          <w:color w:val="000000" w:themeColor="text1"/>
        </w:rPr>
        <w:t>Toki sektore publikoaren finantza egoera 2021ean</w:t>
      </w:r>
    </w:p>
    <w:p w14:paraId="196F5F97" w14:textId="6726F336" w:rsidR="0089597D" w:rsidRPr="00033257" w:rsidRDefault="745FF654" w:rsidP="0089597D">
      <w:pPr>
        <w:pStyle w:val="texto"/>
        <w:rPr>
          <w:color w:val="000000" w:themeColor="text1"/>
          <w:w w:val="103"/>
        </w:rPr>
      </w:pPr>
      <w:r>
        <w:rPr>
          <w:color w:val="000000" w:themeColor="text1"/>
        </w:rPr>
        <w:lastRenderedPageBreak/>
        <w:t>Toki-entitateek eta menpeko EEAAek, oro har, 2021ean 894,42 milioiko diru-sarrerak lortu zituzten, ehuneko 47 transferentzien bidez eta ehuneko 45 tributu-sarreren bidez. Gastuak 891,40 milioikoak izan ziren, eta ehuneko 77 funtzionamendu gastuak izan ziren, batez ere langile-gastuak (ehuneko 36) eta ondasun arrunt eta zerbitzuetan egindakoak (ehuneko 33).</w:t>
      </w:r>
    </w:p>
    <w:p w14:paraId="6384A12A" w14:textId="25EE994E" w:rsidR="0089597D" w:rsidRPr="00033257" w:rsidRDefault="0089597D" w:rsidP="0089597D">
      <w:pPr>
        <w:pStyle w:val="texto"/>
        <w:rPr>
          <w:color w:val="000000" w:themeColor="text1"/>
          <w:w w:val="103"/>
        </w:rPr>
      </w:pPr>
      <w:r>
        <w:rPr>
          <w:color w:val="000000" w:themeColor="text1"/>
        </w:rPr>
        <w:t>Aurreko ekitaldiarekin alderatuta, guztizko diru-sarrerak eta gastuak ehuneko bost eta ehuneko 12 igo ziren, hurrenez hurren; hala, pandemiaren aurreko mailak berreskuratu zituzten.</w:t>
      </w:r>
    </w:p>
    <w:p w14:paraId="5ADEE954" w14:textId="61764F2B" w:rsidR="00952EF6" w:rsidRPr="00033257" w:rsidRDefault="00141327" w:rsidP="0089597D">
      <w:pPr>
        <w:pStyle w:val="texto"/>
        <w:rPr>
          <w:color w:val="000000" w:themeColor="text1"/>
          <w:w w:val="103"/>
        </w:rPr>
      </w:pPr>
      <w:r>
        <w:rPr>
          <w:color w:val="000000" w:themeColor="text1"/>
        </w:rPr>
        <w:t xml:space="preserve">Guztizko diru-sarrerak handitu egin ziren diru-sarrera arrunten ondorioz, 47,54 milioi hazi baitziren, jarduera ekonomiko eta sozialarekin lotura zuzenena zuten diru-sarreren igoerari esker: tasa eta prezio publikoak ehuneko 16 igo ziren, eta ondareko diru-sarrerak eta zeharkako zergak ehuneko 46 eta 49, hurrenez hurren. </w:t>
      </w:r>
    </w:p>
    <w:p w14:paraId="31E88DDA" w14:textId="6B635312" w:rsidR="00141327" w:rsidRPr="00033257" w:rsidRDefault="450814B0" w:rsidP="3710BB4A">
      <w:pPr>
        <w:pStyle w:val="texto"/>
        <w:rPr>
          <w:color w:val="000000" w:themeColor="text1"/>
          <w:w w:val="103"/>
        </w:rPr>
      </w:pPr>
      <w:r>
        <w:rPr>
          <w:color w:val="000000" w:themeColor="text1"/>
        </w:rPr>
        <w:t>Guztizko gastua handitu egin zen, funtzionamendu gastuak eta kapitaleko gastuak handitu baitziren, 47,30 eta 50,33 milioi, hurrenez hurren. Hala ere, kultura arloarekin lotutako funtzionamendu gastuak, hots, 2020an COVID-19ak gehien eragindako arlokoak, handitu egin ziren 2021ean, nahiz eta 2019koak baino ehuneko 25 txikiagoak izan ziren, jardueretan, ekitaldietan eta jaietan hainbat murrizketa egon zirelako.</w:t>
      </w:r>
    </w:p>
    <w:p w14:paraId="31A89553" w14:textId="725320C7" w:rsidR="00F04F7B" w:rsidRPr="00033257" w:rsidRDefault="0DF3048D" w:rsidP="0089597D">
      <w:pPr>
        <w:pStyle w:val="texto"/>
        <w:rPr>
          <w:color w:val="000000" w:themeColor="text1"/>
          <w:w w:val="103"/>
        </w:rPr>
      </w:pPr>
      <w:r>
        <w:t>Ondorioz, 2021eko tokiko erakundeen aurrezki garbia, funtzionamendu gastuei eta finantza kargari aurre egin ondoren, 112,89 milioikoa izan zen, aurreko urteetako mailak gaindituz.</w:t>
      </w:r>
    </w:p>
    <w:p w14:paraId="2C0C7227" w14:textId="1F5BE5D1" w:rsidR="00F04F7B" w:rsidRPr="00033257" w:rsidRDefault="00FD3275" w:rsidP="0089597D">
      <w:pPr>
        <w:pStyle w:val="texto"/>
        <w:rPr>
          <w:color w:val="000000" w:themeColor="text1"/>
          <w:w w:val="103"/>
        </w:rPr>
      </w:pPr>
      <w:r>
        <w:rPr>
          <w:color w:val="000000" w:themeColor="text1"/>
        </w:rPr>
        <w:t>Toki sektore publikoaren zor bizia, toki-entitateak, haien mendeko erakunde publikoak eta haiek partaidetza osoa duten sozietate publikoak kontuan harturik, ehuneko 12 murriztu zen, eta 121,68 milioikoa zen 2021eko amaieran. Diru-sarrera arrunten ehuneko 15 zen.</w:t>
      </w:r>
    </w:p>
    <w:p w14:paraId="586A433A" w14:textId="50764211" w:rsidR="00FD3275" w:rsidRPr="00033257" w:rsidRDefault="00FD3275" w:rsidP="0089597D">
      <w:pPr>
        <w:pStyle w:val="texto"/>
        <w:rPr>
          <w:color w:val="000000" w:themeColor="text1"/>
          <w:w w:val="103"/>
        </w:rPr>
      </w:pPr>
      <w:r>
        <w:rPr>
          <w:color w:val="000000" w:themeColor="text1"/>
        </w:rPr>
        <w:t>Bestalde, gastu orokorretarako diruzaintzako gerakina 335,45 milioikoa zen, aurreko urtearen amaieran baino ehuneko 11 gehiago.</w:t>
      </w:r>
    </w:p>
    <w:p w14:paraId="4F076F2F" w14:textId="65BE2C36" w:rsidR="00FD3275" w:rsidRPr="00033257" w:rsidRDefault="00FD3275" w:rsidP="0089597D">
      <w:pPr>
        <w:pStyle w:val="texto"/>
        <w:rPr>
          <w:color w:val="000000" w:themeColor="text1"/>
          <w:w w:val="103"/>
        </w:rPr>
      </w:pPr>
      <w:r>
        <w:rPr>
          <w:color w:val="000000" w:themeColor="text1"/>
        </w:rPr>
        <w:t>Aurrekontu egonkortasunaren alorrean, arau fiskal indardunak bete ziren, eta pandemia dela eta etendakoak ere bete izanen ziren, nahiz eta “gastu araua” ezin den ebaluatu, ez baitzen erreferentzia baliorik ezarri.</w:t>
      </w:r>
    </w:p>
    <w:p w14:paraId="7A2991FA" w14:textId="6E6A3A67" w:rsidR="0089597D" w:rsidRPr="00033257" w:rsidRDefault="3CA4BE8C" w:rsidP="004E1E57">
      <w:pPr>
        <w:pStyle w:val="texto"/>
        <w:spacing w:after="240"/>
        <w:rPr>
          <w:color w:val="000000" w:themeColor="text1"/>
          <w:w w:val="103"/>
        </w:rPr>
      </w:pPr>
      <w:r>
        <w:rPr>
          <w:color w:val="000000" w:themeColor="text1"/>
        </w:rPr>
        <w:t xml:space="preserve">Azken batean, toki sektore publikoaren egoera ekonomiko orokorra onbideratu zen 2021ean. COVID-19ak 2020an jarduera ekonomikoan eta sozialean izan zuen eraginaren ondoren, 2021ean jarduera hori suspertu zen, eta, horri esker, toki-entitateen kontuek pandemiaren aurreko mailak berreskuratu zituzten, Nafarroako Aurrekontu Orokorren kargurako ezohiko laguntza neurrien beharrik gabe. Bestalde, zor biziak beherantz jarraitu zuen, eta gastu orokorretarako diruzaintzako gerakinak gorantz, aurreko urteetako hoberako joerari eutsiz. </w:t>
      </w:r>
    </w:p>
    <w:p w14:paraId="306A9CB6" w14:textId="77777777" w:rsidR="009A7A48" w:rsidRPr="00033257" w:rsidRDefault="009A7A48" w:rsidP="00FA5548">
      <w:pPr>
        <w:pStyle w:val="texto"/>
        <w:ind w:firstLine="0"/>
        <w:rPr>
          <w:i/>
          <w:color w:val="000000" w:themeColor="text1"/>
        </w:rPr>
      </w:pPr>
      <w:r>
        <w:rPr>
          <w:i/>
          <w:color w:val="000000" w:themeColor="text1"/>
        </w:rPr>
        <w:t>Kontratazio publikoa</w:t>
      </w:r>
    </w:p>
    <w:p w14:paraId="0C6D36CC" w14:textId="01142EFB" w:rsidR="00FA5548" w:rsidRPr="00033257" w:rsidRDefault="1ADFC0D5" w:rsidP="00FA5548">
      <w:pPr>
        <w:pStyle w:val="texto"/>
        <w:rPr>
          <w:color w:val="000000" w:themeColor="text1"/>
          <w:w w:val="103"/>
        </w:rPr>
      </w:pPr>
      <w:r>
        <w:rPr>
          <w:color w:val="000000" w:themeColor="text1"/>
        </w:rPr>
        <w:lastRenderedPageBreak/>
        <w:t xml:space="preserve">Toki-entitateek eta haien mendeko erakundeek 612 kontratu esleitu zituzten, 179,39 milioiko guztizko zenbatekoarekin, munta txikiko araubidearen bidezko kontratazioak zenbatu gabe. Zenbateko handieneko 37 kontratuak zenbateko osoaren ehuneko 68 dira.  </w:t>
      </w:r>
    </w:p>
    <w:p w14:paraId="7EFE8FA5" w14:textId="77777777" w:rsidR="00FA5548" w:rsidRPr="00033257" w:rsidRDefault="1ADFC0D5" w:rsidP="00FA5548">
      <w:pPr>
        <w:pStyle w:val="texto"/>
        <w:rPr>
          <w:color w:val="000000" w:themeColor="text1"/>
          <w:w w:val="103"/>
        </w:rPr>
      </w:pPr>
      <w:r>
        <w:rPr>
          <w:color w:val="000000" w:themeColor="text1"/>
        </w:rPr>
        <w:t xml:space="preserve">Udalek kontratuen ehuneko 78 eta zenbateko osoaren ehuneko 40 esleitu zituzten. Bestalde, sozietate publikoek kontratuen ehuneko 13 eta zenbateko osoaren ehuneko 55 esleitu zituzten. Hala ere, datu horiek oso baldintzatuta daude; izan ere, sozietate publiko batek 66,19 milioiko obra kontratu bat esleitu zuen. </w:t>
      </w:r>
    </w:p>
    <w:p w14:paraId="68E8FF9C" w14:textId="77777777" w:rsidR="00FA5548" w:rsidRPr="00033257" w:rsidRDefault="00603D03" w:rsidP="00FA5548">
      <w:pPr>
        <w:pStyle w:val="texto"/>
        <w:rPr>
          <w:color w:val="000000" w:themeColor="text1"/>
          <w:w w:val="103"/>
        </w:rPr>
      </w:pPr>
      <w:r>
        <w:rPr>
          <w:color w:val="000000" w:themeColor="text1"/>
        </w:rPr>
        <w:t xml:space="preserve">Gehien erabiltzen den esleipen prozedura irekia da, kontratuen ehuneko 70 eta kontratuen zenbatekoaren ehuneko 93 bideratzen baititu. </w:t>
      </w:r>
    </w:p>
    <w:p w14:paraId="6DD95461" w14:textId="56A94C8E" w:rsidR="00FA5548" w:rsidRPr="00033257" w:rsidRDefault="1ADFC0D5" w:rsidP="004E1E57">
      <w:pPr>
        <w:pStyle w:val="texto"/>
        <w:spacing w:after="240"/>
        <w:rPr>
          <w:color w:val="000000" w:themeColor="text1"/>
          <w:w w:val="103"/>
        </w:rPr>
      </w:pPr>
      <w:r>
        <w:rPr>
          <w:color w:val="000000" w:themeColor="text1"/>
        </w:rPr>
        <w:t>2021ean, kontratazio publikoaren jarduera berreskuratu egin da, COVID-19aren pandemiak aurreko ekitaldian izan zuen eraginaren ondoren.</w:t>
      </w:r>
    </w:p>
    <w:p w14:paraId="334CB46B" w14:textId="77777777" w:rsidR="009A7A48" w:rsidRPr="00033257" w:rsidRDefault="009A7A48" w:rsidP="00603D03">
      <w:pPr>
        <w:pStyle w:val="texto"/>
        <w:ind w:firstLine="0"/>
        <w:rPr>
          <w:i/>
          <w:color w:val="000000" w:themeColor="text1"/>
        </w:rPr>
      </w:pPr>
      <w:r>
        <w:rPr>
          <w:i/>
          <w:color w:val="000000" w:themeColor="text1"/>
        </w:rPr>
        <w:t>Kontu-ematea eta aurrekontuak</w:t>
      </w:r>
    </w:p>
    <w:p w14:paraId="4EC7C1AF" w14:textId="77777777" w:rsidR="009A7A48" w:rsidRPr="00033257" w:rsidRDefault="009A7A48" w:rsidP="00BB427D">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rPr>
          <w:rFonts w:cs="Arial"/>
          <w:color w:val="000000" w:themeColor="text1"/>
        </w:rPr>
      </w:pPr>
      <w:r>
        <w:rPr>
          <w:color w:val="000000" w:themeColor="text1"/>
        </w:rPr>
        <w:t>Oro har, toki-entitateek beren kontuak onetsi eta Toki Administrazioaren eta Despopulazioaren Zuzendaritza Nagusiari igortzen dizkiote, baina askotan ez dute egiten legezko epeetan, nahiko atzeratuta baizik. Zehazki, toki-entitateen ehuneko 63 eta 45 dira, hurrenez hurren, onesteko eta igortzeko betebehar horiek legezko gehieneko epearen barnean bete dituztenak. Nolanahi ere, txosten honen datan jada toki-entitateen ehuneko 85ak igorri dizkiote 2021eko beren kontuak Toki Administrazioaren eta Despopulazioaren Zuzendaritza Nagusiari.</w:t>
      </w:r>
    </w:p>
    <w:p w14:paraId="1FE9DF8B" w14:textId="6FC4928A" w:rsidR="009A7A48" w:rsidRDefault="21B8DB18" w:rsidP="004E1E57">
      <w:pPr>
        <w:pStyle w:val="texto"/>
        <w:spacing w:after="240"/>
        <w:rPr>
          <w:rFonts w:cs="Arial"/>
          <w:color w:val="000000" w:themeColor="text1"/>
        </w:rPr>
      </w:pPr>
      <w:r>
        <w:rPr>
          <w:color w:val="000000" w:themeColor="text1"/>
        </w:rPr>
        <w:t xml:space="preserve">Aurrekontuari dagokionez, toki-entitateen ehuneko 25ak soilik onetsi dute aurrekontua ekitaldia hasi baino lehen, eta ehuneko hiruk bakarrik igorri diote legezko gehieneko epean Toki Administrazioaren eta Despopulazioaren Zuzendaritza Nagusiari. </w:t>
      </w:r>
    </w:p>
    <w:p w14:paraId="22F43A71" w14:textId="77777777" w:rsidR="009A7A48" w:rsidRPr="00033257" w:rsidRDefault="009A7A48" w:rsidP="00BB427D">
      <w:pPr>
        <w:pStyle w:val="texto"/>
        <w:ind w:firstLine="0"/>
        <w:rPr>
          <w:i/>
          <w:color w:val="000000" w:themeColor="text1"/>
        </w:rPr>
      </w:pPr>
      <w:r>
        <w:rPr>
          <w:i/>
          <w:color w:val="000000" w:themeColor="text1"/>
        </w:rPr>
        <w:t>Barne kontrola</w:t>
      </w:r>
    </w:p>
    <w:p w14:paraId="4C518210" w14:textId="4F50AF56" w:rsidR="0023366C" w:rsidRPr="00033257" w:rsidRDefault="00BB427D" w:rsidP="00144023">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 xml:space="preserve">Araudiak ezarritako barne kontroleko hiru modalitateetatik, kontu-hartzailetza soilik gauzatzen da modu orokorrean. Aldiz, horri buruzko informazioa eman duten erakundeen ehuneko 57k eta 42k soilik adierazi dute, hurrenez hurren, finantza kontroleko eta eraginkortasun kontroleko eginkizunak betetzen dituztela. </w:t>
      </w:r>
    </w:p>
    <w:p w14:paraId="28C6685C" w14:textId="77777777" w:rsidR="00144023" w:rsidRPr="00033257" w:rsidRDefault="00144023" w:rsidP="00144023">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Horri dagokionez, nabarmendu beharra dago Nafarroan ez dela erregelamenduz garatu barne kontrolaren araubide juridikoa, Estatuan ez bezala, non apirilaren 28ko 424/2017 Errege Dekretua onetsi baitzen, toki sektore publikoko entitateen barne kontrolaren araubide juridikoa arautzen duena.</w:t>
      </w:r>
    </w:p>
    <w:p w14:paraId="59B63CFA" w14:textId="2E3ADB20" w:rsidR="00BB427D" w:rsidRPr="00033257" w:rsidRDefault="08678C8D" w:rsidP="004E1E57">
      <w:pPr>
        <w:pStyle w:val="texto"/>
        <w:spacing w:after="240"/>
        <w:rPr>
          <w:rFonts w:cs="Arial"/>
          <w:color w:val="000000" w:themeColor="text1"/>
        </w:rPr>
      </w:pPr>
      <w:r>
        <w:rPr>
          <w:color w:val="000000" w:themeColor="text1"/>
        </w:rPr>
        <w:t xml:space="preserve">2021ean, 31 toki-entitatetako organo kontu-hartzaileek 127 kexa formulatu zituzten, eta guztira 2,22 milioiko zenbatekoari eragin zioten. Kexa gehien zituen arloa kontratazio publikoarena zen, 86 kexa jarri baitziren. 2,16 milioiri eragin zieten. </w:t>
      </w:r>
    </w:p>
    <w:p w14:paraId="75FE0933" w14:textId="20FDA0CA" w:rsidR="009A7A48" w:rsidRPr="00033257" w:rsidRDefault="21B8DB18" w:rsidP="3710BB4A">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ind w:firstLine="0"/>
        <w:rPr>
          <w:i/>
          <w:iCs/>
          <w:color w:val="000000" w:themeColor="text1"/>
        </w:rPr>
      </w:pPr>
      <w:r>
        <w:rPr>
          <w:i/>
          <w:color w:val="000000" w:themeColor="text1"/>
        </w:rPr>
        <w:lastRenderedPageBreak/>
        <w:t>Konparazio-azterketa</w:t>
      </w:r>
    </w:p>
    <w:p w14:paraId="5FF58784" w14:textId="77777777" w:rsidR="00907EF4" w:rsidRPr="00033257" w:rsidRDefault="00907EF4" w:rsidP="00907EF4">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Biztanleria tarte desberdinetako udalen finantza adierazle nagusiak aztertuz gero, ikus daiteke Iruñean izan ezik udalerria zenbat eta handiagoa izan orduan eta txikiagoak direla diru-sarrera arruntak, funtzionamendu gastuak eta aurrezki gordina biztanle bakoitzeko.</w:t>
      </w:r>
    </w:p>
    <w:p w14:paraId="341FC8FB" w14:textId="7AD53EFD" w:rsidR="00A35203" w:rsidRDefault="3069F462" w:rsidP="3710BB4A">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 xml:space="preserve">Nafarroako 40.000 biztanletik beherako udalak alderatzen badira EAEkoekin eta Estatukoekin —horiek finantzaketarako sistema desberdinak dituzte—, ikus daiteke Nafarroako udalen per capita diru-sarrerak txikiagoak direla EAEkoak eta Estatukoak baino. Gauza bera gertatzen da funtzionamendu gastuekin. Bestalde, aurrezki garbia biztanleko 151 eurokoa izan zen Nafarroan, 248 eurokoa EAEn eta 125 eurokoa Estatuko gainerako lekuetan. </w:t>
      </w:r>
    </w:p>
    <w:p w14:paraId="68F73890" w14:textId="1F576D24" w:rsidR="006F66AB" w:rsidRPr="00033257" w:rsidRDefault="1E68553D" w:rsidP="004E1E57">
      <w:pPr>
        <w:pStyle w:val="texto"/>
        <w:spacing w:after="240"/>
        <w:rPr>
          <w:i/>
          <w:iCs/>
          <w:color w:val="000000" w:themeColor="text1"/>
        </w:rPr>
      </w:pPr>
      <w:r>
        <w:rPr>
          <w:color w:val="000000" w:themeColor="text1"/>
        </w:rPr>
        <w:t xml:space="preserve">Konparazio horiek baldintzatuta daude; izan ere, Nafarroako toki-entitateen 2021eko kapitaleko diru-sarrerak bereziki baxuak izan ziren, 2017-2019 aldirako Toki Inbertsioen Plana luzatu zen bigarren urtea zelako eta ez zirelako funts gehigarririk eman. Nolanahi ere, lurraldeen arteko konparazioa orientagarria da; izan ere, azterketa zorrotzagoa egiteko, hainbat faktore gehigarri hartu beharko lirateke kontuan, eta hori txosten honen helburuetatik harago doa. </w:t>
      </w:r>
    </w:p>
    <w:p w14:paraId="2FB5DBF5" w14:textId="77777777" w:rsidR="009A7A48" w:rsidRPr="00033257" w:rsidRDefault="009A7A48" w:rsidP="00144023">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firstLine="0"/>
        <w:rPr>
          <w:i/>
          <w:color w:val="000000" w:themeColor="text1"/>
        </w:rPr>
      </w:pPr>
      <w:r>
        <w:rPr>
          <w:i/>
          <w:color w:val="000000" w:themeColor="text1"/>
        </w:rPr>
        <w:t>Aurrekontu eta kontabilitate araudia</w:t>
      </w:r>
    </w:p>
    <w:p w14:paraId="7E061D53" w14:textId="03A417F5" w:rsidR="00144023" w:rsidRPr="00033257" w:rsidRDefault="00144023" w:rsidP="00144023">
      <w:pPr>
        <w:pStyle w:val="texto"/>
        <w:rPr>
          <w:color w:val="000000" w:themeColor="text1"/>
        </w:rPr>
      </w:pPr>
      <w:r>
        <w:rPr>
          <w:color w:val="000000" w:themeColor="text1"/>
        </w:rPr>
        <w:t>2021ean, abenduaren 29ko 22/2020 Foru Legea, Nafarroako Toki Ogasunei buruzko 2/1995 Foru Legea aldatzen duena, jarri zen indarrean, eta zenbait aldaketa egin zituen toki-entitateen ekonomia eta aurrekontu kudeaketa malgutzeko, aurrekontu egonkortasunari, finantza iraunkortasunari eta finantza zuhurtasunari buruzko arauak garatzeko eta zerga arloko berrikuntza batzuk ezartzeko.</w:t>
      </w:r>
    </w:p>
    <w:p w14:paraId="323AEA67" w14:textId="666BEEE0" w:rsidR="00144023" w:rsidRPr="00BE0D4F" w:rsidRDefault="0008473D" w:rsidP="00144023">
      <w:pPr>
        <w:pStyle w:val="texto"/>
        <w:rPr>
          <w:color w:val="000000" w:themeColor="text1"/>
        </w:rPr>
      </w:pPr>
      <w:r>
        <w:rPr>
          <w:color w:val="000000" w:themeColor="text1"/>
        </w:rPr>
        <w:t>Nafarroako toki kontabilitatea irailaren 21eko 272/1998 eta 273/1998 foru dekretuek arautzen dute, 1990eko uztailaren 17ko Ministro Aginduaren bidez onetsitako toki administrazioari egokitutako Kontabilitate Publikoko Plan Orokorrean oinarrituta. Araudi hori ez da 2010eko Kontabilitate Publikoko Plan Orokorrera egokitu, eta ez da araurik eman toki-entitateen eta haien mendeko erakundeen kontabilitate egoerak finkatzeko.</w:t>
      </w:r>
    </w:p>
    <w:p w14:paraId="6127D697" w14:textId="3E86B4C4" w:rsidR="0008473D" w:rsidRPr="00BE0D4F" w:rsidRDefault="0008473D" w:rsidP="002E7D7C">
      <w:pPr>
        <w:pStyle w:val="texto"/>
        <w:spacing w:after="0"/>
        <w:rPr>
          <w:color w:val="000000" w:themeColor="text1"/>
        </w:rPr>
      </w:pPr>
      <w:r>
        <w:rPr>
          <w:color w:val="000000" w:themeColor="text1"/>
        </w:rPr>
        <w:t xml:space="preserve">Bestalde, nahiz eta Nafarroako Foru Komunitateak, foru araubidearen arabera, eskumen esklusiboa duen toki ogasunen arloan, TAFLek Nafarroako toki-entitateen dirulaguntza jarduerari buruz ezartzen duen araubidea oso murritza da. Jarduera hori, nagusiki, Dirulaguntzei buruzko azaroaren 17ko 38/2003 Lege Orokorrak eta hura garatzeko araudiak arautzen dute. Toki-entitate batzuek banakako ebaluazio araubidea aplikatzen dute dirulaguntzak emateko. Araubide hori ez dago berariaz jasota toki-entitateetan aplikatzekoa den araudian, NFKAk eta haren EEAAek ematen dituzten dirulaguntzen kasuan ez bezala. Dirulaguntzei buruzko azaroaren 9ko 11/2005 Foru Legeak arautzen ditu dirulaguntza horiek. </w:t>
      </w:r>
    </w:p>
    <w:p w14:paraId="00104365" w14:textId="77777777" w:rsidR="005605A0" w:rsidRPr="00BE0D4F" w:rsidRDefault="005605A0" w:rsidP="002E7D7C">
      <w:pPr>
        <w:pStyle w:val="texto"/>
        <w:spacing w:after="0"/>
        <w:rPr>
          <w:color w:val="000000" w:themeColor="text1"/>
        </w:rPr>
      </w:pPr>
    </w:p>
    <w:p w14:paraId="636B80B5" w14:textId="655443BF" w:rsidR="009A7A48" w:rsidRPr="00033257" w:rsidRDefault="009A7A48" w:rsidP="009A7A48">
      <w:pPr>
        <w:pStyle w:val="Ttulo2"/>
        <w:spacing w:after="240"/>
        <w:ind w:firstLine="0"/>
        <w:rPr>
          <w:b w:val="0"/>
          <w:i w:val="0"/>
          <w:sz w:val="25"/>
          <w:szCs w:val="25"/>
        </w:rPr>
      </w:pPr>
      <w:bookmarkStart w:id="33" w:name="_Toc123547400"/>
      <w:bookmarkStart w:id="34" w:name="_Toc151635590"/>
      <w:r>
        <w:rPr>
          <w:b w:val="0"/>
          <w:i w:val="0"/>
          <w:sz w:val="25"/>
        </w:rPr>
        <w:lastRenderedPageBreak/>
        <w:t>III.2 Aholkuak</w:t>
      </w:r>
      <w:bookmarkEnd w:id="33"/>
      <w:r>
        <w:rPr>
          <w:b w:val="0"/>
          <w:i w:val="0"/>
          <w:sz w:val="25"/>
        </w:rPr>
        <w:t xml:space="preserve"> Nafarroako Foru Komunitateko Administrazioarentzat eta Parlamentuarentzat</w:t>
      </w:r>
      <w:bookmarkEnd w:id="34"/>
    </w:p>
    <w:p w14:paraId="576E34A0" w14:textId="606C817D" w:rsidR="00B62C97" w:rsidRPr="0068783D" w:rsidRDefault="009A7A48" w:rsidP="0023366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Adierazitako ondorioak kontuan hartuta, honako aholku hauek egiten dizkiegu Foru Komunitateko Administrazioari (aurrerantzean, NFKA) eta Nafarroako Parlamentuari:</w:t>
      </w:r>
    </w:p>
    <w:p w14:paraId="47C94CF4" w14:textId="77777777" w:rsidR="00935A71" w:rsidRPr="0068783D" w:rsidRDefault="00935A71" w:rsidP="00935A71">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line="259" w:lineRule="auto"/>
        <w:ind w:left="0" w:firstLine="289"/>
        <w:rPr>
          <w:rFonts w:cs="Arial"/>
          <w:i/>
          <w:iCs/>
          <w:color w:val="000000" w:themeColor="text1"/>
        </w:rPr>
      </w:pPr>
      <w:r>
        <w:rPr>
          <w:i/>
          <w:color w:val="000000" w:themeColor="text1"/>
        </w:rPr>
        <w:t>Foru legeria aldatzea, Nafarroako toki-entitateek aukera izan dezaten, behar bezala justifikatuta dagoenean eta segurtasun juridiko nahikoarekin, dirulaguntzak emateko prozedura banakako ebaluazioaren araubidean erabiltzeko.</w:t>
      </w:r>
    </w:p>
    <w:p w14:paraId="210B9DD7" w14:textId="7C22D640" w:rsidR="00B62C97" w:rsidRPr="0008473D" w:rsidRDefault="00B62C97" w:rsidP="00B62C97">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Aldatzea martxoaren 22ko 7/2022 Foru Legeak, toki-entitateek transferentzia arrunten bidez Nafarroako tributuetan parte hartzeko duten funtsa nola banatu ezartzen duenak, kontabilitate informazioa ez igortzeagatik ezarritako atxikipenaren araudia, halako moldez non kontu orokorra ematen ez denean aplikatuko den, nahiz eta aurrekontuaren likidazioa igorri, eta atxiki beharreko ehunekoa ez-betetzearen luzapenaren arabera pixkanaka handituko den.</w:t>
      </w:r>
    </w:p>
    <w:p w14:paraId="393797FE" w14:textId="79FEF4F1" w:rsidR="00552062" w:rsidRDefault="00552062" w:rsidP="00552062">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line="259" w:lineRule="auto"/>
        <w:ind w:left="0" w:firstLine="289"/>
        <w:rPr>
          <w:rFonts w:cs="Arial"/>
          <w:i/>
          <w:iCs/>
          <w:color w:val="000000" w:themeColor="text1"/>
        </w:rPr>
      </w:pPr>
      <w:r>
        <w:rPr>
          <w:i/>
          <w:color w:val="000000" w:themeColor="text1"/>
        </w:rPr>
        <w:t>Legez arautzea, Nafarroako 2022ko Kontu Orokorren txostenean gomendatu dugun bezala, hirugarrenek egindako prestazioak ordaintzeko kasuak, baldintzak eta prozedura, baldin eta, dagokion kontratua amaitu ondoren, prestazioaren jarraipena bermatzeko beste bat formalizatu ez bada eta, interes publikokoa izanik, hura ez etetea beharrezkoa bada.</w:t>
      </w:r>
    </w:p>
    <w:p w14:paraId="4507CD4B" w14:textId="044C5144" w:rsidR="004352BF" w:rsidRPr="00BE0D4F" w:rsidRDefault="004352BF" w:rsidP="00552062">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line="259" w:lineRule="auto"/>
        <w:ind w:left="0" w:firstLine="289"/>
        <w:rPr>
          <w:rFonts w:cs="Arial"/>
          <w:i/>
          <w:iCs/>
          <w:color w:val="000000" w:themeColor="text1"/>
        </w:rPr>
      </w:pPr>
      <w:r>
        <w:rPr>
          <w:i/>
          <w:color w:val="000000" w:themeColor="text1"/>
        </w:rPr>
        <w:t xml:space="preserve">Munta txikiko kontratuak Nafarroako Kontratazioaren Atarian argitaratzeko eredu normalizatua ezartzea, informazioa modu egituratuan aurkeztu eta gorde dadin, datuen tratamendu automatizatua ahalbidetuko duen formatu batean. </w:t>
      </w:r>
    </w:p>
    <w:p w14:paraId="55B301D8" w14:textId="0A9CB9AE" w:rsidR="00B62C97" w:rsidRPr="0008473D" w:rsidRDefault="00B62C97" w:rsidP="00B62C97">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spacing w:val="4"/>
        </w:rPr>
      </w:pPr>
      <w:r>
        <w:rPr>
          <w:i/>
          <w:color w:val="000000" w:themeColor="text1"/>
        </w:rPr>
        <w:t>Administrazio elektronikoko zerbitzuen ezarpena sustatzea toki-entitateetan, estrategia orokorra zehaztuz, eta zerbitzu horiek eraginkortasunez eta bete-betean inplementatzeko behar diren giza baliabideak eta baliabide ekonomikoak eta teknologikoak toki-entitateen eskura jartzea, eskalako ekonomien lorpena ahalbidetuz.</w:t>
      </w:r>
    </w:p>
    <w:p w14:paraId="49511FCE" w14:textId="77777777" w:rsidR="005605A0" w:rsidRDefault="005605A0" w:rsidP="0023366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p>
    <w:p w14:paraId="4DE81923" w14:textId="184C7C81" w:rsidR="009A7A48" w:rsidRPr="00033257" w:rsidRDefault="0008473D" w:rsidP="0023366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 xml:space="preserve">Egokitzat jotzen da aurreko txostenetan proposatutako honako </w:t>
      </w:r>
      <w:r>
        <w:rPr>
          <w:i/>
          <w:color w:val="000000" w:themeColor="text1"/>
        </w:rPr>
        <w:t>aholku</w:t>
      </w:r>
      <w:r>
        <w:rPr>
          <w:color w:val="000000" w:themeColor="text1"/>
        </w:rPr>
        <w:t xml:space="preserve"> hauei eustea:</w:t>
      </w:r>
    </w:p>
    <w:p w14:paraId="4863BBF4" w14:textId="1721B29C" w:rsidR="00935A71" w:rsidRPr="00033257" w:rsidRDefault="00935A71" w:rsidP="00935A71">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Lehenbailehen onartzea toki-entitateen barne kontrolaren araubide juridikoa erregelamendu bidez garatzea.</w:t>
      </w:r>
    </w:p>
    <w:p w14:paraId="151F4B95" w14:textId="77777777" w:rsidR="00935A71" w:rsidRPr="00033257" w:rsidRDefault="00935A71" w:rsidP="00935A71">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spacing w:val="4"/>
        </w:rPr>
      </w:pPr>
      <w:r>
        <w:rPr>
          <w:i/>
          <w:color w:val="000000" w:themeColor="text1"/>
        </w:rPr>
        <w:t>Tokiko kontabilitatearen erreformari lehenbailehen ekitea, indarrean dagoen 2010eko Kontabilitate Publikoko Plan Orokorrera egokitzeko, eta toki-entitateen eta haien mendeko erakundeen kontabilitate egoerak finkatzeko arauak ezartzea.</w:t>
      </w:r>
    </w:p>
    <w:p w14:paraId="7DD5524E" w14:textId="78442C35"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lastRenderedPageBreak/>
        <w:t>Behar diren lege eta administrazio neurriak onestea erabat burutu dadin Nafarroako Toki Administrazioaren berregituraketa, Nafarroako Toki Administrazioaren Erreformarako otsailaren 4ko 4/2019 Foru Legean ezarritakoa, kudeaketa publiko efiziente eta eraginkorragoa lortzeko.</w:t>
      </w:r>
    </w:p>
    <w:p w14:paraId="1D1425AE"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spacing w:val="4"/>
        </w:rPr>
      </w:pPr>
      <w:r>
        <w:rPr>
          <w:i/>
          <w:color w:val="000000" w:themeColor="text1"/>
        </w:rPr>
        <w:t>Tokiko zerbitzuen kostuak kalkulatzeko sistema bat taxutzea eta hura ezar dadin sustatzea, bai eta kudeaketaren adierazleak ere, horrela beteko baita Toki Administrazioaren Arrazionalizazioari eta Iraunkortasunari buruzko Legean eta Nafarroako Toki Administrazioaren Erreformarako Foru Legean xedatutakoa.</w:t>
      </w:r>
    </w:p>
    <w:p w14:paraId="1F4079AD" w14:textId="2635320C"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Plantilla organikoaren eta langileen zerrendaren ereduak egitea, zeinak argitasunez eta zehaztasunez jasoko baitituzte dokumentu horiek bete behar dituzten baldintzak eta eduki behar duten informazioa; eredu horiek, halaber, aukera emanen dute toki-entitateek informazio betekizunak bete ditzaten.</w:t>
      </w:r>
    </w:p>
    <w:p w14:paraId="49B2E180" w14:textId="30B4F91B"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Informatikako garapen egokiak egitea, toki-entitateetako kontu-hartze organoek errazago bete ahal ditzaten Aurrekontu-egonkortasunari eta Finantza-iraunkortasunari buruzko apirilaren 27ko 2/2012 Lege Organikotik (aurrerantzean AEFILO) eratortzen diren informazio betebeharrak.</w:t>
      </w:r>
    </w:p>
    <w:p w14:paraId="22F09958" w14:textId="072CA41A" w:rsidR="009A7A48"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Toki-entitateei atxikitako partzuergoen gaineko informazioa sartzea toki-entitateen erregistroan.</w:t>
      </w:r>
    </w:p>
    <w:p w14:paraId="56A03576" w14:textId="77777777" w:rsidR="00ED6676" w:rsidRPr="00033257" w:rsidRDefault="00ED6676" w:rsidP="00ED6676">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i/>
          <w:iCs/>
          <w:color w:val="000000" w:themeColor="text1"/>
        </w:rPr>
      </w:pPr>
    </w:p>
    <w:p w14:paraId="39A15EFD" w14:textId="48B08A0A" w:rsidR="00B62C97" w:rsidRPr="00033257" w:rsidRDefault="00B62C97" w:rsidP="00B62C97">
      <w:pPr>
        <w:pStyle w:val="Ttulo2"/>
        <w:spacing w:after="240"/>
        <w:ind w:firstLine="0"/>
        <w:rPr>
          <w:b w:val="0"/>
          <w:i w:val="0"/>
          <w:sz w:val="25"/>
          <w:szCs w:val="25"/>
        </w:rPr>
      </w:pPr>
      <w:bookmarkStart w:id="35" w:name="_Toc151635591"/>
      <w:r>
        <w:rPr>
          <w:b w:val="0"/>
          <w:i w:val="0"/>
          <w:sz w:val="25"/>
        </w:rPr>
        <w:t>III.3 Toki-entitateentzako aholkuak:</w:t>
      </w:r>
      <w:bookmarkEnd w:id="35"/>
    </w:p>
    <w:p w14:paraId="7EBF795C" w14:textId="38BC0F9E" w:rsidR="00566BF2" w:rsidRDefault="00566BF2" w:rsidP="00566BF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color w:val="000000" w:themeColor="text1"/>
        </w:rPr>
        <w:t xml:space="preserve">Aipatutako ondorioak kontuan hartuta, egokitzat jotzen dugu aurreko txostenetan tokiko entitateei proposatutako </w:t>
      </w:r>
      <w:r>
        <w:rPr>
          <w:i/>
          <w:color w:val="000000" w:themeColor="text1"/>
        </w:rPr>
        <w:t>aholku</w:t>
      </w:r>
      <w:r>
        <w:rPr>
          <w:color w:val="000000" w:themeColor="text1"/>
        </w:rPr>
        <w:t xml:space="preserve"> hauei eustea:</w:t>
      </w:r>
    </w:p>
    <w:p w14:paraId="6C4DFC57" w14:textId="22111605" w:rsidR="009A7A48" w:rsidRPr="00033257" w:rsidRDefault="00566BF2"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spacing w:val="4"/>
        </w:rPr>
      </w:pPr>
      <w:r>
        <w:rPr>
          <w:i/>
          <w:color w:val="000000" w:themeColor="text1"/>
        </w:rPr>
        <w:t>Kudeaketa ekonomiko-finantzarioan zuhurtasun eta erantzukizun fiskalaren printzipioak betetzen jarraitzea gaur egun ere, aurrekontu-egonkortasunari eta finantza-iraunkortasunari buruzko arauetako batzuk etenda egon arren, eta horiei lotutako aldagaien jarraipena egiten jarraitzea.</w:t>
      </w:r>
    </w:p>
    <w:p w14:paraId="104D500E" w14:textId="1DDAE53C" w:rsidR="21B8DB1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 xml:space="preserve">Kontratazio administratiboko prozeduretan denbora-plangintza egokia ezartzea, kontratuen gehieneko indarraldia gainditu ez dadin. </w:t>
      </w:r>
    </w:p>
    <w:p w14:paraId="2439021E"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 xml:space="preserve">Udal ondasun eta eskubideen inbentario balioetsia eta eguneratua ezartzeko prozesua osatzea, eta hura ibilgetuaren kontuekin lotzea. </w:t>
      </w:r>
    </w:p>
    <w:p w14:paraId="74A9E73E"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Lurzoruaren udal ondarearen erregistroa eta inbentarioa sortzea, bai eta hirigintzako hitzarmenen erregistroa ere.</w:t>
      </w:r>
    </w:p>
    <w:p w14:paraId="5FA32655"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Udalaren barne kontrola egitea, aplikatzekoa den legerian ezarritako hedadurarekin, bere eginkizun hirukoitzaren arabera: kontu-hartzailetza, finantza-kontrola eta eraginkortasunaren kontrola.</w:t>
      </w:r>
    </w:p>
    <w:p w14:paraId="3F5F6141" w14:textId="7DBC078B" w:rsidR="009A7A48" w:rsidRPr="00033257" w:rsidRDefault="0008393D"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Zerbitzu publikoen kostuen metodologia ezartzea, eta erabakiak hartzeko kudeaketa adierazle erabilgarriak zehaztea.</w:t>
      </w:r>
    </w:p>
    <w:p w14:paraId="0C91BE44"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lastRenderedPageBreak/>
        <w:t>Aurrekontua, aurrekontu-likidazioa eta kontu orokorra onestea ezarritako epeetan, eta haien guztien kontuak ematea 15 eguneko epean, onesten direnetik hasita.</w:t>
      </w:r>
    </w:p>
    <w:p w14:paraId="62574527"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Balorazio-ponentziak epean gaurkotzea.</w:t>
      </w:r>
    </w:p>
    <w:p w14:paraId="4A078850" w14:textId="3AFAA70A" w:rsidR="009A7A48"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Hornitzaileei ordaintzeko batez besteko epea argitaratzea, AEFILOn xedatutakoarekin bat.</w:t>
      </w:r>
    </w:p>
    <w:p w14:paraId="5CBF1CA4" w14:textId="2A8961BB" w:rsidR="00EC4C05" w:rsidRPr="00033257" w:rsidRDefault="00566BF2" w:rsidP="3710BB4A">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rPr>
          <w:rFonts w:cs="Arial"/>
          <w:i/>
          <w:iCs/>
          <w:color w:val="000000" w:themeColor="text1"/>
        </w:rPr>
      </w:pPr>
      <w:r>
        <w:rPr>
          <w:color w:val="000000" w:themeColor="text1"/>
        </w:rPr>
        <w:t>Txosten hau egiteko unean, aurreko txostenean jasotako honako aholku hau kontuan hartzen ari gara, partzialki behintzat:</w:t>
      </w:r>
    </w:p>
    <w:p w14:paraId="1BD6DBE2" w14:textId="77777777"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i/>
          <w:color w:val="000000" w:themeColor="text1"/>
        </w:rPr>
        <w:t>Egiturazko lanpostu guztiak plantilla organikoan sartzea, eta gutxitzea, deialdi egokien bitartez, toki-entitateetako langileen behin-behinekotasun maila handia. Hain zuzen ere, arau hauek bete behar dira: 20/2021 Legea, enplegu publikoan behin-behinekotasuna murrizteko premiazko neurriei buruzkoa, eta 19/2022 Foru Legea, uztailaren 1ekoa, zeinaren bidez neurriak hartzen baitira Nafarroako administrazio publikoetan egonkortze prozesuak gauzatzeko, Enplegu publikoan behin-behinekotasuna murrizteko premiazko neurriei buruzko 20/2021 Legearen ondorioz.</w:t>
      </w:r>
    </w:p>
    <w:p w14:paraId="347BC340" w14:textId="0096E0F2" w:rsidR="00566BF2" w:rsidRPr="00D71C47" w:rsidRDefault="6A28BBB8" w:rsidP="3710BB4A">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rPr>
          <w:spacing w:val="0"/>
        </w:rPr>
      </w:pPr>
      <w:r>
        <w:t>2022an, aipatutako araudia aplikatuz, toki-entitate ugarik lan eskaintza publikoak eta hautaketa prozeduren deialdiak egin zituzten. Gaur egun, Kontuen Ganbera hamaika fiskalizazio lan egiten ari da, eta horien helburuetako bat 10.000 biztanletik gorako udalerrietan enplegu publikoa egonkortzeko prozesu horiek fiskalizatzea da.</w:t>
      </w:r>
    </w:p>
    <w:p w14:paraId="345B9108" w14:textId="77777777" w:rsidR="005605A0" w:rsidRDefault="6A28BBB8" w:rsidP="0068783D">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rPr>
          <w:spacing w:val="2"/>
        </w:rPr>
      </w:pPr>
      <w:r>
        <w:t>Halaber, TADZN foru gaikuntza lortzeko eta idazkaritza eta kontu-hartzailetza lanpostuetara sartzeko hautaketa prozedurak garatzen ari da.</w:t>
      </w:r>
      <w:r>
        <w:br w:type="page"/>
      </w:r>
    </w:p>
    <w:p w14:paraId="3A3351A3" w14:textId="72A622E2" w:rsidR="00345C6C" w:rsidRPr="005605A0" w:rsidRDefault="6A28BBB8" w:rsidP="005605A0">
      <w:pPr>
        <w:pStyle w:val="atitulo1"/>
        <w:rPr>
          <w:color w:val="000000" w:themeColor="text1"/>
        </w:rPr>
      </w:pPr>
      <w:r>
        <w:rPr>
          <w:color w:val="000000" w:themeColor="text1"/>
        </w:rPr>
        <w:lastRenderedPageBreak/>
        <w:t xml:space="preserve"> </w:t>
      </w:r>
      <w:bookmarkStart w:id="36" w:name="_Toc151635592"/>
      <w:r>
        <w:rPr>
          <w:color w:val="000000" w:themeColor="text1"/>
        </w:rPr>
        <w:t>IV. Toki sektore publikoaren antolaketa egitura eta araudia</w:t>
      </w:r>
      <w:bookmarkEnd w:id="26"/>
      <w:bookmarkEnd w:id="27"/>
      <w:bookmarkEnd w:id="28"/>
      <w:bookmarkEnd w:id="29"/>
      <w:bookmarkEnd w:id="30"/>
      <w:bookmarkEnd w:id="31"/>
      <w:bookmarkEnd w:id="32"/>
      <w:bookmarkEnd w:id="36"/>
    </w:p>
    <w:p w14:paraId="276AEF10" w14:textId="14C04D59" w:rsidR="00345C6C" w:rsidRPr="00033257" w:rsidRDefault="00345C6C" w:rsidP="009A7A48">
      <w:pPr>
        <w:pStyle w:val="atitulo2"/>
      </w:pPr>
      <w:bookmarkStart w:id="37" w:name="_Toc291067877"/>
      <w:bookmarkStart w:id="38" w:name="_Toc399916260"/>
      <w:bookmarkStart w:id="39" w:name="_Toc465686683"/>
      <w:bookmarkStart w:id="40" w:name="_Toc529773877"/>
      <w:bookmarkStart w:id="41" w:name="_Toc531088343"/>
      <w:bookmarkStart w:id="42" w:name="_Toc24100137"/>
      <w:bookmarkStart w:id="43" w:name="_Toc52348285"/>
      <w:bookmarkStart w:id="44" w:name="_Toc151635593"/>
      <w:r>
        <w:t>IV.1 Antolaketa egitura</w:t>
      </w:r>
      <w:bookmarkEnd w:id="37"/>
      <w:bookmarkEnd w:id="38"/>
      <w:bookmarkEnd w:id="39"/>
      <w:bookmarkEnd w:id="40"/>
      <w:bookmarkEnd w:id="41"/>
      <w:bookmarkEnd w:id="42"/>
      <w:bookmarkEnd w:id="43"/>
      <w:bookmarkEnd w:id="44"/>
    </w:p>
    <w:p w14:paraId="072E9C6D" w14:textId="77777777" w:rsidR="00EC4C05" w:rsidRPr="00033257" w:rsidRDefault="00EC4C05" w:rsidP="00EC4C05">
      <w:pPr>
        <w:pStyle w:val="texto"/>
        <w:spacing w:after="240"/>
      </w:pPr>
      <w:bookmarkStart w:id="45" w:name="_Toc399916263"/>
      <w:bookmarkStart w:id="46" w:name="_Toc465686686"/>
      <w:bookmarkStart w:id="47" w:name="_Toc529773880"/>
      <w:bookmarkStart w:id="48" w:name="_Toc24100141"/>
      <w:bookmarkStart w:id="49" w:name="_Toc52348289"/>
      <w:r>
        <w:t>Toki sektore publikoa Toki Administrazioari buruzko Foru Legean ezarritakoaren arabera antolatuta dago.</w:t>
      </w:r>
    </w:p>
    <w:p w14:paraId="6A5040BF" w14:textId="03E8112C" w:rsidR="00EC4C05" w:rsidRPr="00033257" w:rsidRDefault="00EC4C05" w:rsidP="00EC4C05">
      <w:pPr>
        <w:pStyle w:val="texto"/>
        <w:spacing w:after="240"/>
      </w:pPr>
      <w:r>
        <w:t>Udalak dira lurralde antolamenduaren oinarrizko toki-entitateak. Nafarroan 272 udalerri daude. 2021eko urtarrilaren 1ean, 661.537 biztanle zituzten guztira, eta honako taula honetan agertzen denaren arabera zeuden banatuta:</w:t>
      </w:r>
    </w:p>
    <w:tbl>
      <w:tblPr>
        <w:tblW w:w="4943" w:type="pct"/>
        <w:jc w:val="center"/>
        <w:tblCellMar>
          <w:left w:w="70" w:type="dxa"/>
          <w:right w:w="70" w:type="dxa"/>
        </w:tblCellMar>
        <w:tblLook w:val="04A0" w:firstRow="1" w:lastRow="0" w:firstColumn="1" w:lastColumn="0" w:noHBand="0" w:noVBand="1"/>
      </w:tblPr>
      <w:tblGrid>
        <w:gridCol w:w="2835"/>
        <w:gridCol w:w="1256"/>
        <w:gridCol w:w="1864"/>
        <w:gridCol w:w="1414"/>
        <w:gridCol w:w="1319"/>
      </w:tblGrid>
      <w:tr w:rsidR="00EC4C05" w:rsidRPr="00736D0B" w14:paraId="193C9ED1" w14:textId="77777777" w:rsidTr="00736D0B">
        <w:trPr>
          <w:trHeight w:val="227"/>
          <w:jc w:val="center"/>
        </w:trPr>
        <w:tc>
          <w:tcPr>
            <w:tcW w:w="1631" w:type="pct"/>
            <w:tcBorders>
              <w:top w:val="single" w:sz="4" w:space="0" w:color="auto"/>
              <w:left w:val="nil"/>
              <w:bottom w:val="single" w:sz="4" w:space="0" w:color="auto"/>
              <w:right w:val="nil"/>
            </w:tcBorders>
            <w:shd w:val="clear" w:color="auto" w:fill="FABF8F" w:themeFill="accent6" w:themeFillTint="99"/>
            <w:vAlign w:val="center"/>
            <w:hideMark/>
          </w:tcPr>
          <w:p w14:paraId="2366A80E" w14:textId="77777777" w:rsidR="00EC4C05" w:rsidRPr="00736D0B" w:rsidRDefault="00EC4C05" w:rsidP="00736D0B">
            <w:pPr>
              <w:pStyle w:val="cuadroCabe"/>
              <w:spacing w:line="240" w:lineRule="auto"/>
              <w:rPr>
                <w:rFonts w:cs="Arial"/>
                <w:szCs w:val="18"/>
              </w:rPr>
            </w:pPr>
            <w:r>
              <w:t xml:space="preserve">Biztanleria </w:t>
            </w:r>
          </w:p>
          <w:p w14:paraId="51A53323" w14:textId="77777777" w:rsidR="00EC4C05" w:rsidRPr="00736D0B" w:rsidRDefault="00EC4C05" w:rsidP="00736D0B">
            <w:pPr>
              <w:pStyle w:val="cuadroCabe"/>
              <w:spacing w:line="240" w:lineRule="auto"/>
              <w:rPr>
                <w:rFonts w:cs="Arial"/>
                <w:szCs w:val="18"/>
              </w:rPr>
            </w:pPr>
            <w:r>
              <w:t>tartea</w:t>
            </w:r>
          </w:p>
        </w:tc>
        <w:tc>
          <w:tcPr>
            <w:tcW w:w="723" w:type="pct"/>
            <w:tcBorders>
              <w:top w:val="single" w:sz="4" w:space="0" w:color="auto"/>
              <w:left w:val="nil"/>
              <w:bottom w:val="single" w:sz="4" w:space="0" w:color="auto"/>
              <w:right w:val="nil"/>
            </w:tcBorders>
            <w:shd w:val="clear" w:color="auto" w:fill="FABF8F" w:themeFill="accent6" w:themeFillTint="99"/>
            <w:vAlign w:val="center"/>
            <w:hideMark/>
          </w:tcPr>
          <w:p w14:paraId="0F96A73A" w14:textId="77777777" w:rsidR="00EC4C05" w:rsidRPr="00736D0B" w:rsidRDefault="00EC4C05" w:rsidP="00736D0B">
            <w:pPr>
              <w:pStyle w:val="cuadroCabe"/>
              <w:spacing w:line="240" w:lineRule="auto"/>
              <w:jc w:val="right"/>
              <w:rPr>
                <w:rFonts w:cs="Arial"/>
                <w:szCs w:val="18"/>
              </w:rPr>
            </w:pPr>
            <w:r>
              <w:t>Udalen kopurua</w:t>
            </w:r>
          </w:p>
        </w:tc>
        <w:tc>
          <w:tcPr>
            <w:tcW w:w="1073" w:type="pct"/>
            <w:tcBorders>
              <w:top w:val="single" w:sz="4" w:space="0" w:color="auto"/>
              <w:left w:val="nil"/>
              <w:bottom w:val="single" w:sz="4" w:space="0" w:color="auto"/>
              <w:right w:val="nil"/>
            </w:tcBorders>
            <w:shd w:val="clear" w:color="auto" w:fill="FABF8F" w:themeFill="accent6" w:themeFillTint="99"/>
            <w:vAlign w:val="center"/>
            <w:hideMark/>
          </w:tcPr>
          <w:p w14:paraId="20FC2341" w14:textId="77777777" w:rsidR="00EC4C05" w:rsidRPr="00736D0B" w:rsidRDefault="00EC4C05" w:rsidP="00736D0B">
            <w:pPr>
              <w:pStyle w:val="cuadroCabe"/>
              <w:spacing w:line="240" w:lineRule="auto"/>
              <w:jc w:val="right"/>
              <w:rPr>
                <w:rFonts w:cs="Arial"/>
                <w:szCs w:val="18"/>
              </w:rPr>
            </w:pPr>
            <w:r>
              <w:t xml:space="preserve">Udalerrien % </w:t>
            </w:r>
          </w:p>
          <w:p w14:paraId="69F26A7E" w14:textId="77777777" w:rsidR="00EC4C05" w:rsidRPr="00736D0B" w:rsidRDefault="00EC4C05" w:rsidP="00736D0B">
            <w:pPr>
              <w:pStyle w:val="cuadroCabe"/>
              <w:spacing w:line="240" w:lineRule="auto"/>
              <w:jc w:val="right"/>
              <w:rPr>
                <w:rFonts w:cs="Arial"/>
                <w:szCs w:val="18"/>
              </w:rPr>
            </w:pPr>
            <w:r>
              <w:t>guztizkoaren gainean</w:t>
            </w:r>
          </w:p>
        </w:tc>
        <w:tc>
          <w:tcPr>
            <w:tcW w:w="814" w:type="pct"/>
            <w:tcBorders>
              <w:top w:val="single" w:sz="4" w:space="0" w:color="auto"/>
              <w:left w:val="nil"/>
              <w:bottom w:val="single" w:sz="4" w:space="0" w:color="auto"/>
              <w:right w:val="nil"/>
            </w:tcBorders>
            <w:shd w:val="clear" w:color="auto" w:fill="FABF8F" w:themeFill="accent6" w:themeFillTint="99"/>
            <w:vAlign w:val="center"/>
          </w:tcPr>
          <w:p w14:paraId="5811D059" w14:textId="77777777" w:rsidR="00EC4C05" w:rsidRPr="00736D0B" w:rsidRDefault="00EC4C05" w:rsidP="00736D0B">
            <w:pPr>
              <w:pStyle w:val="cuadroCabe"/>
              <w:spacing w:line="240" w:lineRule="auto"/>
              <w:jc w:val="right"/>
              <w:rPr>
                <w:rFonts w:cs="Arial"/>
                <w:szCs w:val="18"/>
              </w:rPr>
            </w:pPr>
            <w:r>
              <w:t xml:space="preserve">Biztanleria </w:t>
            </w:r>
          </w:p>
          <w:p w14:paraId="3DB14B43" w14:textId="5C3CF93D" w:rsidR="00EC4C05" w:rsidRPr="00736D0B" w:rsidRDefault="6A28BBB8" w:rsidP="00736D0B">
            <w:pPr>
              <w:pStyle w:val="cuadroCabe"/>
              <w:spacing w:line="240" w:lineRule="auto"/>
              <w:jc w:val="right"/>
              <w:rPr>
                <w:rFonts w:cs="Arial"/>
                <w:szCs w:val="18"/>
              </w:rPr>
            </w:pPr>
            <w:r>
              <w:t>2021-1-1</w:t>
            </w:r>
          </w:p>
        </w:tc>
        <w:tc>
          <w:tcPr>
            <w:tcW w:w="759" w:type="pct"/>
            <w:tcBorders>
              <w:top w:val="single" w:sz="4" w:space="0" w:color="auto"/>
              <w:left w:val="nil"/>
              <w:bottom w:val="single" w:sz="4" w:space="0" w:color="auto"/>
              <w:right w:val="nil"/>
            </w:tcBorders>
            <w:shd w:val="clear" w:color="auto" w:fill="FABF8F" w:themeFill="accent6" w:themeFillTint="99"/>
            <w:vAlign w:val="center"/>
          </w:tcPr>
          <w:p w14:paraId="7ADAAF51" w14:textId="77777777" w:rsidR="00EC4C05" w:rsidRPr="00736D0B" w:rsidRDefault="00EC4C05" w:rsidP="00736D0B">
            <w:pPr>
              <w:pStyle w:val="cuadroCabe"/>
              <w:spacing w:line="240" w:lineRule="auto"/>
              <w:jc w:val="right"/>
              <w:rPr>
                <w:rFonts w:cs="Arial"/>
                <w:szCs w:val="18"/>
              </w:rPr>
            </w:pPr>
            <w:r>
              <w:t>Biztanleriaren % guztizkoaren gainean</w:t>
            </w:r>
          </w:p>
        </w:tc>
      </w:tr>
      <w:tr w:rsidR="00EC4C05" w:rsidRPr="00033257" w14:paraId="1AC3461B" w14:textId="77777777" w:rsidTr="009D4522">
        <w:trPr>
          <w:trHeight w:val="227"/>
          <w:jc w:val="center"/>
        </w:trPr>
        <w:tc>
          <w:tcPr>
            <w:tcW w:w="1631" w:type="pct"/>
            <w:tcBorders>
              <w:top w:val="nil"/>
              <w:left w:val="nil"/>
              <w:bottom w:val="single" w:sz="2" w:space="0" w:color="auto"/>
              <w:right w:val="nil"/>
            </w:tcBorders>
            <w:shd w:val="clear" w:color="auto" w:fill="FFFFFF" w:themeFill="background1"/>
            <w:vAlign w:val="center"/>
            <w:hideMark/>
          </w:tcPr>
          <w:p w14:paraId="734A5D18" w14:textId="77777777" w:rsidR="00EC4C05" w:rsidRPr="00033257" w:rsidRDefault="00EC4C05" w:rsidP="00736D0B">
            <w:pPr>
              <w:spacing w:after="0"/>
              <w:ind w:firstLine="0"/>
              <w:jc w:val="left"/>
              <w:rPr>
                <w:rFonts w:ascii="Arial Narrow" w:hAnsi="Arial Narrow" w:cs="Arial"/>
              </w:rPr>
            </w:pPr>
            <w:r>
              <w:rPr>
                <w:rFonts w:ascii="Arial Narrow" w:hAnsi="Arial Narrow"/>
              </w:rPr>
              <w:t>&lt;101</w:t>
            </w:r>
          </w:p>
        </w:tc>
        <w:tc>
          <w:tcPr>
            <w:tcW w:w="723" w:type="pct"/>
            <w:tcBorders>
              <w:top w:val="nil"/>
              <w:left w:val="nil"/>
              <w:bottom w:val="single" w:sz="2" w:space="0" w:color="auto"/>
              <w:right w:val="nil"/>
            </w:tcBorders>
            <w:shd w:val="clear" w:color="auto" w:fill="FFFFFF" w:themeFill="background1"/>
            <w:vAlign w:val="center"/>
            <w:hideMark/>
          </w:tcPr>
          <w:p w14:paraId="28E52AA1" w14:textId="77777777" w:rsidR="00EC4C05" w:rsidRPr="00033257" w:rsidRDefault="00EC4C05" w:rsidP="00736D0B">
            <w:pPr>
              <w:spacing w:after="0"/>
              <w:jc w:val="right"/>
              <w:rPr>
                <w:rFonts w:ascii="Arial Narrow" w:hAnsi="Arial Narrow" w:cs="Arial"/>
              </w:rPr>
            </w:pPr>
            <w:r>
              <w:rPr>
                <w:rFonts w:ascii="Arial Narrow" w:hAnsi="Arial Narrow"/>
              </w:rPr>
              <w:t>47</w:t>
            </w:r>
          </w:p>
        </w:tc>
        <w:tc>
          <w:tcPr>
            <w:tcW w:w="1073" w:type="pct"/>
            <w:tcBorders>
              <w:top w:val="nil"/>
              <w:left w:val="nil"/>
              <w:bottom w:val="single" w:sz="2" w:space="0" w:color="auto"/>
              <w:right w:val="nil"/>
            </w:tcBorders>
            <w:shd w:val="clear" w:color="auto" w:fill="FFFFFF" w:themeFill="background1"/>
            <w:vAlign w:val="center"/>
            <w:hideMark/>
          </w:tcPr>
          <w:p w14:paraId="111B77A1" w14:textId="77777777" w:rsidR="00EC4C05" w:rsidRPr="00033257" w:rsidRDefault="00EC4C05" w:rsidP="00736D0B">
            <w:pPr>
              <w:spacing w:after="0"/>
              <w:jc w:val="right"/>
              <w:rPr>
                <w:rFonts w:ascii="Arial Narrow" w:hAnsi="Arial Narrow" w:cs="Arial"/>
              </w:rPr>
            </w:pPr>
            <w:r>
              <w:rPr>
                <w:rFonts w:ascii="Arial Narrow" w:hAnsi="Arial Narrow"/>
              </w:rPr>
              <w:t>17</w:t>
            </w:r>
          </w:p>
        </w:tc>
        <w:tc>
          <w:tcPr>
            <w:tcW w:w="814" w:type="pct"/>
            <w:tcBorders>
              <w:top w:val="nil"/>
              <w:left w:val="nil"/>
              <w:bottom w:val="single" w:sz="2" w:space="0" w:color="auto"/>
              <w:right w:val="nil"/>
            </w:tcBorders>
            <w:shd w:val="clear" w:color="auto" w:fill="FFFFFF" w:themeFill="background1"/>
            <w:vAlign w:val="center"/>
          </w:tcPr>
          <w:p w14:paraId="4DDB2A82" w14:textId="77777777" w:rsidR="00EC4C05" w:rsidRPr="00033257" w:rsidRDefault="00EC4C05" w:rsidP="00736D0B">
            <w:pPr>
              <w:spacing w:after="0"/>
              <w:jc w:val="right"/>
              <w:rPr>
                <w:rFonts w:ascii="Arial Narrow" w:hAnsi="Arial Narrow" w:cs="Arial"/>
              </w:rPr>
            </w:pPr>
            <w:r>
              <w:rPr>
                <w:rFonts w:ascii="Arial Narrow" w:hAnsi="Arial Narrow"/>
              </w:rPr>
              <w:t>2.834</w:t>
            </w:r>
          </w:p>
        </w:tc>
        <w:tc>
          <w:tcPr>
            <w:tcW w:w="759" w:type="pct"/>
            <w:tcBorders>
              <w:top w:val="nil"/>
              <w:left w:val="nil"/>
              <w:bottom w:val="single" w:sz="2" w:space="0" w:color="auto"/>
              <w:right w:val="nil"/>
            </w:tcBorders>
            <w:shd w:val="clear" w:color="auto" w:fill="FFFFFF" w:themeFill="background1"/>
            <w:vAlign w:val="center"/>
          </w:tcPr>
          <w:p w14:paraId="4B584315" w14:textId="77777777" w:rsidR="00EC4C05" w:rsidRPr="00033257" w:rsidRDefault="00EC4C05" w:rsidP="00736D0B">
            <w:pPr>
              <w:spacing w:after="0"/>
              <w:jc w:val="right"/>
              <w:rPr>
                <w:rFonts w:ascii="Arial Narrow" w:hAnsi="Arial Narrow" w:cs="Arial"/>
              </w:rPr>
            </w:pPr>
            <w:r>
              <w:rPr>
                <w:rFonts w:ascii="Arial Narrow" w:hAnsi="Arial Narrow"/>
              </w:rPr>
              <w:t>0</w:t>
            </w:r>
          </w:p>
        </w:tc>
      </w:tr>
      <w:tr w:rsidR="00EC4C05" w:rsidRPr="00033257" w14:paraId="6C8F1015"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7E439B0D" w14:textId="77777777" w:rsidR="00EC4C05" w:rsidRPr="00033257" w:rsidRDefault="00EC4C05" w:rsidP="009D4522">
            <w:pPr>
              <w:spacing w:after="0"/>
              <w:ind w:firstLine="0"/>
              <w:jc w:val="left"/>
              <w:rPr>
                <w:rFonts w:ascii="Arial Narrow" w:hAnsi="Arial Narrow" w:cs="Arial"/>
              </w:rPr>
            </w:pPr>
            <w:r>
              <w:rPr>
                <w:rFonts w:ascii="Arial Narrow" w:hAnsi="Arial Narrow"/>
              </w:rPr>
              <w:t>101-500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5B1457B1" w14:textId="77777777" w:rsidR="00EC4C05" w:rsidRPr="00033257" w:rsidRDefault="00EC4C05" w:rsidP="009D4522">
            <w:pPr>
              <w:spacing w:after="0"/>
              <w:jc w:val="right"/>
              <w:rPr>
                <w:rFonts w:ascii="Arial Narrow" w:hAnsi="Arial Narrow" w:cs="Arial"/>
              </w:rPr>
            </w:pPr>
            <w:r>
              <w:rPr>
                <w:rFonts w:ascii="Arial Narrow" w:hAnsi="Arial Narrow"/>
              </w:rPr>
              <w:t>105</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61A51A77" w14:textId="77777777" w:rsidR="00EC4C05" w:rsidRPr="00033257" w:rsidRDefault="00EC4C05" w:rsidP="009D4522">
            <w:pPr>
              <w:spacing w:after="0"/>
              <w:jc w:val="right"/>
              <w:rPr>
                <w:rFonts w:ascii="Arial Narrow" w:hAnsi="Arial Narrow" w:cs="Arial"/>
              </w:rPr>
            </w:pPr>
            <w:r>
              <w:rPr>
                <w:rFonts w:ascii="Arial Narrow" w:hAnsi="Arial Narrow"/>
              </w:rPr>
              <w:t>39</w:t>
            </w:r>
          </w:p>
        </w:tc>
        <w:tc>
          <w:tcPr>
            <w:tcW w:w="814" w:type="pct"/>
            <w:tcBorders>
              <w:top w:val="single" w:sz="2" w:space="0" w:color="auto"/>
              <w:left w:val="nil"/>
              <w:bottom w:val="single" w:sz="2" w:space="0" w:color="auto"/>
              <w:right w:val="nil"/>
            </w:tcBorders>
            <w:shd w:val="clear" w:color="auto" w:fill="FFFFFF" w:themeFill="background1"/>
            <w:vAlign w:val="center"/>
          </w:tcPr>
          <w:p w14:paraId="4CAC81A9" w14:textId="77777777" w:rsidR="00EC4C05" w:rsidRPr="00033257" w:rsidRDefault="00EC4C05" w:rsidP="009D4522">
            <w:pPr>
              <w:spacing w:after="0"/>
              <w:jc w:val="right"/>
              <w:rPr>
                <w:rFonts w:ascii="Arial Narrow" w:hAnsi="Arial Narrow" w:cs="Arial"/>
              </w:rPr>
            </w:pPr>
            <w:r>
              <w:rPr>
                <w:rFonts w:ascii="Arial Narrow" w:hAnsi="Arial Narrow"/>
              </w:rPr>
              <w:t>25.233</w:t>
            </w:r>
          </w:p>
        </w:tc>
        <w:tc>
          <w:tcPr>
            <w:tcW w:w="759" w:type="pct"/>
            <w:tcBorders>
              <w:top w:val="single" w:sz="2" w:space="0" w:color="auto"/>
              <w:left w:val="nil"/>
              <w:bottom w:val="single" w:sz="2" w:space="0" w:color="auto"/>
              <w:right w:val="nil"/>
            </w:tcBorders>
            <w:shd w:val="clear" w:color="auto" w:fill="FFFFFF" w:themeFill="background1"/>
            <w:vAlign w:val="center"/>
          </w:tcPr>
          <w:p w14:paraId="2598DEE6" w14:textId="77777777" w:rsidR="00EC4C05" w:rsidRPr="00033257" w:rsidRDefault="00EC4C05" w:rsidP="009D4522">
            <w:pPr>
              <w:spacing w:after="0"/>
              <w:jc w:val="right"/>
              <w:rPr>
                <w:rFonts w:ascii="Arial Narrow" w:hAnsi="Arial Narrow" w:cs="Arial"/>
              </w:rPr>
            </w:pPr>
            <w:r>
              <w:rPr>
                <w:rFonts w:ascii="Arial Narrow" w:hAnsi="Arial Narrow"/>
              </w:rPr>
              <w:t>4</w:t>
            </w:r>
          </w:p>
        </w:tc>
      </w:tr>
      <w:tr w:rsidR="00EC4C05" w:rsidRPr="00033257" w14:paraId="58E498F9"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5E1C2480" w14:textId="77777777" w:rsidR="00EC4C05" w:rsidRPr="00033257" w:rsidRDefault="00EC4C05" w:rsidP="009D4522">
            <w:pPr>
              <w:spacing w:after="0"/>
              <w:ind w:firstLine="0"/>
              <w:jc w:val="left"/>
              <w:rPr>
                <w:rFonts w:ascii="Arial Narrow" w:hAnsi="Arial Narrow" w:cs="Arial"/>
              </w:rPr>
            </w:pPr>
            <w:r>
              <w:rPr>
                <w:rFonts w:ascii="Arial Narrow" w:hAnsi="Arial Narrow"/>
              </w:rPr>
              <w:t>501-1.000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0903FD93" w14:textId="77777777" w:rsidR="00EC4C05" w:rsidRPr="00033257" w:rsidRDefault="00EC4C05" w:rsidP="009D4522">
            <w:pPr>
              <w:spacing w:after="0"/>
              <w:jc w:val="right"/>
              <w:rPr>
                <w:rFonts w:ascii="Arial Narrow" w:hAnsi="Arial Narrow" w:cs="Arial"/>
              </w:rPr>
            </w:pPr>
            <w:r>
              <w:rPr>
                <w:rFonts w:ascii="Arial Narrow" w:hAnsi="Arial Narrow"/>
              </w:rPr>
              <w:t>37</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4E1E336A" w14:textId="77777777" w:rsidR="00EC4C05" w:rsidRPr="00033257" w:rsidRDefault="00EC4C05" w:rsidP="009D4522">
            <w:pPr>
              <w:spacing w:after="0"/>
              <w:jc w:val="right"/>
              <w:rPr>
                <w:rFonts w:ascii="Arial Narrow" w:hAnsi="Arial Narrow" w:cs="Arial"/>
              </w:rPr>
            </w:pPr>
            <w:r>
              <w:rPr>
                <w:rFonts w:ascii="Arial Narrow" w:hAnsi="Arial Narrow"/>
              </w:rPr>
              <w:t>14</w:t>
            </w:r>
          </w:p>
        </w:tc>
        <w:tc>
          <w:tcPr>
            <w:tcW w:w="814" w:type="pct"/>
            <w:tcBorders>
              <w:top w:val="single" w:sz="2" w:space="0" w:color="auto"/>
              <w:left w:val="nil"/>
              <w:bottom w:val="single" w:sz="2" w:space="0" w:color="auto"/>
              <w:right w:val="nil"/>
            </w:tcBorders>
            <w:shd w:val="clear" w:color="auto" w:fill="FFFFFF" w:themeFill="background1"/>
            <w:vAlign w:val="center"/>
          </w:tcPr>
          <w:p w14:paraId="24AB6279" w14:textId="77777777" w:rsidR="00EC4C05" w:rsidRPr="00033257" w:rsidRDefault="00EC4C05" w:rsidP="009D4522">
            <w:pPr>
              <w:spacing w:after="0"/>
              <w:jc w:val="right"/>
              <w:rPr>
                <w:rFonts w:ascii="Arial Narrow" w:hAnsi="Arial Narrow" w:cs="Arial"/>
              </w:rPr>
            </w:pPr>
            <w:r>
              <w:rPr>
                <w:rFonts w:ascii="Arial Narrow" w:hAnsi="Arial Narrow"/>
              </w:rPr>
              <w:t>26.816</w:t>
            </w:r>
          </w:p>
        </w:tc>
        <w:tc>
          <w:tcPr>
            <w:tcW w:w="759" w:type="pct"/>
            <w:tcBorders>
              <w:top w:val="single" w:sz="2" w:space="0" w:color="auto"/>
              <w:left w:val="nil"/>
              <w:bottom w:val="single" w:sz="2" w:space="0" w:color="auto"/>
              <w:right w:val="nil"/>
            </w:tcBorders>
            <w:shd w:val="clear" w:color="auto" w:fill="FFFFFF" w:themeFill="background1"/>
            <w:vAlign w:val="center"/>
          </w:tcPr>
          <w:p w14:paraId="279935FF" w14:textId="77777777" w:rsidR="00EC4C05" w:rsidRPr="00033257" w:rsidRDefault="00EC4C05" w:rsidP="009D4522">
            <w:pPr>
              <w:spacing w:after="0"/>
              <w:jc w:val="right"/>
              <w:rPr>
                <w:rFonts w:ascii="Arial Narrow" w:hAnsi="Arial Narrow" w:cs="Arial"/>
              </w:rPr>
            </w:pPr>
            <w:r>
              <w:rPr>
                <w:rFonts w:ascii="Arial Narrow" w:hAnsi="Arial Narrow"/>
              </w:rPr>
              <w:t>4</w:t>
            </w:r>
          </w:p>
        </w:tc>
      </w:tr>
      <w:tr w:rsidR="00EC4C05" w:rsidRPr="00033257" w14:paraId="66ED4203"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0462DC2E" w14:textId="77777777" w:rsidR="00EC4C05" w:rsidRPr="00033257" w:rsidRDefault="00EC4C05" w:rsidP="009D4522">
            <w:pPr>
              <w:spacing w:after="0"/>
              <w:ind w:firstLine="0"/>
              <w:jc w:val="left"/>
              <w:rPr>
                <w:rFonts w:ascii="Arial Narrow" w:hAnsi="Arial Narrow" w:cs="Arial"/>
              </w:rPr>
            </w:pPr>
            <w:r>
              <w:rPr>
                <w:rFonts w:ascii="Arial Narrow" w:hAnsi="Arial Narrow"/>
              </w:rPr>
              <w:t>1.001-2.000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44C26413" w14:textId="77777777" w:rsidR="00EC4C05" w:rsidRPr="00033257" w:rsidRDefault="00EC4C05" w:rsidP="009D4522">
            <w:pPr>
              <w:spacing w:after="0"/>
              <w:jc w:val="right"/>
              <w:rPr>
                <w:rFonts w:ascii="Arial Narrow" w:hAnsi="Arial Narrow" w:cs="Arial"/>
              </w:rPr>
            </w:pPr>
            <w:r>
              <w:rPr>
                <w:rFonts w:ascii="Arial Narrow" w:hAnsi="Arial Narrow"/>
              </w:rPr>
              <w:t>22</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44B0A208" w14:textId="77777777" w:rsidR="00EC4C05" w:rsidRPr="00033257" w:rsidRDefault="00EC4C05" w:rsidP="009D4522">
            <w:pPr>
              <w:spacing w:after="0"/>
              <w:jc w:val="right"/>
              <w:rPr>
                <w:rFonts w:ascii="Arial Narrow" w:hAnsi="Arial Narrow" w:cs="Arial"/>
              </w:rPr>
            </w:pPr>
            <w:r>
              <w:rPr>
                <w:rFonts w:ascii="Arial Narrow" w:hAnsi="Arial Narrow"/>
              </w:rPr>
              <w:t>8</w:t>
            </w:r>
          </w:p>
        </w:tc>
        <w:tc>
          <w:tcPr>
            <w:tcW w:w="814" w:type="pct"/>
            <w:tcBorders>
              <w:top w:val="single" w:sz="2" w:space="0" w:color="auto"/>
              <w:left w:val="nil"/>
              <w:bottom w:val="single" w:sz="2" w:space="0" w:color="auto"/>
              <w:right w:val="nil"/>
            </w:tcBorders>
            <w:shd w:val="clear" w:color="auto" w:fill="FFFFFF" w:themeFill="background1"/>
            <w:vAlign w:val="center"/>
          </w:tcPr>
          <w:p w14:paraId="30C0309B" w14:textId="77777777" w:rsidR="00EC4C05" w:rsidRPr="00033257" w:rsidRDefault="00EC4C05" w:rsidP="009D4522">
            <w:pPr>
              <w:spacing w:after="0"/>
              <w:jc w:val="right"/>
              <w:rPr>
                <w:rFonts w:ascii="Arial Narrow" w:hAnsi="Arial Narrow" w:cs="Arial"/>
              </w:rPr>
            </w:pPr>
            <w:r>
              <w:rPr>
                <w:rFonts w:ascii="Arial Narrow" w:hAnsi="Arial Narrow"/>
              </w:rPr>
              <w:t>30.874</w:t>
            </w:r>
          </w:p>
        </w:tc>
        <w:tc>
          <w:tcPr>
            <w:tcW w:w="759" w:type="pct"/>
            <w:tcBorders>
              <w:top w:val="single" w:sz="2" w:space="0" w:color="auto"/>
              <w:left w:val="nil"/>
              <w:bottom w:val="single" w:sz="2" w:space="0" w:color="auto"/>
              <w:right w:val="nil"/>
            </w:tcBorders>
            <w:shd w:val="clear" w:color="auto" w:fill="FFFFFF" w:themeFill="background1"/>
            <w:vAlign w:val="center"/>
          </w:tcPr>
          <w:p w14:paraId="78941E47" w14:textId="77777777" w:rsidR="00EC4C05" w:rsidRPr="00033257" w:rsidRDefault="00EC4C05" w:rsidP="009D4522">
            <w:pPr>
              <w:spacing w:after="0"/>
              <w:jc w:val="right"/>
              <w:rPr>
                <w:rFonts w:ascii="Arial Narrow" w:hAnsi="Arial Narrow" w:cs="Arial"/>
              </w:rPr>
            </w:pPr>
            <w:r>
              <w:rPr>
                <w:rFonts w:ascii="Arial Narrow" w:hAnsi="Arial Narrow"/>
              </w:rPr>
              <w:t>5</w:t>
            </w:r>
          </w:p>
        </w:tc>
      </w:tr>
      <w:tr w:rsidR="00EC4C05" w:rsidRPr="00033257" w14:paraId="3E272961"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3F7E9316" w14:textId="77777777" w:rsidR="00EC4C05" w:rsidRPr="00033257" w:rsidRDefault="00EC4C05" w:rsidP="009D4522">
            <w:pPr>
              <w:spacing w:after="0"/>
              <w:ind w:firstLine="0"/>
              <w:jc w:val="left"/>
              <w:rPr>
                <w:rFonts w:ascii="Arial Narrow" w:hAnsi="Arial Narrow" w:cs="Arial"/>
              </w:rPr>
            </w:pPr>
            <w:r>
              <w:rPr>
                <w:rFonts w:ascii="Arial Narrow" w:hAnsi="Arial Narrow"/>
              </w:rPr>
              <w:t>2.001-3.000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72E4F76D" w14:textId="77777777" w:rsidR="00EC4C05" w:rsidRPr="00033257" w:rsidRDefault="00EC4C05" w:rsidP="009D4522">
            <w:pPr>
              <w:spacing w:after="0"/>
              <w:jc w:val="right"/>
              <w:rPr>
                <w:rFonts w:ascii="Arial Narrow" w:hAnsi="Arial Narrow" w:cs="Arial"/>
              </w:rPr>
            </w:pPr>
            <w:r>
              <w:rPr>
                <w:rFonts w:ascii="Arial Narrow" w:hAnsi="Arial Narrow"/>
              </w:rPr>
              <w:t>23</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03853697" w14:textId="77777777" w:rsidR="00EC4C05" w:rsidRPr="00033257" w:rsidRDefault="00EC4C05" w:rsidP="009D4522">
            <w:pPr>
              <w:spacing w:after="0"/>
              <w:jc w:val="right"/>
              <w:rPr>
                <w:rFonts w:ascii="Arial Narrow" w:hAnsi="Arial Narrow" w:cs="Arial"/>
              </w:rPr>
            </w:pPr>
            <w:r>
              <w:rPr>
                <w:rFonts w:ascii="Arial Narrow" w:hAnsi="Arial Narrow"/>
              </w:rPr>
              <w:t>8</w:t>
            </w:r>
          </w:p>
        </w:tc>
        <w:tc>
          <w:tcPr>
            <w:tcW w:w="814" w:type="pct"/>
            <w:tcBorders>
              <w:top w:val="single" w:sz="2" w:space="0" w:color="auto"/>
              <w:left w:val="nil"/>
              <w:bottom w:val="single" w:sz="2" w:space="0" w:color="auto"/>
              <w:right w:val="nil"/>
            </w:tcBorders>
            <w:shd w:val="clear" w:color="auto" w:fill="FFFFFF" w:themeFill="background1"/>
            <w:vAlign w:val="center"/>
          </w:tcPr>
          <w:p w14:paraId="6D325CCF" w14:textId="77777777" w:rsidR="00EC4C05" w:rsidRPr="00033257" w:rsidRDefault="00EC4C05" w:rsidP="009D4522">
            <w:pPr>
              <w:spacing w:after="0"/>
              <w:jc w:val="right"/>
              <w:rPr>
                <w:rFonts w:ascii="Arial Narrow" w:hAnsi="Arial Narrow" w:cs="Arial"/>
              </w:rPr>
            </w:pPr>
            <w:r>
              <w:rPr>
                <w:rFonts w:ascii="Arial Narrow" w:hAnsi="Arial Narrow"/>
              </w:rPr>
              <w:t>57.492</w:t>
            </w:r>
          </w:p>
        </w:tc>
        <w:tc>
          <w:tcPr>
            <w:tcW w:w="759" w:type="pct"/>
            <w:tcBorders>
              <w:top w:val="single" w:sz="2" w:space="0" w:color="auto"/>
              <w:left w:val="nil"/>
              <w:bottom w:val="single" w:sz="2" w:space="0" w:color="auto"/>
              <w:right w:val="nil"/>
            </w:tcBorders>
            <w:shd w:val="clear" w:color="auto" w:fill="FFFFFF" w:themeFill="background1"/>
            <w:vAlign w:val="center"/>
          </w:tcPr>
          <w:p w14:paraId="2B2B7304" w14:textId="77777777" w:rsidR="00EC4C05" w:rsidRPr="00033257" w:rsidRDefault="00EC4C05" w:rsidP="009D4522">
            <w:pPr>
              <w:spacing w:after="0"/>
              <w:jc w:val="right"/>
              <w:rPr>
                <w:rFonts w:ascii="Arial Narrow" w:hAnsi="Arial Narrow" w:cs="Arial"/>
              </w:rPr>
            </w:pPr>
            <w:r>
              <w:rPr>
                <w:rFonts w:ascii="Arial Narrow" w:hAnsi="Arial Narrow"/>
              </w:rPr>
              <w:t>9</w:t>
            </w:r>
          </w:p>
        </w:tc>
      </w:tr>
      <w:tr w:rsidR="00EC4C05" w:rsidRPr="00033257" w14:paraId="254BE51F"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24232755" w14:textId="77777777" w:rsidR="00EC4C05" w:rsidRPr="00033257" w:rsidRDefault="00EC4C05" w:rsidP="009D4522">
            <w:pPr>
              <w:spacing w:after="0"/>
              <w:ind w:firstLine="0"/>
              <w:jc w:val="left"/>
              <w:rPr>
                <w:rFonts w:ascii="Arial Narrow" w:hAnsi="Arial Narrow" w:cs="Arial"/>
              </w:rPr>
            </w:pPr>
            <w:r>
              <w:rPr>
                <w:rFonts w:ascii="Arial Narrow" w:hAnsi="Arial Narrow"/>
              </w:rPr>
              <w:t>3.001-5.000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5DA96121" w14:textId="77777777" w:rsidR="00EC4C05" w:rsidRPr="00033257" w:rsidRDefault="00EC4C05" w:rsidP="009D4522">
            <w:pPr>
              <w:spacing w:after="0"/>
              <w:jc w:val="right"/>
              <w:rPr>
                <w:rFonts w:ascii="Arial Narrow" w:hAnsi="Arial Narrow" w:cs="Arial"/>
              </w:rPr>
            </w:pPr>
            <w:r>
              <w:rPr>
                <w:rFonts w:ascii="Arial Narrow" w:hAnsi="Arial Narrow"/>
              </w:rPr>
              <w:t>17</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29B4EA11" w14:textId="77777777" w:rsidR="00EC4C05" w:rsidRPr="00033257" w:rsidRDefault="00EC4C05" w:rsidP="009D4522">
            <w:pPr>
              <w:spacing w:after="0"/>
              <w:jc w:val="right"/>
              <w:rPr>
                <w:rFonts w:ascii="Arial Narrow" w:hAnsi="Arial Narrow" w:cs="Arial"/>
              </w:rPr>
            </w:pPr>
            <w:r>
              <w:rPr>
                <w:rFonts w:ascii="Arial Narrow" w:hAnsi="Arial Narrow"/>
              </w:rPr>
              <w:t>6</w:t>
            </w:r>
          </w:p>
        </w:tc>
        <w:tc>
          <w:tcPr>
            <w:tcW w:w="814" w:type="pct"/>
            <w:tcBorders>
              <w:top w:val="single" w:sz="2" w:space="0" w:color="auto"/>
              <w:left w:val="nil"/>
              <w:bottom w:val="single" w:sz="2" w:space="0" w:color="auto"/>
              <w:right w:val="nil"/>
            </w:tcBorders>
            <w:shd w:val="clear" w:color="auto" w:fill="FFFFFF" w:themeFill="background1"/>
            <w:vAlign w:val="center"/>
          </w:tcPr>
          <w:p w14:paraId="408F3D99" w14:textId="77777777" w:rsidR="00EC4C05" w:rsidRPr="00033257" w:rsidRDefault="00EC4C05" w:rsidP="009D4522">
            <w:pPr>
              <w:spacing w:after="0"/>
              <w:jc w:val="right"/>
              <w:rPr>
                <w:rFonts w:ascii="Arial Narrow" w:hAnsi="Arial Narrow" w:cs="Arial"/>
              </w:rPr>
            </w:pPr>
            <w:r>
              <w:rPr>
                <w:rFonts w:ascii="Arial Narrow" w:hAnsi="Arial Narrow"/>
              </w:rPr>
              <w:t>67.047</w:t>
            </w:r>
          </w:p>
        </w:tc>
        <w:tc>
          <w:tcPr>
            <w:tcW w:w="759" w:type="pct"/>
            <w:tcBorders>
              <w:top w:val="single" w:sz="2" w:space="0" w:color="auto"/>
              <w:left w:val="nil"/>
              <w:bottom w:val="single" w:sz="2" w:space="0" w:color="auto"/>
              <w:right w:val="nil"/>
            </w:tcBorders>
            <w:shd w:val="clear" w:color="auto" w:fill="FFFFFF" w:themeFill="background1"/>
            <w:vAlign w:val="center"/>
          </w:tcPr>
          <w:p w14:paraId="5D369756" w14:textId="77777777" w:rsidR="00EC4C05" w:rsidRPr="00033257" w:rsidRDefault="00EC4C05" w:rsidP="009D4522">
            <w:pPr>
              <w:spacing w:after="0"/>
              <w:jc w:val="right"/>
              <w:rPr>
                <w:rFonts w:ascii="Arial Narrow" w:hAnsi="Arial Narrow" w:cs="Arial"/>
              </w:rPr>
            </w:pPr>
            <w:r>
              <w:rPr>
                <w:rFonts w:ascii="Arial Narrow" w:hAnsi="Arial Narrow"/>
              </w:rPr>
              <w:t>10</w:t>
            </w:r>
          </w:p>
        </w:tc>
      </w:tr>
      <w:tr w:rsidR="00EC4C05" w:rsidRPr="00033257" w14:paraId="5331D37F"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06AEE856" w14:textId="77777777" w:rsidR="00EC4C05" w:rsidRPr="00033257" w:rsidRDefault="00EC4C05" w:rsidP="009D4522">
            <w:pPr>
              <w:spacing w:after="0"/>
              <w:ind w:firstLine="0"/>
              <w:jc w:val="left"/>
              <w:rPr>
                <w:rFonts w:ascii="Arial Narrow" w:hAnsi="Arial Narrow" w:cs="Arial"/>
              </w:rPr>
            </w:pPr>
            <w:r>
              <w:rPr>
                <w:rFonts w:ascii="Arial Narrow" w:hAnsi="Arial Narrow"/>
              </w:rPr>
              <w:t>5.001-10.000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089009E4" w14:textId="77777777" w:rsidR="00EC4C05" w:rsidRPr="00033257" w:rsidRDefault="00EC4C05" w:rsidP="009D4522">
            <w:pPr>
              <w:spacing w:after="0"/>
              <w:jc w:val="right"/>
              <w:rPr>
                <w:rFonts w:ascii="Arial Narrow" w:hAnsi="Arial Narrow" w:cs="Arial"/>
              </w:rPr>
            </w:pPr>
            <w:r>
              <w:rPr>
                <w:rFonts w:ascii="Arial Narrow" w:hAnsi="Arial Narrow"/>
              </w:rPr>
              <w:t>9</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5FCD5EC4" w14:textId="77777777" w:rsidR="00EC4C05" w:rsidRPr="00033257" w:rsidRDefault="00EC4C05" w:rsidP="009D4522">
            <w:pPr>
              <w:spacing w:after="0"/>
              <w:jc w:val="right"/>
              <w:rPr>
                <w:rFonts w:ascii="Arial Narrow" w:hAnsi="Arial Narrow" w:cs="Arial"/>
              </w:rPr>
            </w:pPr>
            <w:r>
              <w:rPr>
                <w:rFonts w:ascii="Arial Narrow" w:hAnsi="Arial Narrow"/>
              </w:rPr>
              <w:t>3</w:t>
            </w:r>
          </w:p>
        </w:tc>
        <w:tc>
          <w:tcPr>
            <w:tcW w:w="814" w:type="pct"/>
            <w:tcBorders>
              <w:top w:val="single" w:sz="2" w:space="0" w:color="auto"/>
              <w:left w:val="nil"/>
              <w:bottom w:val="single" w:sz="2" w:space="0" w:color="auto"/>
              <w:right w:val="nil"/>
            </w:tcBorders>
            <w:shd w:val="clear" w:color="auto" w:fill="FFFFFF" w:themeFill="background1"/>
            <w:vAlign w:val="center"/>
          </w:tcPr>
          <w:p w14:paraId="6F375A7D" w14:textId="77777777" w:rsidR="00EC4C05" w:rsidRPr="00033257" w:rsidRDefault="00EC4C05" w:rsidP="009D4522">
            <w:pPr>
              <w:spacing w:after="0"/>
              <w:jc w:val="right"/>
              <w:rPr>
                <w:rFonts w:ascii="Arial Narrow" w:hAnsi="Arial Narrow" w:cs="Arial"/>
              </w:rPr>
            </w:pPr>
            <w:r>
              <w:rPr>
                <w:rFonts w:ascii="Arial Narrow" w:hAnsi="Arial Narrow"/>
              </w:rPr>
              <w:t>67.017</w:t>
            </w:r>
          </w:p>
        </w:tc>
        <w:tc>
          <w:tcPr>
            <w:tcW w:w="759" w:type="pct"/>
            <w:tcBorders>
              <w:top w:val="single" w:sz="2" w:space="0" w:color="auto"/>
              <w:left w:val="nil"/>
              <w:bottom w:val="single" w:sz="2" w:space="0" w:color="auto"/>
              <w:right w:val="nil"/>
            </w:tcBorders>
            <w:shd w:val="clear" w:color="auto" w:fill="FFFFFF" w:themeFill="background1"/>
            <w:vAlign w:val="center"/>
          </w:tcPr>
          <w:p w14:paraId="446DE71A" w14:textId="77777777" w:rsidR="00EC4C05" w:rsidRPr="00033257" w:rsidRDefault="00EC4C05" w:rsidP="009D4522">
            <w:pPr>
              <w:spacing w:after="0"/>
              <w:jc w:val="right"/>
              <w:rPr>
                <w:rFonts w:ascii="Arial Narrow" w:hAnsi="Arial Narrow" w:cs="Arial"/>
              </w:rPr>
            </w:pPr>
            <w:r>
              <w:rPr>
                <w:rFonts w:ascii="Arial Narrow" w:hAnsi="Arial Narrow"/>
              </w:rPr>
              <w:t>10</w:t>
            </w:r>
          </w:p>
        </w:tc>
      </w:tr>
      <w:tr w:rsidR="00EC4C05" w:rsidRPr="00033257" w14:paraId="61F2B80F"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7F34EB9C" w14:textId="77777777" w:rsidR="00EC4C05" w:rsidRPr="00033257" w:rsidRDefault="00EC4C05" w:rsidP="009D4522">
            <w:pPr>
              <w:spacing w:after="0"/>
              <w:ind w:firstLine="0"/>
              <w:jc w:val="left"/>
              <w:rPr>
                <w:rFonts w:ascii="Arial Narrow" w:hAnsi="Arial Narrow" w:cs="Arial"/>
              </w:rPr>
            </w:pPr>
            <w:r>
              <w:rPr>
                <w:rFonts w:ascii="Arial Narrow" w:hAnsi="Arial Narrow"/>
              </w:rPr>
              <w:t>10.001-20.000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42124560" w14:textId="77777777" w:rsidR="00EC4C05" w:rsidRPr="00033257" w:rsidRDefault="00EC4C05" w:rsidP="009D4522">
            <w:pPr>
              <w:spacing w:after="0"/>
              <w:jc w:val="right"/>
              <w:rPr>
                <w:rFonts w:ascii="Arial Narrow" w:hAnsi="Arial Narrow" w:cs="Arial"/>
              </w:rPr>
            </w:pPr>
            <w:r>
              <w:rPr>
                <w:rFonts w:ascii="Arial Narrow" w:hAnsi="Arial Narrow"/>
              </w:rPr>
              <w:t>9</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0B778152" w14:textId="77777777" w:rsidR="00EC4C05" w:rsidRPr="00033257" w:rsidRDefault="00EC4C05" w:rsidP="009D4522">
            <w:pPr>
              <w:spacing w:after="0"/>
              <w:jc w:val="right"/>
              <w:rPr>
                <w:rFonts w:ascii="Arial Narrow" w:hAnsi="Arial Narrow" w:cs="Arial"/>
              </w:rPr>
            </w:pPr>
            <w:r>
              <w:rPr>
                <w:rFonts w:ascii="Arial Narrow" w:hAnsi="Arial Narrow"/>
              </w:rPr>
              <w:t>3</w:t>
            </w:r>
          </w:p>
        </w:tc>
        <w:tc>
          <w:tcPr>
            <w:tcW w:w="814" w:type="pct"/>
            <w:tcBorders>
              <w:top w:val="single" w:sz="2" w:space="0" w:color="auto"/>
              <w:left w:val="nil"/>
              <w:bottom w:val="single" w:sz="2" w:space="0" w:color="auto"/>
              <w:right w:val="nil"/>
            </w:tcBorders>
            <w:shd w:val="clear" w:color="auto" w:fill="FFFFFF" w:themeFill="background1"/>
            <w:vAlign w:val="center"/>
          </w:tcPr>
          <w:p w14:paraId="581E29BC" w14:textId="77777777" w:rsidR="00EC4C05" w:rsidRPr="00033257" w:rsidRDefault="00EC4C05" w:rsidP="009D4522">
            <w:pPr>
              <w:spacing w:after="0"/>
              <w:jc w:val="right"/>
              <w:rPr>
                <w:rFonts w:ascii="Arial Narrow" w:hAnsi="Arial Narrow" w:cs="Arial"/>
              </w:rPr>
            </w:pPr>
            <w:r>
              <w:rPr>
                <w:rFonts w:ascii="Arial Narrow" w:hAnsi="Arial Narrow"/>
              </w:rPr>
              <w:t>122.579</w:t>
            </w:r>
          </w:p>
        </w:tc>
        <w:tc>
          <w:tcPr>
            <w:tcW w:w="759" w:type="pct"/>
            <w:tcBorders>
              <w:top w:val="single" w:sz="2" w:space="0" w:color="auto"/>
              <w:left w:val="nil"/>
              <w:bottom w:val="single" w:sz="2" w:space="0" w:color="auto"/>
              <w:right w:val="nil"/>
            </w:tcBorders>
            <w:shd w:val="clear" w:color="auto" w:fill="FFFFFF" w:themeFill="background1"/>
            <w:vAlign w:val="center"/>
          </w:tcPr>
          <w:p w14:paraId="2847A633" w14:textId="77777777" w:rsidR="00EC4C05" w:rsidRPr="00033257" w:rsidRDefault="00EC4C05" w:rsidP="009D4522">
            <w:pPr>
              <w:spacing w:after="0"/>
              <w:jc w:val="right"/>
              <w:rPr>
                <w:rFonts w:ascii="Arial Narrow" w:hAnsi="Arial Narrow" w:cs="Arial"/>
              </w:rPr>
            </w:pPr>
            <w:r>
              <w:rPr>
                <w:rFonts w:ascii="Arial Narrow" w:hAnsi="Arial Narrow"/>
              </w:rPr>
              <w:t>19</w:t>
            </w:r>
          </w:p>
        </w:tc>
      </w:tr>
      <w:tr w:rsidR="00EC4C05" w:rsidRPr="00033257" w14:paraId="231CBA26"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2C2522D1" w14:textId="77777777" w:rsidR="00EC4C05" w:rsidRPr="00033257" w:rsidRDefault="00EC4C05" w:rsidP="009D4522">
            <w:pPr>
              <w:spacing w:after="0"/>
              <w:ind w:firstLine="0"/>
              <w:jc w:val="left"/>
              <w:rPr>
                <w:rFonts w:ascii="Arial Narrow" w:hAnsi="Arial Narrow" w:cs="Arial"/>
              </w:rPr>
            </w:pPr>
            <w:r>
              <w:rPr>
                <w:rFonts w:ascii="Arial Narrow" w:hAnsi="Arial Narrow"/>
              </w:rPr>
              <w:t>20.001-30.000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649841BE" w14:textId="77777777" w:rsidR="00EC4C05" w:rsidRPr="00033257" w:rsidRDefault="00EC4C05" w:rsidP="009D4522">
            <w:pPr>
              <w:spacing w:after="0"/>
              <w:jc w:val="right"/>
              <w:rPr>
                <w:rFonts w:ascii="Arial Narrow" w:hAnsi="Arial Narrow" w:cs="Arial"/>
              </w:rPr>
            </w:pPr>
            <w:r>
              <w:rPr>
                <w:rFonts w:ascii="Arial Narrow" w:hAnsi="Arial Narrow"/>
              </w:rPr>
              <w:t>1</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2322F001" w14:textId="77777777" w:rsidR="00EC4C05" w:rsidRPr="00033257" w:rsidRDefault="00EC4C05" w:rsidP="009D4522">
            <w:pPr>
              <w:spacing w:after="0"/>
              <w:jc w:val="right"/>
              <w:rPr>
                <w:rFonts w:ascii="Arial Narrow" w:hAnsi="Arial Narrow" w:cs="Arial"/>
              </w:rPr>
            </w:pPr>
            <w:r>
              <w:rPr>
                <w:rFonts w:ascii="Arial Narrow" w:hAnsi="Arial Narrow"/>
              </w:rPr>
              <w:t>0</w:t>
            </w:r>
          </w:p>
        </w:tc>
        <w:tc>
          <w:tcPr>
            <w:tcW w:w="814" w:type="pct"/>
            <w:tcBorders>
              <w:top w:val="single" w:sz="2" w:space="0" w:color="auto"/>
              <w:left w:val="nil"/>
              <w:bottom w:val="single" w:sz="2" w:space="0" w:color="auto"/>
              <w:right w:val="nil"/>
            </w:tcBorders>
            <w:shd w:val="clear" w:color="auto" w:fill="FFFFFF" w:themeFill="background1"/>
            <w:vAlign w:val="center"/>
          </w:tcPr>
          <w:p w14:paraId="2E9979F9" w14:textId="77777777" w:rsidR="00EC4C05" w:rsidRPr="00033257" w:rsidRDefault="00EC4C05" w:rsidP="009D4522">
            <w:pPr>
              <w:spacing w:after="0"/>
              <w:jc w:val="right"/>
              <w:rPr>
                <w:rFonts w:ascii="Arial Narrow" w:hAnsi="Arial Narrow" w:cs="Arial"/>
              </w:rPr>
            </w:pPr>
            <w:r>
              <w:rPr>
                <w:rFonts w:ascii="Arial Narrow" w:hAnsi="Arial Narrow"/>
              </w:rPr>
              <w:t>21.556</w:t>
            </w:r>
          </w:p>
        </w:tc>
        <w:tc>
          <w:tcPr>
            <w:tcW w:w="759" w:type="pct"/>
            <w:tcBorders>
              <w:top w:val="single" w:sz="2" w:space="0" w:color="auto"/>
              <w:left w:val="nil"/>
              <w:bottom w:val="single" w:sz="2" w:space="0" w:color="auto"/>
              <w:right w:val="nil"/>
            </w:tcBorders>
            <w:shd w:val="clear" w:color="auto" w:fill="FFFFFF" w:themeFill="background1"/>
            <w:vAlign w:val="center"/>
          </w:tcPr>
          <w:p w14:paraId="7A036E3D" w14:textId="77777777" w:rsidR="00EC4C05" w:rsidRPr="00033257" w:rsidRDefault="00EC4C05" w:rsidP="009D4522">
            <w:pPr>
              <w:spacing w:after="0"/>
              <w:jc w:val="right"/>
              <w:rPr>
                <w:rFonts w:ascii="Arial Narrow" w:hAnsi="Arial Narrow" w:cs="Arial"/>
              </w:rPr>
            </w:pPr>
            <w:r>
              <w:rPr>
                <w:rFonts w:ascii="Arial Narrow" w:hAnsi="Arial Narrow"/>
              </w:rPr>
              <w:t>3</w:t>
            </w:r>
          </w:p>
        </w:tc>
      </w:tr>
      <w:tr w:rsidR="00EC4C05" w:rsidRPr="00033257" w14:paraId="792F5EFE"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79C00A2D" w14:textId="77777777" w:rsidR="00EC4C05" w:rsidRPr="00033257" w:rsidRDefault="00EC4C05" w:rsidP="009D4522">
            <w:pPr>
              <w:spacing w:after="0"/>
              <w:ind w:firstLine="0"/>
              <w:jc w:val="left"/>
              <w:rPr>
                <w:rFonts w:ascii="Arial Narrow" w:hAnsi="Arial Narrow" w:cs="Arial"/>
              </w:rPr>
            </w:pPr>
            <w:r>
              <w:rPr>
                <w:rFonts w:ascii="Arial Narrow" w:hAnsi="Arial Narrow"/>
              </w:rPr>
              <w:t>30.001-50.000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56B20A0C" w14:textId="77777777" w:rsidR="00EC4C05" w:rsidRPr="00033257" w:rsidRDefault="00EC4C05" w:rsidP="009D4522">
            <w:pPr>
              <w:spacing w:after="0"/>
              <w:jc w:val="right"/>
              <w:rPr>
                <w:rFonts w:ascii="Arial Narrow" w:hAnsi="Arial Narrow" w:cs="Arial"/>
              </w:rPr>
            </w:pPr>
            <w:r>
              <w:rPr>
                <w:rFonts w:ascii="Arial Narrow" w:hAnsi="Arial Narrow"/>
              </w:rPr>
              <w:t>1</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7B7EFE02" w14:textId="77777777" w:rsidR="00EC4C05" w:rsidRPr="00033257" w:rsidRDefault="00EC4C05" w:rsidP="009D4522">
            <w:pPr>
              <w:spacing w:after="0"/>
              <w:jc w:val="right"/>
              <w:rPr>
                <w:rFonts w:ascii="Arial Narrow" w:hAnsi="Arial Narrow" w:cs="Arial"/>
              </w:rPr>
            </w:pPr>
            <w:r>
              <w:rPr>
                <w:rFonts w:ascii="Arial Narrow" w:hAnsi="Arial Narrow"/>
              </w:rPr>
              <w:t>0</w:t>
            </w:r>
          </w:p>
        </w:tc>
        <w:tc>
          <w:tcPr>
            <w:tcW w:w="814" w:type="pct"/>
            <w:tcBorders>
              <w:top w:val="single" w:sz="2" w:space="0" w:color="auto"/>
              <w:left w:val="nil"/>
              <w:bottom w:val="single" w:sz="2" w:space="0" w:color="auto"/>
              <w:right w:val="nil"/>
            </w:tcBorders>
            <w:shd w:val="clear" w:color="auto" w:fill="FFFFFF" w:themeFill="background1"/>
            <w:vAlign w:val="center"/>
          </w:tcPr>
          <w:p w14:paraId="3B794C12" w14:textId="77777777" w:rsidR="00EC4C05" w:rsidRPr="00033257" w:rsidRDefault="00EC4C05" w:rsidP="009D4522">
            <w:pPr>
              <w:spacing w:after="0"/>
              <w:jc w:val="right"/>
              <w:rPr>
                <w:rFonts w:ascii="Arial Narrow" w:hAnsi="Arial Narrow" w:cs="Arial"/>
              </w:rPr>
            </w:pPr>
            <w:r>
              <w:rPr>
                <w:rFonts w:ascii="Arial Narrow" w:hAnsi="Arial Narrow"/>
              </w:rPr>
              <w:t>37.008</w:t>
            </w:r>
          </w:p>
        </w:tc>
        <w:tc>
          <w:tcPr>
            <w:tcW w:w="759" w:type="pct"/>
            <w:tcBorders>
              <w:top w:val="single" w:sz="2" w:space="0" w:color="auto"/>
              <w:left w:val="nil"/>
              <w:bottom w:val="single" w:sz="2" w:space="0" w:color="auto"/>
              <w:right w:val="nil"/>
            </w:tcBorders>
            <w:shd w:val="clear" w:color="auto" w:fill="FFFFFF" w:themeFill="background1"/>
            <w:vAlign w:val="center"/>
          </w:tcPr>
          <w:p w14:paraId="1B87E3DE" w14:textId="77777777" w:rsidR="00EC4C05" w:rsidRPr="00033257" w:rsidRDefault="00EC4C05" w:rsidP="009D4522">
            <w:pPr>
              <w:spacing w:after="0"/>
              <w:jc w:val="right"/>
              <w:rPr>
                <w:rFonts w:ascii="Arial Narrow" w:hAnsi="Arial Narrow" w:cs="Arial"/>
              </w:rPr>
            </w:pPr>
            <w:r>
              <w:rPr>
                <w:rFonts w:ascii="Arial Narrow" w:hAnsi="Arial Narrow"/>
              </w:rPr>
              <w:t>6</w:t>
            </w:r>
          </w:p>
        </w:tc>
      </w:tr>
      <w:tr w:rsidR="00EC4C05" w:rsidRPr="00033257" w14:paraId="353C13F3" w14:textId="77777777" w:rsidTr="009D4522">
        <w:trPr>
          <w:trHeight w:val="227"/>
          <w:jc w:val="center"/>
        </w:trPr>
        <w:tc>
          <w:tcPr>
            <w:tcW w:w="1631" w:type="pct"/>
            <w:tcBorders>
              <w:top w:val="single" w:sz="2" w:space="0" w:color="auto"/>
              <w:left w:val="nil"/>
              <w:bottom w:val="single" w:sz="4" w:space="0" w:color="auto"/>
              <w:right w:val="nil"/>
            </w:tcBorders>
            <w:shd w:val="clear" w:color="auto" w:fill="FFFFFF" w:themeFill="background1"/>
            <w:vAlign w:val="center"/>
            <w:hideMark/>
          </w:tcPr>
          <w:p w14:paraId="50728335" w14:textId="77777777" w:rsidR="00EC4C05" w:rsidRPr="00033257" w:rsidRDefault="00EC4C05" w:rsidP="00736D0B">
            <w:pPr>
              <w:spacing w:after="0"/>
              <w:ind w:firstLine="0"/>
              <w:jc w:val="left"/>
              <w:rPr>
                <w:rFonts w:ascii="Arial Narrow" w:hAnsi="Arial Narrow" w:cs="Arial"/>
              </w:rPr>
            </w:pPr>
            <w:r>
              <w:rPr>
                <w:rFonts w:ascii="Arial Narrow" w:hAnsi="Arial Narrow"/>
              </w:rPr>
              <w:t>50.000 baino gehiago</w:t>
            </w:r>
          </w:p>
        </w:tc>
        <w:tc>
          <w:tcPr>
            <w:tcW w:w="723" w:type="pct"/>
            <w:tcBorders>
              <w:top w:val="single" w:sz="2" w:space="0" w:color="auto"/>
              <w:left w:val="nil"/>
              <w:bottom w:val="single" w:sz="4" w:space="0" w:color="auto"/>
              <w:right w:val="nil"/>
            </w:tcBorders>
            <w:shd w:val="clear" w:color="auto" w:fill="FFFFFF" w:themeFill="background1"/>
            <w:vAlign w:val="center"/>
            <w:hideMark/>
          </w:tcPr>
          <w:p w14:paraId="249FAAB8" w14:textId="77777777" w:rsidR="00EC4C05" w:rsidRPr="00033257" w:rsidRDefault="00EC4C05" w:rsidP="00736D0B">
            <w:pPr>
              <w:spacing w:after="0"/>
              <w:jc w:val="right"/>
              <w:rPr>
                <w:rFonts w:ascii="Arial Narrow" w:hAnsi="Arial Narrow" w:cs="Arial"/>
              </w:rPr>
            </w:pPr>
            <w:r>
              <w:rPr>
                <w:rFonts w:ascii="Arial Narrow" w:hAnsi="Arial Narrow"/>
              </w:rPr>
              <w:t>1</w:t>
            </w:r>
          </w:p>
        </w:tc>
        <w:tc>
          <w:tcPr>
            <w:tcW w:w="1073" w:type="pct"/>
            <w:tcBorders>
              <w:top w:val="single" w:sz="2" w:space="0" w:color="auto"/>
              <w:left w:val="nil"/>
              <w:bottom w:val="single" w:sz="4" w:space="0" w:color="auto"/>
              <w:right w:val="nil"/>
            </w:tcBorders>
            <w:shd w:val="clear" w:color="auto" w:fill="FFFFFF" w:themeFill="background1"/>
            <w:vAlign w:val="center"/>
            <w:hideMark/>
          </w:tcPr>
          <w:p w14:paraId="33113584" w14:textId="77777777" w:rsidR="00EC4C05" w:rsidRPr="00033257" w:rsidRDefault="00EC4C05" w:rsidP="00736D0B">
            <w:pPr>
              <w:spacing w:after="0"/>
              <w:jc w:val="right"/>
              <w:rPr>
                <w:rFonts w:ascii="Arial Narrow" w:hAnsi="Arial Narrow" w:cs="Arial"/>
              </w:rPr>
            </w:pPr>
            <w:r>
              <w:rPr>
                <w:rFonts w:ascii="Arial Narrow" w:hAnsi="Arial Narrow"/>
              </w:rPr>
              <w:t>0</w:t>
            </w:r>
          </w:p>
        </w:tc>
        <w:tc>
          <w:tcPr>
            <w:tcW w:w="814" w:type="pct"/>
            <w:tcBorders>
              <w:top w:val="single" w:sz="2" w:space="0" w:color="auto"/>
              <w:left w:val="nil"/>
              <w:bottom w:val="single" w:sz="4" w:space="0" w:color="auto"/>
              <w:right w:val="nil"/>
            </w:tcBorders>
            <w:shd w:val="clear" w:color="auto" w:fill="FFFFFF" w:themeFill="background1"/>
            <w:vAlign w:val="center"/>
          </w:tcPr>
          <w:p w14:paraId="72CFEFCB" w14:textId="77777777" w:rsidR="00EC4C05" w:rsidRPr="00033257" w:rsidRDefault="00EC4C05" w:rsidP="00736D0B">
            <w:pPr>
              <w:spacing w:after="0"/>
              <w:jc w:val="right"/>
              <w:rPr>
                <w:rFonts w:ascii="Arial Narrow" w:hAnsi="Arial Narrow" w:cs="Arial"/>
              </w:rPr>
            </w:pPr>
            <w:r>
              <w:rPr>
                <w:rFonts w:ascii="Arial Narrow" w:hAnsi="Arial Narrow"/>
              </w:rPr>
              <w:t>203.081</w:t>
            </w:r>
          </w:p>
        </w:tc>
        <w:tc>
          <w:tcPr>
            <w:tcW w:w="759" w:type="pct"/>
            <w:tcBorders>
              <w:top w:val="single" w:sz="2" w:space="0" w:color="auto"/>
              <w:left w:val="nil"/>
              <w:bottom w:val="single" w:sz="4" w:space="0" w:color="auto"/>
              <w:right w:val="nil"/>
            </w:tcBorders>
            <w:shd w:val="clear" w:color="auto" w:fill="FFFFFF" w:themeFill="background1"/>
            <w:vAlign w:val="center"/>
          </w:tcPr>
          <w:p w14:paraId="2C8B330C" w14:textId="77777777" w:rsidR="00EC4C05" w:rsidRPr="00033257" w:rsidRDefault="00EC4C05" w:rsidP="00736D0B">
            <w:pPr>
              <w:spacing w:after="0"/>
              <w:jc w:val="right"/>
              <w:rPr>
                <w:rFonts w:ascii="Arial Narrow" w:hAnsi="Arial Narrow" w:cs="Arial"/>
              </w:rPr>
            </w:pPr>
            <w:r>
              <w:rPr>
                <w:rFonts w:ascii="Arial Narrow" w:hAnsi="Arial Narrow"/>
              </w:rPr>
              <w:t>31</w:t>
            </w:r>
          </w:p>
        </w:tc>
      </w:tr>
      <w:tr w:rsidR="00EC4C05" w:rsidRPr="00736D0B" w14:paraId="314EC6B2" w14:textId="77777777" w:rsidTr="009D4522">
        <w:trPr>
          <w:trHeight w:val="284"/>
          <w:jc w:val="center"/>
        </w:trPr>
        <w:tc>
          <w:tcPr>
            <w:tcW w:w="1631" w:type="pct"/>
            <w:tcBorders>
              <w:top w:val="single" w:sz="4" w:space="0" w:color="auto"/>
              <w:left w:val="nil"/>
              <w:bottom w:val="single" w:sz="4" w:space="0" w:color="auto"/>
              <w:right w:val="nil"/>
            </w:tcBorders>
            <w:shd w:val="clear" w:color="auto" w:fill="FABF8F" w:themeFill="accent6" w:themeFillTint="99"/>
            <w:vAlign w:val="center"/>
            <w:hideMark/>
          </w:tcPr>
          <w:p w14:paraId="46FE0C09" w14:textId="77777777" w:rsidR="00EC4C05" w:rsidRPr="00736D0B" w:rsidRDefault="00EC4C05" w:rsidP="00736D0B">
            <w:pPr>
              <w:pStyle w:val="cuadroCabe"/>
              <w:spacing w:line="240" w:lineRule="auto"/>
              <w:rPr>
                <w:rFonts w:cs="Arial"/>
                <w:szCs w:val="18"/>
              </w:rPr>
            </w:pPr>
            <w:r>
              <w:t>Guztira</w:t>
            </w:r>
          </w:p>
        </w:tc>
        <w:tc>
          <w:tcPr>
            <w:tcW w:w="723" w:type="pct"/>
            <w:tcBorders>
              <w:top w:val="single" w:sz="4" w:space="0" w:color="auto"/>
              <w:left w:val="nil"/>
              <w:bottom w:val="single" w:sz="4" w:space="0" w:color="auto"/>
              <w:right w:val="nil"/>
            </w:tcBorders>
            <w:shd w:val="clear" w:color="auto" w:fill="FABF8F" w:themeFill="accent6" w:themeFillTint="99"/>
            <w:vAlign w:val="center"/>
            <w:hideMark/>
          </w:tcPr>
          <w:p w14:paraId="49D04761" w14:textId="77777777" w:rsidR="00EC4C05" w:rsidRPr="00736D0B" w:rsidRDefault="00EC4C05" w:rsidP="00736D0B">
            <w:pPr>
              <w:pStyle w:val="cuadroCabe"/>
              <w:spacing w:line="240" w:lineRule="auto"/>
              <w:jc w:val="right"/>
              <w:rPr>
                <w:rFonts w:cs="Arial"/>
                <w:szCs w:val="18"/>
              </w:rPr>
            </w:pPr>
            <w:r>
              <w:t>272</w:t>
            </w:r>
          </w:p>
        </w:tc>
        <w:tc>
          <w:tcPr>
            <w:tcW w:w="1073" w:type="pct"/>
            <w:tcBorders>
              <w:top w:val="single" w:sz="4" w:space="0" w:color="auto"/>
              <w:left w:val="nil"/>
              <w:bottom w:val="single" w:sz="4" w:space="0" w:color="auto"/>
              <w:right w:val="nil"/>
            </w:tcBorders>
            <w:shd w:val="clear" w:color="auto" w:fill="FABF8F" w:themeFill="accent6" w:themeFillTint="99"/>
            <w:vAlign w:val="center"/>
            <w:hideMark/>
          </w:tcPr>
          <w:p w14:paraId="0CCF700D" w14:textId="77777777" w:rsidR="00EC4C05" w:rsidRPr="00736D0B" w:rsidRDefault="00EC4C05" w:rsidP="00736D0B">
            <w:pPr>
              <w:pStyle w:val="cuadroCabe"/>
              <w:spacing w:line="240" w:lineRule="auto"/>
              <w:jc w:val="right"/>
              <w:rPr>
                <w:rFonts w:cs="Arial"/>
                <w:szCs w:val="18"/>
              </w:rPr>
            </w:pPr>
            <w:r>
              <w:t>100</w:t>
            </w:r>
          </w:p>
        </w:tc>
        <w:tc>
          <w:tcPr>
            <w:tcW w:w="814" w:type="pct"/>
            <w:tcBorders>
              <w:top w:val="single" w:sz="4" w:space="0" w:color="auto"/>
              <w:left w:val="nil"/>
              <w:bottom w:val="single" w:sz="4" w:space="0" w:color="auto"/>
              <w:right w:val="nil"/>
            </w:tcBorders>
            <w:shd w:val="clear" w:color="auto" w:fill="FABF8F" w:themeFill="accent6" w:themeFillTint="99"/>
            <w:vAlign w:val="center"/>
          </w:tcPr>
          <w:p w14:paraId="1614E392" w14:textId="77777777" w:rsidR="00EC4C05" w:rsidRPr="00736D0B" w:rsidRDefault="00EC4C05" w:rsidP="00736D0B">
            <w:pPr>
              <w:pStyle w:val="cuadroCabe"/>
              <w:spacing w:line="240" w:lineRule="auto"/>
              <w:jc w:val="right"/>
              <w:rPr>
                <w:rFonts w:cs="Arial"/>
                <w:szCs w:val="18"/>
              </w:rPr>
            </w:pPr>
            <w:r>
              <w:t>661.537</w:t>
            </w:r>
          </w:p>
        </w:tc>
        <w:tc>
          <w:tcPr>
            <w:tcW w:w="759" w:type="pct"/>
            <w:tcBorders>
              <w:top w:val="single" w:sz="4" w:space="0" w:color="auto"/>
              <w:left w:val="nil"/>
              <w:bottom w:val="single" w:sz="4" w:space="0" w:color="auto"/>
              <w:right w:val="nil"/>
            </w:tcBorders>
            <w:shd w:val="clear" w:color="auto" w:fill="FABF8F" w:themeFill="accent6" w:themeFillTint="99"/>
            <w:vAlign w:val="center"/>
          </w:tcPr>
          <w:p w14:paraId="02B72823" w14:textId="77777777" w:rsidR="00EC4C05" w:rsidRPr="00736D0B" w:rsidRDefault="00EC4C05" w:rsidP="00736D0B">
            <w:pPr>
              <w:pStyle w:val="cuadroCabe"/>
              <w:spacing w:line="240" w:lineRule="auto"/>
              <w:jc w:val="right"/>
              <w:rPr>
                <w:rFonts w:cs="Arial"/>
                <w:szCs w:val="18"/>
              </w:rPr>
            </w:pPr>
            <w:r>
              <w:t>100</w:t>
            </w:r>
          </w:p>
        </w:tc>
      </w:tr>
    </w:tbl>
    <w:p w14:paraId="678B850C" w14:textId="1845BB4B" w:rsidR="00EC4C05" w:rsidRPr="00033257" w:rsidRDefault="6A28BBB8" w:rsidP="00EC4C05">
      <w:pPr>
        <w:pStyle w:val="texto"/>
        <w:spacing w:before="240"/>
      </w:pPr>
      <w:r>
        <w:t>Nabarmentzekoa da Nafarroako udalen ehuneko 70ek (189 udal) 1.000 biztanle baino gutxiago dutela eta, multzo osoan, biztanleriaren ehuneko zortzi osatzen dutela. Bestalde, Iruñak eta 10.000 biztanle baino gehiago dituzten gainerako 11 udalek biztanleriaren ehuneko 58 hartzen dute.</w:t>
      </w:r>
    </w:p>
    <w:p w14:paraId="7FB9CC11" w14:textId="77777777" w:rsidR="00EC4C05" w:rsidRPr="00033257" w:rsidRDefault="00EC4C05" w:rsidP="00EC4C05">
      <w:pPr>
        <w:pStyle w:val="texto"/>
      </w:pPr>
      <w:r>
        <w:t>Udalez gain, honako hauek ere toki-entitateen izaera dute:</w:t>
      </w:r>
    </w:p>
    <w:p w14:paraId="6B6CA254" w14:textId="140FD67D"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Kontzejuak: udal baten dermioaren barrenean kokaturiko toki-entitateak dira, hark baino populazio eta lurralde esparru txikiagoa dutenak.</w:t>
      </w:r>
    </w:p>
    <w:p w14:paraId="69140CD8" w14:textId="77777777"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Ohiturazko elkarteak edo batasunak: Errege Bardeako Komunitatea, Aezkoa Ibarreko Komunitatea, Erronkari Ibarreko Mankomunitatea, Zaraitzu Ibarreko Unibertsitatea, Aralarko Elkartea, eta TAFLk indarra hartzean herri ondasunen jabe edo administratzaile diren gainerako korporazio tradizionalak.</w:t>
      </w:r>
    </w:p>
    <w:p w14:paraId="0B6B891C" w14:textId="4F447C72"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Udalen mankomunitateak: zenbait udalen elkarteak, obrak elkarrekin egin eta haien eskumenekoak diren zerbitzu jakin batzuk emateko.</w:t>
      </w:r>
    </w:p>
    <w:p w14:paraId="5B61C743" w14:textId="77777777"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TAFLn aurreikusitako moduan udalez gaindiko tokiko lurralde-entitate gisa eratzen diren eskualdeak. </w:t>
      </w:r>
    </w:p>
    <w:p w14:paraId="75A2A64C" w14:textId="06B2EF83" w:rsidR="00EC4C05" w:rsidRPr="00427D24"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Pr>
          <w:color w:val="000000" w:themeColor="text1"/>
        </w:rPr>
        <w:lastRenderedPageBreak/>
        <w:t>Nafarroako toki-entitateek eta NFKAk eratzen ahal dituzten plangintza orokorreko mankomunitateak, toki eskumeneko zenbait zerbitzuren prestazioa koordinatzea xede dutenak.</w:t>
      </w:r>
    </w:p>
    <w:p w14:paraId="5A3C8C45" w14:textId="0EBA672D"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Apirilaren 4ko 20/2019 Foru Legeak indarra hartu baino lehenago sortutako administrazio zerbitzuen elkarteak. Lege horrek aldatu egiten ditu Nafarroako Toki Administrazioari buruzko uztailaren 2ko 6/1990 Foru Legea eta Nafarroako Toki Administrazioaren Erreformarako otsailaren 4ko 4/2019 Foru Legea (aurrerantzean, NTAEFL).</w:t>
      </w:r>
    </w:p>
    <w:p w14:paraId="485AD93E" w14:textId="77777777" w:rsidR="00EC4C05" w:rsidRPr="00033257" w:rsidRDefault="6A28BBB8" w:rsidP="00EC4C05">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rPr>
      </w:pPr>
      <w:r>
        <w:t xml:space="preserve">NTAEFLk udalen batasunen eta administrazio barrutien figurak ezabatu zituen, baina lege horren xedapen iragankor batek dio haiei eutsi behar zaiela harik eta eskualdeak eratu, beren eskumenak eta langileak jaso eta dagozkien zerbitzuak emateko prest egon arte. </w:t>
      </w:r>
    </w:p>
    <w:p w14:paraId="7169F738" w14:textId="77777777" w:rsidR="00FF4C93" w:rsidRDefault="00FF4C93" w:rsidP="00EC4C05">
      <w:pPr>
        <w:pStyle w:val="texto"/>
        <w:spacing w:after="240"/>
        <w:rPr>
          <w:rFonts w:cs="Arial"/>
        </w:rPr>
      </w:pPr>
      <w:r>
        <w:t>Oraindik ez da eratu inongo eskualderik edo plangintza orokorrerako mankomunitaterik.</w:t>
      </w:r>
    </w:p>
    <w:p w14:paraId="63A703D1" w14:textId="72B3A911" w:rsidR="00EC4C05" w:rsidRPr="00033257" w:rsidRDefault="6A28BBB8" w:rsidP="00EC4C05">
      <w:pPr>
        <w:pStyle w:val="texto"/>
        <w:spacing w:after="240"/>
      </w:pPr>
      <w:r>
        <w:t>Honako hau da toki-entitateen kopurua, 2021eko abenduaren 31n, aurreko urteetako toki-entitateen kopuruarekin alderatuta:</w:t>
      </w:r>
    </w:p>
    <w:tbl>
      <w:tblPr>
        <w:tblW w:w="4995" w:type="pct"/>
        <w:tblCellMar>
          <w:left w:w="70" w:type="dxa"/>
          <w:right w:w="70" w:type="dxa"/>
        </w:tblCellMar>
        <w:tblLook w:val="04A0" w:firstRow="1" w:lastRow="0" w:firstColumn="1" w:lastColumn="0" w:noHBand="0" w:noVBand="1"/>
      </w:tblPr>
      <w:tblGrid>
        <w:gridCol w:w="2415"/>
        <w:gridCol w:w="1278"/>
        <w:gridCol w:w="1275"/>
        <w:gridCol w:w="1271"/>
        <w:gridCol w:w="1271"/>
        <w:gridCol w:w="1269"/>
      </w:tblGrid>
      <w:tr w:rsidR="00EC4C05" w:rsidRPr="00787D6A" w14:paraId="44CCDC96" w14:textId="77777777" w:rsidTr="00787D6A">
        <w:trPr>
          <w:trHeight w:val="255"/>
        </w:trPr>
        <w:tc>
          <w:tcPr>
            <w:tcW w:w="1375" w:type="pct"/>
            <w:tcBorders>
              <w:top w:val="single" w:sz="4" w:space="0" w:color="auto"/>
              <w:left w:val="nil"/>
              <w:bottom w:val="single" w:sz="4" w:space="0" w:color="auto"/>
              <w:right w:val="nil"/>
            </w:tcBorders>
            <w:shd w:val="clear" w:color="auto" w:fill="FABF8F" w:themeFill="accent6" w:themeFillTint="99"/>
            <w:vAlign w:val="center"/>
            <w:hideMark/>
          </w:tcPr>
          <w:p w14:paraId="03AC137E" w14:textId="77777777" w:rsidR="00EC4C05" w:rsidRPr="00787D6A" w:rsidRDefault="00EC4C05" w:rsidP="00787D6A">
            <w:pPr>
              <w:pStyle w:val="cuadroCabe"/>
              <w:spacing w:line="240" w:lineRule="auto"/>
              <w:rPr>
                <w:rFonts w:cs="Arial"/>
                <w:szCs w:val="18"/>
              </w:rPr>
            </w:pPr>
            <w:r>
              <w:t>Toki-entitatea</w:t>
            </w:r>
          </w:p>
        </w:tc>
        <w:tc>
          <w:tcPr>
            <w:tcW w:w="728" w:type="pct"/>
            <w:tcBorders>
              <w:top w:val="single" w:sz="4" w:space="0" w:color="auto"/>
              <w:left w:val="nil"/>
              <w:bottom w:val="single" w:sz="4" w:space="0" w:color="auto"/>
              <w:right w:val="nil"/>
            </w:tcBorders>
            <w:shd w:val="clear" w:color="auto" w:fill="FABF8F" w:themeFill="accent6" w:themeFillTint="99"/>
            <w:vAlign w:val="center"/>
            <w:hideMark/>
          </w:tcPr>
          <w:p w14:paraId="7CFB5A06" w14:textId="77777777" w:rsidR="00EC4C05" w:rsidRPr="00787D6A" w:rsidRDefault="00EC4C05" w:rsidP="00787D6A">
            <w:pPr>
              <w:pStyle w:val="cuadroCabe"/>
              <w:spacing w:line="240" w:lineRule="auto"/>
              <w:jc w:val="right"/>
              <w:rPr>
                <w:rFonts w:cs="Arial"/>
                <w:szCs w:val="18"/>
              </w:rPr>
            </w:pPr>
            <w:r>
              <w:t>2017</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5C61D62B" w14:textId="77777777" w:rsidR="00EC4C05" w:rsidRPr="00787D6A" w:rsidRDefault="00EC4C05" w:rsidP="00787D6A">
            <w:pPr>
              <w:pStyle w:val="cuadroCabe"/>
              <w:spacing w:line="240" w:lineRule="auto"/>
              <w:jc w:val="right"/>
              <w:rPr>
                <w:rFonts w:cs="Arial"/>
                <w:szCs w:val="18"/>
              </w:rPr>
            </w:pPr>
            <w:r>
              <w:t>2018</w:t>
            </w:r>
          </w:p>
        </w:tc>
        <w:tc>
          <w:tcPr>
            <w:tcW w:w="724" w:type="pct"/>
            <w:tcBorders>
              <w:top w:val="single" w:sz="4" w:space="0" w:color="auto"/>
              <w:left w:val="nil"/>
              <w:bottom w:val="single" w:sz="4" w:space="0" w:color="auto"/>
              <w:right w:val="nil"/>
            </w:tcBorders>
            <w:shd w:val="clear" w:color="auto" w:fill="FABF8F" w:themeFill="accent6" w:themeFillTint="99"/>
            <w:vAlign w:val="center"/>
          </w:tcPr>
          <w:p w14:paraId="650B5A13" w14:textId="77777777" w:rsidR="00EC4C05" w:rsidRPr="00787D6A" w:rsidRDefault="00EC4C05" w:rsidP="00787D6A">
            <w:pPr>
              <w:pStyle w:val="cuadroCabe"/>
              <w:spacing w:line="240" w:lineRule="auto"/>
              <w:jc w:val="right"/>
              <w:rPr>
                <w:rFonts w:cs="Arial"/>
                <w:szCs w:val="18"/>
              </w:rPr>
            </w:pPr>
            <w:r>
              <w:t>2019</w:t>
            </w:r>
          </w:p>
        </w:tc>
        <w:tc>
          <w:tcPr>
            <w:tcW w:w="724" w:type="pct"/>
            <w:tcBorders>
              <w:top w:val="single" w:sz="4" w:space="0" w:color="auto"/>
              <w:left w:val="nil"/>
              <w:bottom w:val="single" w:sz="4" w:space="0" w:color="auto"/>
              <w:right w:val="nil"/>
            </w:tcBorders>
            <w:shd w:val="clear" w:color="auto" w:fill="FABF8F" w:themeFill="accent6" w:themeFillTint="99"/>
            <w:vAlign w:val="center"/>
          </w:tcPr>
          <w:p w14:paraId="42B71CCD" w14:textId="77777777" w:rsidR="00EC4C05" w:rsidRPr="00787D6A" w:rsidRDefault="00EC4C05" w:rsidP="00787D6A">
            <w:pPr>
              <w:pStyle w:val="cuadroCabe"/>
              <w:spacing w:line="240" w:lineRule="auto"/>
              <w:jc w:val="right"/>
              <w:rPr>
                <w:rFonts w:cs="Arial"/>
                <w:szCs w:val="18"/>
              </w:rPr>
            </w:pPr>
            <w:r>
              <w:t>2020</w:t>
            </w:r>
          </w:p>
        </w:tc>
        <w:tc>
          <w:tcPr>
            <w:tcW w:w="724" w:type="pct"/>
            <w:tcBorders>
              <w:top w:val="single" w:sz="4" w:space="0" w:color="auto"/>
              <w:left w:val="nil"/>
              <w:bottom w:val="single" w:sz="4" w:space="0" w:color="auto"/>
              <w:right w:val="nil"/>
            </w:tcBorders>
            <w:shd w:val="clear" w:color="auto" w:fill="FABF8F" w:themeFill="accent6" w:themeFillTint="99"/>
          </w:tcPr>
          <w:p w14:paraId="65B281B9" w14:textId="77777777" w:rsidR="00EC4C05" w:rsidRPr="00787D6A" w:rsidRDefault="00EC4C05" w:rsidP="00787D6A">
            <w:pPr>
              <w:pStyle w:val="cuadroCabe"/>
              <w:spacing w:line="240" w:lineRule="auto"/>
              <w:jc w:val="right"/>
              <w:rPr>
                <w:rFonts w:cs="Arial"/>
                <w:szCs w:val="18"/>
              </w:rPr>
            </w:pPr>
            <w:r>
              <w:t>2021</w:t>
            </w:r>
          </w:p>
        </w:tc>
      </w:tr>
      <w:tr w:rsidR="00EC4C05" w:rsidRPr="00033257" w14:paraId="6021189F" w14:textId="77777777" w:rsidTr="009D4522">
        <w:trPr>
          <w:trHeight w:val="227"/>
        </w:trPr>
        <w:tc>
          <w:tcPr>
            <w:tcW w:w="1375" w:type="pct"/>
            <w:tcBorders>
              <w:top w:val="nil"/>
              <w:left w:val="nil"/>
              <w:bottom w:val="single" w:sz="2" w:space="0" w:color="auto"/>
              <w:right w:val="nil"/>
            </w:tcBorders>
            <w:shd w:val="clear" w:color="auto" w:fill="auto"/>
            <w:vAlign w:val="center"/>
            <w:hideMark/>
          </w:tcPr>
          <w:p w14:paraId="366A86E0" w14:textId="77777777" w:rsidR="00EC4C05" w:rsidRPr="00033257" w:rsidRDefault="00EC4C05" w:rsidP="00787D6A">
            <w:pPr>
              <w:spacing w:after="0"/>
              <w:ind w:firstLine="0"/>
              <w:rPr>
                <w:rFonts w:ascii="Arial Narrow" w:hAnsi="Arial Narrow" w:cs="Calibri"/>
              </w:rPr>
            </w:pPr>
            <w:r>
              <w:rPr>
                <w:rFonts w:ascii="Arial Narrow" w:hAnsi="Arial Narrow"/>
              </w:rPr>
              <w:t>Udalak</w:t>
            </w:r>
            <w:r>
              <w:rPr>
                <w:rFonts w:ascii="Arial Narrow" w:hAnsi="Arial Narrow"/>
                <w:vertAlign w:val="superscript"/>
              </w:rPr>
              <w:t xml:space="preserve"> (1)</w:t>
            </w:r>
          </w:p>
        </w:tc>
        <w:tc>
          <w:tcPr>
            <w:tcW w:w="728" w:type="pct"/>
            <w:tcBorders>
              <w:top w:val="nil"/>
              <w:left w:val="nil"/>
              <w:bottom w:val="single" w:sz="2" w:space="0" w:color="auto"/>
              <w:right w:val="nil"/>
            </w:tcBorders>
            <w:shd w:val="clear" w:color="auto" w:fill="auto"/>
            <w:vAlign w:val="center"/>
            <w:hideMark/>
          </w:tcPr>
          <w:p w14:paraId="07B96EF3" w14:textId="77777777" w:rsidR="00EC4C05" w:rsidRPr="00033257" w:rsidRDefault="00EC4C05" w:rsidP="00787D6A">
            <w:pPr>
              <w:spacing w:after="0"/>
              <w:ind w:firstLine="0"/>
              <w:jc w:val="right"/>
              <w:rPr>
                <w:rFonts w:ascii="Arial Narrow" w:hAnsi="Arial Narrow" w:cs="Calibri"/>
              </w:rPr>
            </w:pPr>
            <w:r>
              <w:rPr>
                <w:rFonts w:ascii="Arial Narrow" w:hAnsi="Arial Narrow"/>
              </w:rPr>
              <w:t>272</w:t>
            </w:r>
          </w:p>
        </w:tc>
        <w:tc>
          <w:tcPr>
            <w:tcW w:w="726" w:type="pct"/>
            <w:tcBorders>
              <w:top w:val="nil"/>
              <w:left w:val="nil"/>
              <w:bottom w:val="single" w:sz="2" w:space="0" w:color="auto"/>
              <w:right w:val="nil"/>
            </w:tcBorders>
            <w:shd w:val="clear" w:color="auto" w:fill="auto"/>
            <w:vAlign w:val="center"/>
            <w:hideMark/>
          </w:tcPr>
          <w:p w14:paraId="47132F3D" w14:textId="77777777" w:rsidR="00EC4C05" w:rsidRPr="00033257" w:rsidRDefault="00EC4C05" w:rsidP="00787D6A">
            <w:pPr>
              <w:spacing w:after="0"/>
              <w:ind w:firstLine="0"/>
              <w:jc w:val="right"/>
              <w:rPr>
                <w:rFonts w:ascii="Arial Narrow" w:hAnsi="Arial Narrow" w:cs="Calibri"/>
              </w:rPr>
            </w:pPr>
            <w:r>
              <w:rPr>
                <w:rFonts w:ascii="Arial Narrow" w:hAnsi="Arial Narrow"/>
              </w:rPr>
              <w:t>272</w:t>
            </w:r>
          </w:p>
        </w:tc>
        <w:tc>
          <w:tcPr>
            <w:tcW w:w="724" w:type="pct"/>
            <w:tcBorders>
              <w:top w:val="nil"/>
              <w:left w:val="nil"/>
              <w:bottom w:val="single" w:sz="2" w:space="0" w:color="auto"/>
              <w:right w:val="nil"/>
            </w:tcBorders>
            <w:vAlign w:val="center"/>
          </w:tcPr>
          <w:p w14:paraId="2C06E90D" w14:textId="77777777" w:rsidR="00EC4C05" w:rsidRPr="00033257" w:rsidRDefault="00EC4C05" w:rsidP="00787D6A">
            <w:pPr>
              <w:spacing w:after="0"/>
              <w:ind w:firstLine="0"/>
              <w:jc w:val="right"/>
              <w:rPr>
                <w:rFonts w:ascii="Arial Narrow" w:hAnsi="Arial Narrow" w:cs="Calibri"/>
              </w:rPr>
            </w:pPr>
            <w:r>
              <w:rPr>
                <w:rFonts w:ascii="Arial Narrow" w:hAnsi="Arial Narrow"/>
              </w:rPr>
              <w:t>272</w:t>
            </w:r>
          </w:p>
        </w:tc>
        <w:tc>
          <w:tcPr>
            <w:tcW w:w="724" w:type="pct"/>
            <w:tcBorders>
              <w:top w:val="nil"/>
              <w:left w:val="nil"/>
              <w:bottom w:val="single" w:sz="2" w:space="0" w:color="auto"/>
              <w:right w:val="nil"/>
            </w:tcBorders>
            <w:vAlign w:val="center"/>
          </w:tcPr>
          <w:p w14:paraId="41A51441" w14:textId="77777777" w:rsidR="00EC4C05" w:rsidRPr="00033257" w:rsidRDefault="00EC4C05" w:rsidP="00787D6A">
            <w:pPr>
              <w:spacing w:after="0"/>
              <w:ind w:firstLine="0"/>
              <w:jc w:val="right"/>
              <w:rPr>
                <w:rFonts w:ascii="Arial Narrow" w:hAnsi="Arial Narrow" w:cs="Arial"/>
                <w:iCs/>
              </w:rPr>
            </w:pPr>
            <w:r>
              <w:rPr>
                <w:rFonts w:ascii="Arial Narrow" w:hAnsi="Arial Narrow"/>
              </w:rPr>
              <w:t>272</w:t>
            </w:r>
          </w:p>
        </w:tc>
        <w:tc>
          <w:tcPr>
            <w:tcW w:w="724" w:type="pct"/>
            <w:tcBorders>
              <w:top w:val="nil"/>
              <w:left w:val="nil"/>
              <w:bottom w:val="single" w:sz="2" w:space="0" w:color="auto"/>
              <w:right w:val="nil"/>
            </w:tcBorders>
          </w:tcPr>
          <w:p w14:paraId="73F4B38F" w14:textId="77777777" w:rsidR="00EC4C05" w:rsidRPr="00033257" w:rsidRDefault="00EC4C05" w:rsidP="00787D6A">
            <w:pPr>
              <w:spacing w:after="0"/>
              <w:ind w:firstLine="0"/>
              <w:jc w:val="right"/>
              <w:rPr>
                <w:rFonts w:ascii="Arial Narrow" w:hAnsi="Arial Narrow" w:cs="Arial"/>
                <w:iCs/>
              </w:rPr>
            </w:pPr>
            <w:r>
              <w:rPr>
                <w:rFonts w:ascii="Arial Narrow" w:hAnsi="Arial Narrow"/>
              </w:rPr>
              <w:t>272</w:t>
            </w:r>
          </w:p>
        </w:tc>
      </w:tr>
      <w:tr w:rsidR="00EC4C05" w:rsidRPr="00033257" w14:paraId="40013341" w14:textId="77777777" w:rsidTr="00787D6A">
        <w:trPr>
          <w:trHeight w:val="227"/>
        </w:trPr>
        <w:tc>
          <w:tcPr>
            <w:tcW w:w="1375" w:type="pct"/>
            <w:tcBorders>
              <w:top w:val="single" w:sz="2" w:space="0" w:color="auto"/>
              <w:left w:val="nil"/>
              <w:bottom w:val="single" w:sz="2" w:space="0" w:color="auto"/>
              <w:right w:val="nil"/>
            </w:tcBorders>
            <w:shd w:val="clear" w:color="auto" w:fill="auto"/>
            <w:vAlign w:val="center"/>
            <w:hideMark/>
          </w:tcPr>
          <w:p w14:paraId="199E3EC6" w14:textId="77777777" w:rsidR="00EC4C05" w:rsidRPr="00033257" w:rsidRDefault="00EC4C05" w:rsidP="00787D6A">
            <w:pPr>
              <w:spacing w:after="0"/>
              <w:ind w:firstLine="0"/>
              <w:rPr>
                <w:rFonts w:ascii="Arial Narrow" w:hAnsi="Arial Narrow" w:cs="Calibri"/>
              </w:rPr>
            </w:pPr>
            <w:r>
              <w:rPr>
                <w:rFonts w:ascii="Arial Narrow" w:hAnsi="Arial Narrow"/>
              </w:rPr>
              <w:t>Kontzejuak</w:t>
            </w:r>
          </w:p>
        </w:tc>
        <w:tc>
          <w:tcPr>
            <w:tcW w:w="728" w:type="pct"/>
            <w:tcBorders>
              <w:top w:val="single" w:sz="2" w:space="0" w:color="auto"/>
              <w:left w:val="nil"/>
              <w:bottom w:val="single" w:sz="2" w:space="0" w:color="auto"/>
              <w:right w:val="nil"/>
            </w:tcBorders>
            <w:shd w:val="clear" w:color="auto" w:fill="auto"/>
            <w:vAlign w:val="center"/>
            <w:hideMark/>
          </w:tcPr>
          <w:p w14:paraId="2EBD7A0E" w14:textId="77777777" w:rsidR="00EC4C05" w:rsidRPr="00033257" w:rsidRDefault="00EC4C05" w:rsidP="00787D6A">
            <w:pPr>
              <w:spacing w:after="0"/>
              <w:ind w:firstLine="0"/>
              <w:jc w:val="right"/>
              <w:rPr>
                <w:rFonts w:ascii="Arial Narrow" w:hAnsi="Arial Narrow" w:cs="Calibri"/>
              </w:rPr>
            </w:pPr>
            <w:r>
              <w:rPr>
                <w:rFonts w:ascii="Arial Narrow" w:hAnsi="Arial Narrow"/>
              </w:rPr>
              <w:t>346</w:t>
            </w:r>
          </w:p>
        </w:tc>
        <w:tc>
          <w:tcPr>
            <w:tcW w:w="726" w:type="pct"/>
            <w:tcBorders>
              <w:top w:val="single" w:sz="2" w:space="0" w:color="auto"/>
              <w:left w:val="nil"/>
              <w:bottom w:val="single" w:sz="2" w:space="0" w:color="auto"/>
              <w:right w:val="nil"/>
            </w:tcBorders>
            <w:shd w:val="clear" w:color="auto" w:fill="auto"/>
            <w:vAlign w:val="center"/>
            <w:hideMark/>
          </w:tcPr>
          <w:p w14:paraId="692299DE" w14:textId="77777777" w:rsidR="00EC4C05" w:rsidRPr="00033257" w:rsidRDefault="00EC4C05" w:rsidP="00787D6A">
            <w:pPr>
              <w:spacing w:after="0"/>
              <w:ind w:firstLine="0"/>
              <w:jc w:val="right"/>
              <w:rPr>
                <w:rFonts w:ascii="Arial Narrow" w:hAnsi="Arial Narrow" w:cs="Calibri"/>
              </w:rPr>
            </w:pPr>
            <w:r>
              <w:rPr>
                <w:rFonts w:ascii="Arial Narrow" w:hAnsi="Arial Narrow"/>
              </w:rPr>
              <w:t>346</w:t>
            </w:r>
          </w:p>
        </w:tc>
        <w:tc>
          <w:tcPr>
            <w:tcW w:w="724" w:type="pct"/>
            <w:tcBorders>
              <w:top w:val="single" w:sz="2" w:space="0" w:color="auto"/>
              <w:left w:val="nil"/>
              <w:bottom w:val="single" w:sz="2" w:space="0" w:color="auto"/>
              <w:right w:val="nil"/>
            </w:tcBorders>
            <w:vAlign w:val="center"/>
          </w:tcPr>
          <w:p w14:paraId="5D385CC9" w14:textId="77777777" w:rsidR="00EC4C05" w:rsidRPr="00033257" w:rsidRDefault="00EC4C05" w:rsidP="00787D6A">
            <w:pPr>
              <w:spacing w:after="0"/>
              <w:ind w:firstLine="0"/>
              <w:jc w:val="right"/>
              <w:rPr>
                <w:rFonts w:ascii="Arial Narrow" w:hAnsi="Arial Narrow" w:cs="Calibri"/>
              </w:rPr>
            </w:pPr>
            <w:r>
              <w:rPr>
                <w:rFonts w:ascii="Arial Narrow" w:hAnsi="Arial Narrow"/>
              </w:rPr>
              <w:t>346</w:t>
            </w:r>
          </w:p>
        </w:tc>
        <w:tc>
          <w:tcPr>
            <w:tcW w:w="724" w:type="pct"/>
            <w:tcBorders>
              <w:top w:val="single" w:sz="2" w:space="0" w:color="auto"/>
              <w:left w:val="nil"/>
              <w:bottom w:val="single" w:sz="2" w:space="0" w:color="auto"/>
              <w:right w:val="nil"/>
            </w:tcBorders>
            <w:vAlign w:val="center"/>
          </w:tcPr>
          <w:p w14:paraId="60D1FBDE" w14:textId="77777777" w:rsidR="00EC4C05" w:rsidRPr="00033257" w:rsidRDefault="00EC4C05" w:rsidP="00787D6A">
            <w:pPr>
              <w:spacing w:after="0"/>
              <w:ind w:firstLine="0"/>
              <w:jc w:val="right"/>
              <w:rPr>
                <w:rFonts w:ascii="Arial Narrow" w:hAnsi="Arial Narrow" w:cs="Arial"/>
                <w:iCs/>
              </w:rPr>
            </w:pPr>
            <w:r>
              <w:rPr>
                <w:rFonts w:ascii="Arial Narrow" w:hAnsi="Arial Narrow"/>
              </w:rPr>
              <w:t>346</w:t>
            </w:r>
          </w:p>
        </w:tc>
        <w:tc>
          <w:tcPr>
            <w:tcW w:w="724" w:type="pct"/>
            <w:tcBorders>
              <w:top w:val="single" w:sz="2" w:space="0" w:color="auto"/>
              <w:left w:val="nil"/>
              <w:bottom w:val="single" w:sz="2" w:space="0" w:color="auto"/>
              <w:right w:val="nil"/>
            </w:tcBorders>
          </w:tcPr>
          <w:p w14:paraId="3AE467AA" w14:textId="77777777" w:rsidR="00EC4C05" w:rsidRPr="00033257" w:rsidRDefault="00EC4C05" w:rsidP="00787D6A">
            <w:pPr>
              <w:spacing w:after="0"/>
              <w:ind w:firstLine="0"/>
              <w:jc w:val="right"/>
              <w:rPr>
                <w:rFonts w:ascii="Arial Narrow" w:hAnsi="Arial Narrow" w:cs="Arial"/>
                <w:iCs/>
              </w:rPr>
            </w:pPr>
            <w:r>
              <w:rPr>
                <w:rFonts w:ascii="Arial Narrow" w:hAnsi="Arial Narrow"/>
              </w:rPr>
              <w:t>346</w:t>
            </w:r>
          </w:p>
        </w:tc>
      </w:tr>
      <w:tr w:rsidR="00EC4C05" w:rsidRPr="00033257" w14:paraId="31E43F70" w14:textId="77777777" w:rsidTr="00787D6A">
        <w:trPr>
          <w:trHeight w:val="227"/>
        </w:trPr>
        <w:tc>
          <w:tcPr>
            <w:tcW w:w="1375" w:type="pct"/>
            <w:tcBorders>
              <w:top w:val="single" w:sz="2" w:space="0" w:color="auto"/>
              <w:left w:val="nil"/>
              <w:bottom w:val="single" w:sz="2" w:space="0" w:color="auto"/>
              <w:right w:val="nil"/>
            </w:tcBorders>
            <w:shd w:val="clear" w:color="auto" w:fill="auto"/>
            <w:vAlign w:val="center"/>
            <w:hideMark/>
          </w:tcPr>
          <w:p w14:paraId="7202B882" w14:textId="77777777" w:rsidR="00EC4C05" w:rsidRPr="00033257" w:rsidRDefault="00EC4C05" w:rsidP="00787D6A">
            <w:pPr>
              <w:spacing w:after="0"/>
              <w:ind w:firstLine="0"/>
              <w:rPr>
                <w:rFonts w:ascii="Arial Narrow" w:hAnsi="Arial Narrow" w:cs="Calibri"/>
              </w:rPr>
            </w:pPr>
            <w:r>
              <w:rPr>
                <w:rFonts w:ascii="Arial Narrow" w:hAnsi="Arial Narrow"/>
              </w:rPr>
              <w:t xml:space="preserve">Mankomunitateak </w:t>
            </w:r>
            <w:r>
              <w:rPr>
                <w:rFonts w:ascii="Arial Narrow" w:hAnsi="Arial Narrow"/>
                <w:vertAlign w:val="superscript"/>
              </w:rPr>
              <w:t>(2)</w:t>
            </w:r>
          </w:p>
        </w:tc>
        <w:tc>
          <w:tcPr>
            <w:tcW w:w="728" w:type="pct"/>
            <w:tcBorders>
              <w:top w:val="single" w:sz="2" w:space="0" w:color="auto"/>
              <w:left w:val="nil"/>
              <w:bottom w:val="single" w:sz="2" w:space="0" w:color="auto"/>
              <w:right w:val="nil"/>
            </w:tcBorders>
            <w:shd w:val="clear" w:color="auto" w:fill="auto"/>
            <w:vAlign w:val="center"/>
            <w:hideMark/>
          </w:tcPr>
          <w:p w14:paraId="04C1D538" w14:textId="77777777" w:rsidR="00EC4C05" w:rsidRPr="00033257" w:rsidRDefault="00EC4C05" w:rsidP="00787D6A">
            <w:pPr>
              <w:spacing w:after="0"/>
              <w:ind w:firstLine="0"/>
              <w:jc w:val="right"/>
              <w:rPr>
                <w:rFonts w:ascii="Arial Narrow" w:hAnsi="Arial Narrow" w:cs="Calibri"/>
              </w:rPr>
            </w:pPr>
            <w:r>
              <w:rPr>
                <w:rFonts w:ascii="Arial Narrow" w:hAnsi="Arial Narrow"/>
              </w:rPr>
              <w:t>62</w:t>
            </w:r>
          </w:p>
        </w:tc>
        <w:tc>
          <w:tcPr>
            <w:tcW w:w="726" w:type="pct"/>
            <w:tcBorders>
              <w:top w:val="single" w:sz="2" w:space="0" w:color="auto"/>
              <w:left w:val="nil"/>
              <w:bottom w:val="single" w:sz="2" w:space="0" w:color="auto"/>
              <w:right w:val="nil"/>
            </w:tcBorders>
            <w:shd w:val="clear" w:color="auto" w:fill="auto"/>
            <w:vAlign w:val="center"/>
            <w:hideMark/>
          </w:tcPr>
          <w:p w14:paraId="74A1FE53" w14:textId="77777777" w:rsidR="00EC4C05" w:rsidRPr="00033257" w:rsidRDefault="00EC4C05" w:rsidP="00787D6A">
            <w:pPr>
              <w:spacing w:after="0"/>
              <w:ind w:firstLine="0"/>
              <w:jc w:val="right"/>
              <w:rPr>
                <w:rFonts w:ascii="Arial Narrow" w:hAnsi="Arial Narrow" w:cs="Calibri"/>
              </w:rPr>
            </w:pPr>
            <w:r>
              <w:rPr>
                <w:rFonts w:ascii="Arial Narrow" w:hAnsi="Arial Narrow"/>
              </w:rPr>
              <w:t>62</w:t>
            </w:r>
          </w:p>
        </w:tc>
        <w:tc>
          <w:tcPr>
            <w:tcW w:w="724" w:type="pct"/>
            <w:tcBorders>
              <w:top w:val="single" w:sz="2" w:space="0" w:color="auto"/>
              <w:left w:val="nil"/>
              <w:bottom w:val="single" w:sz="2" w:space="0" w:color="auto"/>
              <w:right w:val="nil"/>
            </w:tcBorders>
            <w:vAlign w:val="center"/>
          </w:tcPr>
          <w:p w14:paraId="1F4B6E9B" w14:textId="77777777" w:rsidR="00EC4C05" w:rsidRPr="00033257" w:rsidRDefault="00EC4C05" w:rsidP="00787D6A">
            <w:pPr>
              <w:spacing w:after="0"/>
              <w:ind w:firstLine="0"/>
              <w:jc w:val="right"/>
              <w:rPr>
                <w:rFonts w:ascii="Arial Narrow" w:hAnsi="Arial Narrow" w:cs="Calibri"/>
              </w:rPr>
            </w:pPr>
            <w:r>
              <w:rPr>
                <w:rFonts w:ascii="Arial Narrow" w:hAnsi="Arial Narrow"/>
              </w:rPr>
              <w:t>62</w:t>
            </w:r>
          </w:p>
        </w:tc>
        <w:tc>
          <w:tcPr>
            <w:tcW w:w="724" w:type="pct"/>
            <w:tcBorders>
              <w:top w:val="single" w:sz="2" w:space="0" w:color="auto"/>
              <w:left w:val="nil"/>
              <w:bottom w:val="single" w:sz="2" w:space="0" w:color="auto"/>
              <w:right w:val="nil"/>
            </w:tcBorders>
            <w:vAlign w:val="center"/>
          </w:tcPr>
          <w:p w14:paraId="2C2AE343" w14:textId="77777777" w:rsidR="00EC4C05" w:rsidRPr="00033257" w:rsidRDefault="00EC4C05" w:rsidP="00787D6A">
            <w:pPr>
              <w:spacing w:after="0"/>
              <w:ind w:firstLine="0"/>
              <w:jc w:val="right"/>
              <w:rPr>
                <w:rFonts w:ascii="Arial Narrow" w:hAnsi="Arial Narrow" w:cs="Arial"/>
                <w:iCs/>
              </w:rPr>
            </w:pPr>
            <w:r>
              <w:rPr>
                <w:rFonts w:ascii="Arial Narrow" w:hAnsi="Arial Narrow"/>
              </w:rPr>
              <w:t>62</w:t>
            </w:r>
          </w:p>
        </w:tc>
        <w:tc>
          <w:tcPr>
            <w:tcW w:w="724" w:type="pct"/>
            <w:tcBorders>
              <w:top w:val="single" w:sz="2" w:space="0" w:color="auto"/>
              <w:left w:val="nil"/>
              <w:bottom w:val="single" w:sz="2" w:space="0" w:color="auto"/>
              <w:right w:val="nil"/>
            </w:tcBorders>
          </w:tcPr>
          <w:p w14:paraId="42660BC9" w14:textId="77777777" w:rsidR="00EC4C05" w:rsidRPr="00033257" w:rsidRDefault="00EC4C05" w:rsidP="00787D6A">
            <w:pPr>
              <w:spacing w:after="0"/>
              <w:ind w:firstLine="0"/>
              <w:jc w:val="right"/>
              <w:rPr>
                <w:rFonts w:ascii="Arial Narrow" w:hAnsi="Arial Narrow" w:cs="Arial"/>
                <w:iCs/>
              </w:rPr>
            </w:pPr>
            <w:r>
              <w:rPr>
                <w:rFonts w:ascii="Arial Narrow" w:hAnsi="Arial Narrow"/>
              </w:rPr>
              <w:t>62</w:t>
            </w:r>
          </w:p>
        </w:tc>
      </w:tr>
      <w:tr w:rsidR="00EC4C05" w:rsidRPr="00033257" w14:paraId="796E6B21" w14:textId="77777777" w:rsidTr="00787D6A">
        <w:trPr>
          <w:trHeight w:val="227"/>
        </w:trPr>
        <w:tc>
          <w:tcPr>
            <w:tcW w:w="1375" w:type="pct"/>
            <w:tcBorders>
              <w:top w:val="single" w:sz="2" w:space="0" w:color="auto"/>
              <w:left w:val="nil"/>
              <w:bottom w:val="single" w:sz="4" w:space="0" w:color="auto"/>
              <w:right w:val="nil"/>
            </w:tcBorders>
            <w:shd w:val="clear" w:color="auto" w:fill="auto"/>
            <w:vAlign w:val="center"/>
            <w:hideMark/>
          </w:tcPr>
          <w:p w14:paraId="3EB471D7" w14:textId="77777777" w:rsidR="00EC4C05" w:rsidRPr="00033257" w:rsidRDefault="00EC4C05" w:rsidP="00787D6A">
            <w:pPr>
              <w:spacing w:after="0"/>
              <w:ind w:firstLine="0"/>
              <w:rPr>
                <w:rFonts w:ascii="Arial Narrow" w:hAnsi="Arial Narrow" w:cs="Calibri"/>
              </w:rPr>
            </w:pPr>
            <w:r>
              <w:rPr>
                <w:rFonts w:ascii="Arial Narrow" w:hAnsi="Arial Narrow"/>
              </w:rPr>
              <w:t xml:space="preserve">Elkarteak </w:t>
            </w:r>
            <w:r>
              <w:rPr>
                <w:rFonts w:ascii="Arial Narrow" w:hAnsi="Arial Narrow"/>
                <w:vertAlign w:val="superscript"/>
              </w:rPr>
              <w:t>(3)</w:t>
            </w:r>
          </w:p>
        </w:tc>
        <w:tc>
          <w:tcPr>
            <w:tcW w:w="728" w:type="pct"/>
            <w:tcBorders>
              <w:top w:val="single" w:sz="2" w:space="0" w:color="auto"/>
              <w:left w:val="nil"/>
              <w:bottom w:val="single" w:sz="4" w:space="0" w:color="auto"/>
              <w:right w:val="nil"/>
            </w:tcBorders>
            <w:shd w:val="clear" w:color="auto" w:fill="auto"/>
            <w:vAlign w:val="center"/>
            <w:hideMark/>
          </w:tcPr>
          <w:p w14:paraId="346E8674" w14:textId="77777777" w:rsidR="00EC4C05" w:rsidRPr="00033257" w:rsidRDefault="00EC4C05" w:rsidP="00787D6A">
            <w:pPr>
              <w:spacing w:after="0"/>
              <w:ind w:firstLine="0"/>
              <w:jc w:val="right"/>
              <w:rPr>
                <w:rFonts w:ascii="Arial Narrow" w:hAnsi="Arial Narrow" w:cs="Calibri"/>
              </w:rPr>
            </w:pPr>
            <w:r>
              <w:rPr>
                <w:rFonts w:ascii="Arial Narrow" w:hAnsi="Arial Narrow"/>
              </w:rPr>
              <w:t>23</w:t>
            </w:r>
          </w:p>
        </w:tc>
        <w:tc>
          <w:tcPr>
            <w:tcW w:w="726" w:type="pct"/>
            <w:tcBorders>
              <w:top w:val="single" w:sz="2" w:space="0" w:color="auto"/>
              <w:left w:val="nil"/>
              <w:bottom w:val="single" w:sz="4" w:space="0" w:color="auto"/>
              <w:right w:val="nil"/>
            </w:tcBorders>
            <w:shd w:val="clear" w:color="auto" w:fill="auto"/>
            <w:vAlign w:val="center"/>
            <w:hideMark/>
          </w:tcPr>
          <w:p w14:paraId="07581EC8" w14:textId="77777777" w:rsidR="00EC4C05" w:rsidRPr="00033257" w:rsidRDefault="00EC4C05" w:rsidP="00787D6A">
            <w:pPr>
              <w:spacing w:after="0"/>
              <w:ind w:firstLine="0"/>
              <w:jc w:val="right"/>
              <w:rPr>
                <w:rFonts w:ascii="Arial Narrow" w:hAnsi="Arial Narrow" w:cs="Calibri"/>
              </w:rPr>
            </w:pPr>
            <w:r>
              <w:rPr>
                <w:rFonts w:ascii="Arial Narrow" w:hAnsi="Arial Narrow"/>
              </w:rPr>
              <w:t>22</w:t>
            </w:r>
          </w:p>
        </w:tc>
        <w:tc>
          <w:tcPr>
            <w:tcW w:w="724" w:type="pct"/>
            <w:tcBorders>
              <w:top w:val="single" w:sz="2" w:space="0" w:color="auto"/>
              <w:left w:val="nil"/>
              <w:bottom w:val="single" w:sz="4" w:space="0" w:color="auto"/>
              <w:right w:val="nil"/>
            </w:tcBorders>
            <w:vAlign w:val="center"/>
          </w:tcPr>
          <w:p w14:paraId="43538BBD" w14:textId="77777777" w:rsidR="00EC4C05" w:rsidRPr="00033257" w:rsidRDefault="00EC4C05" w:rsidP="00787D6A">
            <w:pPr>
              <w:spacing w:after="0"/>
              <w:ind w:firstLine="0"/>
              <w:jc w:val="right"/>
              <w:rPr>
                <w:rFonts w:ascii="Arial Narrow" w:hAnsi="Arial Narrow" w:cs="Calibri"/>
              </w:rPr>
            </w:pPr>
            <w:r>
              <w:rPr>
                <w:rFonts w:ascii="Arial Narrow" w:hAnsi="Arial Narrow"/>
              </w:rPr>
              <w:t>22</w:t>
            </w:r>
          </w:p>
        </w:tc>
        <w:tc>
          <w:tcPr>
            <w:tcW w:w="724" w:type="pct"/>
            <w:tcBorders>
              <w:top w:val="single" w:sz="2" w:space="0" w:color="auto"/>
              <w:left w:val="nil"/>
              <w:bottom w:val="single" w:sz="4" w:space="0" w:color="auto"/>
              <w:right w:val="nil"/>
            </w:tcBorders>
            <w:vAlign w:val="center"/>
          </w:tcPr>
          <w:p w14:paraId="27287505" w14:textId="77777777" w:rsidR="00EC4C05" w:rsidRPr="00033257" w:rsidRDefault="00EC4C05" w:rsidP="00787D6A">
            <w:pPr>
              <w:spacing w:after="0"/>
              <w:ind w:firstLine="0"/>
              <w:jc w:val="right"/>
              <w:rPr>
                <w:rFonts w:ascii="Arial Narrow" w:hAnsi="Arial Narrow" w:cs="Arial"/>
                <w:iCs/>
              </w:rPr>
            </w:pPr>
            <w:r>
              <w:rPr>
                <w:rFonts w:ascii="Arial Narrow" w:hAnsi="Arial Narrow"/>
              </w:rPr>
              <w:t>22</w:t>
            </w:r>
          </w:p>
        </w:tc>
        <w:tc>
          <w:tcPr>
            <w:tcW w:w="724" w:type="pct"/>
            <w:tcBorders>
              <w:top w:val="single" w:sz="2" w:space="0" w:color="auto"/>
              <w:left w:val="nil"/>
              <w:bottom w:val="single" w:sz="4" w:space="0" w:color="auto"/>
              <w:right w:val="nil"/>
            </w:tcBorders>
          </w:tcPr>
          <w:p w14:paraId="4C89F634" w14:textId="77777777" w:rsidR="00EC4C05" w:rsidRPr="00033257" w:rsidRDefault="00EC4C05" w:rsidP="00787D6A">
            <w:pPr>
              <w:spacing w:after="0"/>
              <w:ind w:firstLine="0"/>
              <w:jc w:val="right"/>
              <w:rPr>
                <w:rFonts w:ascii="Arial Narrow" w:hAnsi="Arial Narrow" w:cs="Arial"/>
                <w:iCs/>
              </w:rPr>
            </w:pPr>
            <w:r>
              <w:rPr>
                <w:rFonts w:ascii="Arial Narrow" w:hAnsi="Arial Narrow"/>
              </w:rPr>
              <w:t>22</w:t>
            </w:r>
          </w:p>
        </w:tc>
      </w:tr>
      <w:tr w:rsidR="00EC4C05" w:rsidRPr="00787D6A" w14:paraId="6BC83D43" w14:textId="77777777" w:rsidTr="00787D6A">
        <w:trPr>
          <w:trHeight w:val="255"/>
        </w:trPr>
        <w:tc>
          <w:tcPr>
            <w:tcW w:w="1375" w:type="pct"/>
            <w:tcBorders>
              <w:top w:val="nil"/>
              <w:left w:val="nil"/>
              <w:bottom w:val="single" w:sz="4" w:space="0" w:color="auto"/>
              <w:right w:val="nil"/>
            </w:tcBorders>
            <w:shd w:val="clear" w:color="auto" w:fill="FABF8F" w:themeFill="accent6" w:themeFillTint="99"/>
            <w:vAlign w:val="center"/>
            <w:hideMark/>
          </w:tcPr>
          <w:p w14:paraId="51E8FDB7" w14:textId="77777777" w:rsidR="00EC4C05" w:rsidRPr="00787D6A" w:rsidRDefault="00EC4C05" w:rsidP="00787D6A">
            <w:pPr>
              <w:pStyle w:val="cuadroCabe"/>
              <w:spacing w:line="240" w:lineRule="auto"/>
              <w:rPr>
                <w:rFonts w:cs="Arial"/>
                <w:szCs w:val="18"/>
              </w:rPr>
            </w:pPr>
            <w:r>
              <w:t>Guztira</w:t>
            </w:r>
          </w:p>
        </w:tc>
        <w:tc>
          <w:tcPr>
            <w:tcW w:w="728" w:type="pct"/>
            <w:tcBorders>
              <w:top w:val="nil"/>
              <w:left w:val="nil"/>
              <w:bottom w:val="single" w:sz="4" w:space="0" w:color="auto"/>
              <w:right w:val="nil"/>
            </w:tcBorders>
            <w:shd w:val="clear" w:color="auto" w:fill="FABF8F" w:themeFill="accent6" w:themeFillTint="99"/>
            <w:vAlign w:val="center"/>
            <w:hideMark/>
          </w:tcPr>
          <w:p w14:paraId="3D111DEA" w14:textId="77777777" w:rsidR="00EC4C05" w:rsidRPr="00787D6A" w:rsidRDefault="00EC4C05" w:rsidP="00787D6A">
            <w:pPr>
              <w:pStyle w:val="cuadroCabe"/>
              <w:spacing w:line="240" w:lineRule="auto"/>
              <w:jc w:val="right"/>
              <w:rPr>
                <w:rFonts w:cs="Arial"/>
                <w:szCs w:val="18"/>
              </w:rPr>
            </w:pPr>
            <w:r>
              <w:t>703</w:t>
            </w:r>
          </w:p>
        </w:tc>
        <w:tc>
          <w:tcPr>
            <w:tcW w:w="726" w:type="pct"/>
            <w:tcBorders>
              <w:top w:val="nil"/>
              <w:left w:val="nil"/>
              <w:bottom w:val="single" w:sz="4" w:space="0" w:color="auto"/>
              <w:right w:val="nil"/>
            </w:tcBorders>
            <w:shd w:val="clear" w:color="auto" w:fill="FABF8F" w:themeFill="accent6" w:themeFillTint="99"/>
            <w:vAlign w:val="center"/>
            <w:hideMark/>
          </w:tcPr>
          <w:p w14:paraId="27A7BCAC" w14:textId="77777777" w:rsidR="00EC4C05" w:rsidRPr="00787D6A" w:rsidRDefault="00EC4C05" w:rsidP="00787D6A">
            <w:pPr>
              <w:pStyle w:val="cuadroCabe"/>
              <w:spacing w:line="240" w:lineRule="auto"/>
              <w:jc w:val="right"/>
              <w:rPr>
                <w:rFonts w:cs="Arial"/>
                <w:szCs w:val="18"/>
              </w:rPr>
            </w:pPr>
            <w:r>
              <w:t>702</w:t>
            </w:r>
          </w:p>
        </w:tc>
        <w:tc>
          <w:tcPr>
            <w:tcW w:w="724" w:type="pct"/>
            <w:tcBorders>
              <w:top w:val="nil"/>
              <w:left w:val="nil"/>
              <w:bottom w:val="single" w:sz="4" w:space="0" w:color="auto"/>
              <w:right w:val="nil"/>
            </w:tcBorders>
            <w:shd w:val="clear" w:color="auto" w:fill="FABF8F" w:themeFill="accent6" w:themeFillTint="99"/>
            <w:vAlign w:val="center"/>
          </w:tcPr>
          <w:p w14:paraId="7103304A" w14:textId="77777777" w:rsidR="00EC4C05" w:rsidRPr="00787D6A" w:rsidRDefault="00EC4C05" w:rsidP="00787D6A">
            <w:pPr>
              <w:pStyle w:val="cuadroCabe"/>
              <w:spacing w:line="240" w:lineRule="auto"/>
              <w:jc w:val="right"/>
              <w:rPr>
                <w:rFonts w:cs="Arial"/>
                <w:szCs w:val="18"/>
              </w:rPr>
            </w:pPr>
            <w:r>
              <w:t>702</w:t>
            </w:r>
          </w:p>
        </w:tc>
        <w:tc>
          <w:tcPr>
            <w:tcW w:w="724" w:type="pct"/>
            <w:tcBorders>
              <w:top w:val="nil"/>
              <w:left w:val="nil"/>
              <w:bottom w:val="single" w:sz="4" w:space="0" w:color="auto"/>
              <w:right w:val="nil"/>
            </w:tcBorders>
            <w:shd w:val="clear" w:color="auto" w:fill="FABF8F" w:themeFill="accent6" w:themeFillTint="99"/>
            <w:vAlign w:val="center"/>
          </w:tcPr>
          <w:p w14:paraId="55C13618" w14:textId="77777777" w:rsidR="00EC4C05" w:rsidRPr="00787D6A" w:rsidRDefault="00EC4C05" w:rsidP="00787D6A">
            <w:pPr>
              <w:pStyle w:val="cuadroCabe"/>
              <w:spacing w:line="240" w:lineRule="auto"/>
              <w:jc w:val="right"/>
              <w:rPr>
                <w:rFonts w:cs="Arial"/>
                <w:szCs w:val="18"/>
              </w:rPr>
            </w:pPr>
            <w:r>
              <w:t>702</w:t>
            </w:r>
          </w:p>
        </w:tc>
        <w:tc>
          <w:tcPr>
            <w:tcW w:w="724" w:type="pct"/>
            <w:tcBorders>
              <w:top w:val="nil"/>
              <w:left w:val="nil"/>
              <w:bottom w:val="single" w:sz="4" w:space="0" w:color="auto"/>
              <w:right w:val="nil"/>
            </w:tcBorders>
            <w:shd w:val="clear" w:color="auto" w:fill="FABF8F" w:themeFill="accent6" w:themeFillTint="99"/>
          </w:tcPr>
          <w:p w14:paraId="22FA8577" w14:textId="77777777" w:rsidR="00EC4C05" w:rsidRPr="00787D6A" w:rsidRDefault="00EC4C05" w:rsidP="00787D6A">
            <w:pPr>
              <w:pStyle w:val="cuadroCabe"/>
              <w:spacing w:line="240" w:lineRule="auto"/>
              <w:jc w:val="right"/>
              <w:rPr>
                <w:rFonts w:cs="Arial"/>
                <w:szCs w:val="18"/>
              </w:rPr>
            </w:pPr>
            <w:r>
              <w:t>702</w:t>
            </w:r>
          </w:p>
        </w:tc>
      </w:tr>
    </w:tbl>
    <w:p w14:paraId="6D129564" w14:textId="14F8330B" w:rsidR="00EC4C05" w:rsidRPr="00033257" w:rsidRDefault="00787D6A" w:rsidP="00D71C47">
      <w:pPr>
        <w:pStyle w:val="recomen"/>
        <w:numPr>
          <w:ilvl w:val="0"/>
          <w:numId w:val="0"/>
        </w:numPr>
        <w:spacing w:before="60" w:after="0"/>
        <w:rPr>
          <w:rFonts w:ascii="Arial" w:hAnsi="Arial" w:cs="Arial"/>
          <w:i w:val="0"/>
          <w:sz w:val="14"/>
          <w:szCs w:val="14"/>
        </w:rPr>
      </w:pPr>
      <w:r>
        <w:rPr>
          <w:rFonts w:ascii="Arial" w:hAnsi="Arial"/>
          <w:i w:val="0"/>
          <w:sz w:val="14"/>
          <w:vertAlign w:val="superscript"/>
        </w:rPr>
        <w:t>(1)</w:t>
      </w:r>
      <w:r>
        <w:rPr>
          <w:rFonts w:ascii="Arial" w:hAnsi="Arial"/>
          <w:i w:val="0"/>
          <w:sz w:val="14"/>
        </w:rPr>
        <w:t xml:space="preserve"> 60 udal konposatuak dira.</w:t>
      </w:r>
    </w:p>
    <w:p w14:paraId="34154B01" w14:textId="68E92ED5" w:rsidR="00EC4C05" w:rsidRPr="00787D6A" w:rsidRDefault="00787D6A" w:rsidP="00D71C47">
      <w:pPr>
        <w:pStyle w:val="recomen"/>
        <w:numPr>
          <w:ilvl w:val="0"/>
          <w:numId w:val="0"/>
        </w:numPr>
        <w:spacing w:before="60" w:after="0"/>
        <w:rPr>
          <w:rFonts w:ascii="Arial" w:hAnsi="Arial" w:cs="Arial"/>
          <w:i w:val="0"/>
          <w:sz w:val="14"/>
          <w:szCs w:val="14"/>
        </w:rPr>
      </w:pPr>
      <w:r>
        <w:rPr>
          <w:rFonts w:ascii="Arial" w:hAnsi="Arial"/>
          <w:i w:val="0"/>
          <w:sz w:val="14"/>
          <w:vertAlign w:val="superscript"/>
        </w:rPr>
        <w:t>(2)</w:t>
      </w:r>
      <w:r>
        <w:rPr>
          <w:rFonts w:ascii="Arial" w:hAnsi="Arial"/>
          <w:i w:val="0"/>
          <w:sz w:val="14"/>
        </w:rPr>
        <w:t xml:space="preserve"> Berragu Liburutegi Zerbitzuen Mankomunitatea barne hartzen du. Mankomunitate hori Toki-entitateen Erregistroan alta eman zuen 2021ean, baina gutxienez 2001etik existitzen da; beraz, aurreko urteetako datuak aldatu ditugu.</w:t>
      </w:r>
    </w:p>
    <w:p w14:paraId="0DE4B5B7" w14:textId="41CA5D51" w:rsidR="00EC4C05" w:rsidRPr="00033257" w:rsidRDefault="00787D6A" w:rsidP="00D71C47">
      <w:pPr>
        <w:pStyle w:val="recomen"/>
        <w:numPr>
          <w:ilvl w:val="0"/>
          <w:numId w:val="0"/>
        </w:numPr>
        <w:spacing w:before="60" w:after="0"/>
        <w:rPr>
          <w:rFonts w:ascii="Arial" w:hAnsi="Arial" w:cs="Arial"/>
          <w:i w:val="0"/>
          <w:sz w:val="14"/>
          <w:szCs w:val="14"/>
        </w:rPr>
      </w:pPr>
      <w:r>
        <w:rPr>
          <w:rFonts w:ascii="Arial" w:hAnsi="Arial"/>
          <w:i w:val="0"/>
          <w:sz w:val="14"/>
          <w:vertAlign w:val="superscript"/>
        </w:rPr>
        <w:t>(3)</w:t>
      </w:r>
      <w:r>
        <w:rPr>
          <w:rFonts w:ascii="Arial" w:hAnsi="Arial"/>
          <w:i w:val="0"/>
          <w:sz w:val="14"/>
        </w:rPr>
        <w:t xml:space="preserve"> Ohiturazko elkarteak eta udalerrietako elkarteak.</w:t>
      </w:r>
    </w:p>
    <w:p w14:paraId="68FD1B87" w14:textId="5049C2EE" w:rsidR="3710BB4A" w:rsidRPr="00033257" w:rsidRDefault="3710BB4A" w:rsidP="3710BB4A">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pPr>
    </w:p>
    <w:p w14:paraId="5E5A0405" w14:textId="1DAE413B" w:rsidR="00EC4C05" w:rsidRPr="00033257" w:rsidRDefault="6A28BBB8" w:rsidP="00787D6A">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spacing w:val="2"/>
        </w:rPr>
      </w:pPr>
      <w:r>
        <w:t xml:space="preserve">Ez zen toki-entitateen altarik edo bajarik egon 2021ean. </w:t>
      </w:r>
    </w:p>
    <w:p w14:paraId="28C31141" w14:textId="000881D4" w:rsidR="00EC4C05" w:rsidRPr="00033257" w:rsidRDefault="6A28BBB8" w:rsidP="00787D6A">
      <w:pPr>
        <w:pStyle w:val="texto"/>
        <w:spacing w:after="240"/>
      </w:pPr>
      <w:r>
        <w:t>2017tik 2021era bitarteko aldian honako hau da erakunde autonomoen, toki-entitate bat jabe bakarra duten merkataritza sozietateen, toki fundazio publikoen eta partzuergoen kopurua:</w:t>
      </w:r>
    </w:p>
    <w:tbl>
      <w:tblPr>
        <w:tblW w:w="4994" w:type="pct"/>
        <w:tblCellMar>
          <w:left w:w="70" w:type="dxa"/>
          <w:right w:w="70" w:type="dxa"/>
        </w:tblCellMar>
        <w:tblLook w:val="04A0" w:firstRow="1" w:lastRow="0" w:firstColumn="1" w:lastColumn="0" w:noHBand="0" w:noVBand="1"/>
      </w:tblPr>
      <w:tblGrid>
        <w:gridCol w:w="2284"/>
        <w:gridCol w:w="160"/>
        <w:gridCol w:w="1245"/>
        <w:gridCol w:w="1274"/>
        <w:gridCol w:w="1274"/>
        <w:gridCol w:w="1276"/>
        <w:gridCol w:w="1264"/>
      </w:tblGrid>
      <w:tr w:rsidR="00EC4C05" w:rsidRPr="00033257" w14:paraId="44F344C7" w14:textId="77777777" w:rsidTr="009923A5">
        <w:trPr>
          <w:trHeight w:val="255"/>
        </w:trPr>
        <w:tc>
          <w:tcPr>
            <w:tcW w:w="1301" w:type="pct"/>
            <w:tcBorders>
              <w:top w:val="single" w:sz="4" w:space="0" w:color="auto"/>
              <w:left w:val="nil"/>
              <w:bottom w:val="single" w:sz="4" w:space="0" w:color="auto"/>
              <w:right w:val="nil"/>
            </w:tcBorders>
            <w:shd w:val="clear" w:color="auto" w:fill="FABF8F" w:themeFill="accent6" w:themeFillTint="99"/>
            <w:vAlign w:val="center"/>
            <w:hideMark/>
          </w:tcPr>
          <w:p w14:paraId="03A5926C" w14:textId="77777777" w:rsidR="00EC4C05" w:rsidRPr="00033257" w:rsidRDefault="00EC4C05" w:rsidP="00787D6A">
            <w:pPr>
              <w:pStyle w:val="cuadroCabe"/>
              <w:spacing w:line="240" w:lineRule="auto"/>
              <w:rPr>
                <w:rFonts w:ascii="Arial Narrow" w:hAnsi="Arial Narrow"/>
                <w:sz w:val="20"/>
                <w:szCs w:val="20"/>
              </w:rPr>
            </w:pPr>
            <w:r>
              <w:rPr>
                <w:rFonts w:ascii="Arial Narrow" w:hAnsi="Arial Narrow"/>
                <w:sz w:val="20"/>
              </w:rPr>
              <w:t>Entitatea</w:t>
            </w:r>
          </w:p>
        </w:tc>
        <w:tc>
          <w:tcPr>
            <w:tcW w:w="91" w:type="pct"/>
            <w:tcBorders>
              <w:top w:val="single" w:sz="4" w:space="0" w:color="auto"/>
              <w:left w:val="nil"/>
              <w:bottom w:val="single" w:sz="4" w:space="0" w:color="auto"/>
              <w:right w:val="nil"/>
            </w:tcBorders>
            <w:shd w:val="clear" w:color="auto" w:fill="FABF8F" w:themeFill="accent6" w:themeFillTint="99"/>
            <w:vAlign w:val="center"/>
          </w:tcPr>
          <w:p w14:paraId="66204FF1" w14:textId="77777777" w:rsidR="00EC4C05" w:rsidRPr="00033257" w:rsidRDefault="00EC4C05" w:rsidP="00787D6A">
            <w:pPr>
              <w:pStyle w:val="cuadroCabe"/>
              <w:spacing w:line="240" w:lineRule="auto"/>
              <w:rPr>
                <w:rFonts w:ascii="Arial Narrow" w:hAnsi="Arial Narrow"/>
                <w:sz w:val="20"/>
                <w:szCs w:val="20"/>
                <w:lang w:val="es-ES" w:eastAsia="es-ES"/>
              </w:rPr>
            </w:pPr>
          </w:p>
        </w:tc>
        <w:tc>
          <w:tcPr>
            <w:tcW w:w="709" w:type="pct"/>
            <w:tcBorders>
              <w:top w:val="single" w:sz="4" w:space="0" w:color="auto"/>
              <w:left w:val="nil"/>
              <w:bottom w:val="single" w:sz="4" w:space="0" w:color="auto"/>
              <w:right w:val="nil"/>
            </w:tcBorders>
            <w:shd w:val="clear" w:color="auto" w:fill="FABF8F" w:themeFill="accent6" w:themeFillTint="99"/>
            <w:vAlign w:val="center"/>
            <w:hideMark/>
          </w:tcPr>
          <w:p w14:paraId="6CD3E1A9"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2017</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145E21DF"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2018</w:t>
            </w:r>
          </w:p>
        </w:tc>
        <w:tc>
          <w:tcPr>
            <w:tcW w:w="726" w:type="pct"/>
            <w:tcBorders>
              <w:top w:val="single" w:sz="4" w:space="0" w:color="auto"/>
              <w:left w:val="nil"/>
              <w:bottom w:val="single" w:sz="4" w:space="0" w:color="auto"/>
              <w:right w:val="nil"/>
            </w:tcBorders>
            <w:shd w:val="clear" w:color="auto" w:fill="FABF8F" w:themeFill="accent6" w:themeFillTint="99"/>
            <w:vAlign w:val="center"/>
          </w:tcPr>
          <w:p w14:paraId="59DEC491"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2019</w:t>
            </w:r>
          </w:p>
        </w:tc>
        <w:tc>
          <w:tcPr>
            <w:tcW w:w="727" w:type="pct"/>
            <w:tcBorders>
              <w:top w:val="single" w:sz="4" w:space="0" w:color="auto"/>
              <w:left w:val="nil"/>
              <w:bottom w:val="single" w:sz="4" w:space="0" w:color="auto"/>
              <w:right w:val="nil"/>
            </w:tcBorders>
            <w:shd w:val="clear" w:color="auto" w:fill="FABF8F" w:themeFill="accent6" w:themeFillTint="99"/>
            <w:vAlign w:val="center"/>
          </w:tcPr>
          <w:p w14:paraId="77F781D2"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2020</w:t>
            </w:r>
          </w:p>
        </w:tc>
        <w:tc>
          <w:tcPr>
            <w:tcW w:w="720" w:type="pct"/>
            <w:tcBorders>
              <w:top w:val="single" w:sz="4" w:space="0" w:color="auto"/>
              <w:left w:val="nil"/>
              <w:bottom w:val="single" w:sz="4" w:space="0" w:color="auto"/>
              <w:right w:val="nil"/>
            </w:tcBorders>
            <w:shd w:val="clear" w:color="auto" w:fill="FABF8F" w:themeFill="accent6" w:themeFillTint="99"/>
            <w:vAlign w:val="center"/>
          </w:tcPr>
          <w:p w14:paraId="1897C7B7"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2021</w:t>
            </w:r>
          </w:p>
        </w:tc>
      </w:tr>
      <w:tr w:rsidR="00EC4C05" w:rsidRPr="00033257" w14:paraId="73CCC4F9" w14:textId="77777777" w:rsidTr="009923A5">
        <w:trPr>
          <w:trHeight w:val="227"/>
        </w:trPr>
        <w:tc>
          <w:tcPr>
            <w:tcW w:w="1301" w:type="pct"/>
            <w:tcBorders>
              <w:top w:val="nil"/>
              <w:left w:val="nil"/>
              <w:bottom w:val="single" w:sz="2" w:space="0" w:color="auto"/>
              <w:right w:val="nil"/>
            </w:tcBorders>
            <w:shd w:val="clear" w:color="auto" w:fill="auto"/>
            <w:vAlign w:val="center"/>
            <w:hideMark/>
          </w:tcPr>
          <w:p w14:paraId="184CFDA7" w14:textId="108E9355" w:rsidR="00EC4C05" w:rsidRPr="00033257" w:rsidRDefault="6A28BBB8" w:rsidP="00FF4C93">
            <w:pPr>
              <w:spacing w:after="0"/>
              <w:ind w:firstLine="0"/>
              <w:rPr>
                <w:rFonts w:ascii="Arial Narrow" w:hAnsi="Arial Narrow" w:cs="Calibri"/>
                <w:vertAlign w:val="superscript"/>
              </w:rPr>
            </w:pPr>
            <w:r>
              <w:rPr>
                <w:rFonts w:ascii="Arial Narrow" w:hAnsi="Arial Narrow"/>
              </w:rPr>
              <w:t>Erakunde autonomoak*</w:t>
            </w:r>
          </w:p>
        </w:tc>
        <w:tc>
          <w:tcPr>
            <w:tcW w:w="91" w:type="pct"/>
            <w:tcBorders>
              <w:top w:val="nil"/>
              <w:left w:val="nil"/>
              <w:bottom w:val="single" w:sz="2" w:space="0" w:color="auto"/>
              <w:right w:val="nil"/>
            </w:tcBorders>
            <w:shd w:val="clear" w:color="auto" w:fill="auto"/>
            <w:vAlign w:val="center"/>
          </w:tcPr>
          <w:p w14:paraId="2DBF0D7D" w14:textId="77777777" w:rsidR="00EC4C05" w:rsidRPr="00033257" w:rsidRDefault="00EC4C05" w:rsidP="00787D6A">
            <w:pPr>
              <w:spacing w:after="0"/>
              <w:ind w:left="125" w:hanging="125"/>
              <w:jc w:val="right"/>
              <w:rPr>
                <w:rFonts w:ascii="Arial Narrow" w:hAnsi="Arial Narrow" w:cs="Calibri"/>
                <w:lang w:val="es-ES" w:eastAsia="es-ES"/>
              </w:rPr>
            </w:pPr>
          </w:p>
        </w:tc>
        <w:tc>
          <w:tcPr>
            <w:tcW w:w="709" w:type="pct"/>
            <w:tcBorders>
              <w:top w:val="nil"/>
              <w:left w:val="nil"/>
              <w:bottom w:val="single" w:sz="2" w:space="0" w:color="auto"/>
              <w:right w:val="nil"/>
            </w:tcBorders>
            <w:shd w:val="clear" w:color="auto" w:fill="auto"/>
            <w:vAlign w:val="center"/>
            <w:hideMark/>
          </w:tcPr>
          <w:p w14:paraId="55440C04" w14:textId="77777777" w:rsidR="00EC4C05" w:rsidRPr="00033257" w:rsidRDefault="00EC4C05" w:rsidP="00787D6A">
            <w:pPr>
              <w:spacing w:after="0"/>
              <w:ind w:firstLine="0"/>
              <w:jc w:val="right"/>
              <w:rPr>
                <w:rFonts w:ascii="Arial Narrow" w:hAnsi="Arial Narrow" w:cs="Calibri"/>
              </w:rPr>
            </w:pPr>
            <w:r>
              <w:rPr>
                <w:rFonts w:ascii="Arial Narrow" w:hAnsi="Arial Narrow"/>
              </w:rPr>
              <w:t>64</w:t>
            </w:r>
          </w:p>
        </w:tc>
        <w:tc>
          <w:tcPr>
            <w:tcW w:w="726" w:type="pct"/>
            <w:tcBorders>
              <w:top w:val="nil"/>
              <w:left w:val="nil"/>
              <w:bottom w:val="single" w:sz="2" w:space="0" w:color="auto"/>
              <w:right w:val="nil"/>
            </w:tcBorders>
            <w:shd w:val="clear" w:color="auto" w:fill="auto"/>
            <w:vAlign w:val="center"/>
            <w:hideMark/>
          </w:tcPr>
          <w:p w14:paraId="5A3C3AB2" w14:textId="77777777" w:rsidR="00EC4C05" w:rsidRPr="00033257" w:rsidRDefault="00EC4C05" w:rsidP="00787D6A">
            <w:pPr>
              <w:spacing w:after="0"/>
              <w:ind w:firstLine="0"/>
              <w:jc w:val="right"/>
              <w:rPr>
                <w:rFonts w:ascii="Arial Narrow" w:hAnsi="Arial Narrow" w:cs="Calibri"/>
              </w:rPr>
            </w:pPr>
            <w:r>
              <w:rPr>
                <w:rFonts w:ascii="Arial Narrow" w:hAnsi="Arial Narrow"/>
              </w:rPr>
              <w:t>61</w:t>
            </w:r>
          </w:p>
        </w:tc>
        <w:tc>
          <w:tcPr>
            <w:tcW w:w="726" w:type="pct"/>
            <w:tcBorders>
              <w:top w:val="nil"/>
              <w:left w:val="nil"/>
              <w:bottom w:val="single" w:sz="2" w:space="0" w:color="auto"/>
              <w:right w:val="nil"/>
            </w:tcBorders>
            <w:vAlign w:val="center"/>
          </w:tcPr>
          <w:p w14:paraId="6E55690C" w14:textId="77777777" w:rsidR="00EC4C05" w:rsidRPr="00033257" w:rsidRDefault="00EC4C05" w:rsidP="00787D6A">
            <w:pPr>
              <w:spacing w:after="0"/>
              <w:ind w:firstLine="0"/>
              <w:jc w:val="right"/>
              <w:rPr>
                <w:rFonts w:ascii="Arial Narrow" w:hAnsi="Arial Narrow" w:cs="Calibri"/>
              </w:rPr>
            </w:pPr>
            <w:r>
              <w:rPr>
                <w:rFonts w:ascii="Arial Narrow" w:hAnsi="Arial Narrow"/>
              </w:rPr>
              <w:t>59</w:t>
            </w:r>
          </w:p>
        </w:tc>
        <w:tc>
          <w:tcPr>
            <w:tcW w:w="727" w:type="pct"/>
            <w:tcBorders>
              <w:top w:val="nil"/>
              <w:left w:val="nil"/>
              <w:bottom w:val="single" w:sz="2" w:space="0" w:color="auto"/>
              <w:right w:val="nil"/>
            </w:tcBorders>
            <w:vAlign w:val="center"/>
          </w:tcPr>
          <w:p w14:paraId="4D2760AF" w14:textId="77777777" w:rsidR="00EC4C05" w:rsidRPr="00033257" w:rsidRDefault="00EC4C05" w:rsidP="00787D6A">
            <w:pPr>
              <w:spacing w:after="0"/>
              <w:ind w:firstLine="0"/>
              <w:jc w:val="right"/>
              <w:rPr>
                <w:rFonts w:ascii="Arial Narrow" w:hAnsi="Arial Narrow" w:cs="Calibri"/>
              </w:rPr>
            </w:pPr>
            <w:r>
              <w:rPr>
                <w:rFonts w:ascii="Arial Narrow" w:hAnsi="Arial Narrow"/>
              </w:rPr>
              <w:t>57</w:t>
            </w:r>
          </w:p>
        </w:tc>
        <w:tc>
          <w:tcPr>
            <w:tcW w:w="720" w:type="pct"/>
            <w:tcBorders>
              <w:top w:val="nil"/>
              <w:left w:val="nil"/>
              <w:bottom w:val="single" w:sz="2" w:space="0" w:color="auto"/>
              <w:right w:val="nil"/>
            </w:tcBorders>
            <w:vAlign w:val="center"/>
          </w:tcPr>
          <w:p w14:paraId="6F8A58DE" w14:textId="77777777" w:rsidR="00EC4C05" w:rsidRPr="00033257" w:rsidRDefault="00EC4C05" w:rsidP="00787D6A">
            <w:pPr>
              <w:spacing w:after="0"/>
              <w:ind w:firstLine="0"/>
              <w:jc w:val="right"/>
              <w:rPr>
                <w:rFonts w:ascii="Arial Narrow" w:hAnsi="Arial Narrow" w:cs="Calibri"/>
              </w:rPr>
            </w:pPr>
            <w:r>
              <w:rPr>
                <w:rFonts w:ascii="Arial Narrow" w:hAnsi="Arial Narrow"/>
              </w:rPr>
              <w:t>56</w:t>
            </w:r>
          </w:p>
        </w:tc>
      </w:tr>
      <w:tr w:rsidR="00EC4C05" w:rsidRPr="00033257" w14:paraId="443BB2E2" w14:textId="77777777" w:rsidTr="009923A5">
        <w:trPr>
          <w:trHeight w:val="227"/>
        </w:trPr>
        <w:tc>
          <w:tcPr>
            <w:tcW w:w="1301" w:type="pct"/>
            <w:tcBorders>
              <w:top w:val="single" w:sz="2" w:space="0" w:color="auto"/>
              <w:left w:val="nil"/>
              <w:bottom w:val="single" w:sz="2" w:space="0" w:color="auto"/>
              <w:right w:val="nil"/>
            </w:tcBorders>
            <w:shd w:val="clear" w:color="auto" w:fill="auto"/>
            <w:vAlign w:val="center"/>
            <w:hideMark/>
          </w:tcPr>
          <w:p w14:paraId="4D44F337" w14:textId="5CBBDA74" w:rsidR="00EC4C05" w:rsidRPr="00033257" w:rsidRDefault="6A28BBB8" w:rsidP="00787D6A">
            <w:pPr>
              <w:spacing w:after="0"/>
              <w:ind w:firstLine="0"/>
              <w:rPr>
                <w:rFonts w:ascii="Arial Narrow" w:hAnsi="Arial Narrow" w:cs="Calibri"/>
              </w:rPr>
            </w:pPr>
            <w:r>
              <w:rPr>
                <w:rFonts w:ascii="Arial Narrow" w:hAnsi="Arial Narrow"/>
              </w:rPr>
              <w:t xml:space="preserve">Merkataritza sozietateak </w:t>
            </w:r>
          </w:p>
        </w:tc>
        <w:tc>
          <w:tcPr>
            <w:tcW w:w="91" w:type="pct"/>
            <w:tcBorders>
              <w:top w:val="single" w:sz="2" w:space="0" w:color="auto"/>
              <w:left w:val="nil"/>
              <w:bottom w:val="single" w:sz="2" w:space="0" w:color="auto"/>
              <w:right w:val="nil"/>
            </w:tcBorders>
            <w:shd w:val="clear" w:color="auto" w:fill="auto"/>
            <w:vAlign w:val="center"/>
          </w:tcPr>
          <w:p w14:paraId="6B62F1B3" w14:textId="77777777" w:rsidR="00EC4C05" w:rsidRPr="00033257" w:rsidRDefault="00EC4C05" w:rsidP="00787D6A">
            <w:pPr>
              <w:spacing w:after="0"/>
              <w:ind w:firstLine="0"/>
              <w:jc w:val="right"/>
              <w:rPr>
                <w:rFonts w:ascii="Arial Narrow" w:hAnsi="Arial Narrow" w:cs="Calibri"/>
                <w:lang w:val="es-ES" w:eastAsia="es-ES"/>
              </w:rPr>
            </w:pPr>
          </w:p>
        </w:tc>
        <w:tc>
          <w:tcPr>
            <w:tcW w:w="709" w:type="pct"/>
            <w:tcBorders>
              <w:top w:val="single" w:sz="2" w:space="0" w:color="auto"/>
              <w:left w:val="nil"/>
              <w:bottom w:val="single" w:sz="2" w:space="0" w:color="auto"/>
              <w:right w:val="nil"/>
            </w:tcBorders>
            <w:shd w:val="clear" w:color="auto" w:fill="auto"/>
            <w:vAlign w:val="center"/>
            <w:hideMark/>
          </w:tcPr>
          <w:p w14:paraId="3F6FB1E0" w14:textId="77777777" w:rsidR="00EC4C05" w:rsidRPr="00033257" w:rsidRDefault="6A28BBB8" w:rsidP="00787D6A">
            <w:pPr>
              <w:spacing w:after="0"/>
              <w:ind w:firstLine="0"/>
              <w:jc w:val="right"/>
              <w:rPr>
                <w:rFonts w:ascii="Arial Narrow" w:hAnsi="Arial Narrow" w:cs="Calibri"/>
              </w:rPr>
            </w:pPr>
            <w:r>
              <w:rPr>
                <w:rFonts w:ascii="Arial Narrow" w:hAnsi="Arial Narrow"/>
              </w:rPr>
              <w:t>53</w:t>
            </w:r>
          </w:p>
        </w:tc>
        <w:tc>
          <w:tcPr>
            <w:tcW w:w="726" w:type="pct"/>
            <w:tcBorders>
              <w:top w:val="single" w:sz="2" w:space="0" w:color="auto"/>
              <w:left w:val="nil"/>
              <w:bottom w:val="single" w:sz="2" w:space="0" w:color="auto"/>
              <w:right w:val="nil"/>
            </w:tcBorders>
            <w:shd w:val="clear" w:color="auto" w:fill="auto"/>
            <w:vAlign w:val="center"/>
            <w:hideMark/>
          </w:tcPr>
          <w:p w14:paraId="6F78937C" w14:textId="77777777" w:rsidR="00EC4C05" w:rsidRPr="00033257" w:rsidRDefault="6A28BBB8" w:rsidP="00787D6A">
            <w:pPr>
              <w:spacing w:after="0"/>
              <w:ind w:firstLine="0"/>
              <w:jc w:val="right"/>
              <w:rPr>
                <w:rFonts w:ascii="Arial Narrow" w:hAnsi="Arial Narrow" w:cs="Calibri"/>
              </w:rPr>
            </w:pPr>
            <w:r>
              <w:rPr>
                <w:rFonts w:ascii="Arial Narrow" w:hAnsi="Arial Narrow"/>
              </w:rPr>
              <w:t>57</w:t>
            </w:r>
          </w:p>
        </w:tc>
        <w:tc>
          <w:tcPr>
            <w:tcW w:w="726" w:type="pct"/>
            <w:tcBorders>
              <w:top w:val="single" w:sz="2" w:space="0" w:color="auto"/>
              <w:left w:val="nil"/>
              <w:bottom w:val="single" w:sz="2" w:space="0" w:color="auto"/>
              <w:right w:val="nil"/>
            </w:tcBorders>
            <w:vAlign w:val="center"/>
          </w:tcPr>
          <w:p w14:paraId="339FB0BB" w14:textId="77777777" w:rsidR="00EC4C05" w:rsidRPr="00033257" w:rsidRDefault="6A28BBB8" w:rsidP="00787D6A">
            <w:pPr>
              <w:spacing w:after="0"/>
              <w:ind w:firstLine="0"/>
              <w:jc w:val="right"/>
              <w:rPr>
                <w:rFonts w:ascii="Arial Narrow" w:hAnsi="Arial Narrow" w:cs="Calibri"/>
              </w:rPr>
            </w:pPr>
            <w:r>
              <w:rPr>
                <w:rFonts w:ascii="Arial Narrow" w:hAnsi="Arial Narrow"/>
              </w:rPr>
              <w:t>56</w:t>
            </w:r>
          </w:p>
        </w:tc>
        <w:tc>
          <w:tcPr>
            <w:tcW w:w="727" w:type="pct"/>
            <w:tcBorders>
              <w:top w:val="single" w:sz="2" w:space="0" w:color="auto"/>
              <w:left w:val="nil"/>
              <w:bottom w:val="single" w:sz="2" w:space="0" w:color="auto"/>
              <w:right w:val="nil"/>
            </w:tcBorders>
            <w:shd w:val="clear" w:color="auto" w:fill="auto"/>
            <w:vAlign w:val="center"/>
          </w:tcPr>
          <w:p w14:paraId="0868EBB2" w14:textId="77777777" w:rsidR="00EC4C05" w:rsidRPr="00033257" w:rsidRDefault="6A28BBB8" w:rsidP="00787D6A">
            <w:pPr>
              <w:spacing w:after="0"/>
              <w:ind w:firstLine="0"/>
              <w:jc w:val="right"/>
              <w:rPr>
                <w:rFonts w:ascii="Arial Narrow" w:hAnsi="Arial Narrow" w:cs="Calibri"/>
              </w:rPr>
            </w:pPr>
            <w:r>
              <w:rPr>
                <w:rFonts w:ascii="Arial Narrow" w:hAnsi="Arial Narrow"/>
              </w:rPr>
              <w:t>54</w:t>
            </w:r>
          </w:p>
        </w:tc>
        <w:tc>
          <w:tcPr>
            <w:tcW w:w="720" w:type="pct"/>
            <w:tcBorders>
              <w:top w:val="single" w:sz="2" w:space="0" w:color="auto"/>
              <w:left w:val="nil"/>
              <w:bottom w:val="single" w:sz="2" w:space="0" w:color="auto"/>
              <w:right w:val="nil"/>
            </w:tcBorders>
            <w:vAlign w:val="center"/>
          </w:tcPr>
          <w:p w14:paraId="5C19C5C7" w14:textId="77777777" w:rsidR="00EC4C05" w:rsidRPr="00033257" w:rsidRDefault="6A28BBB8" w:rsidP="00787D6A">
            <w:pPr>
              <w:spacing w:after="0"/>
              <w:ind w:firstLine="0"/>
              <w:jc w:val="right"/>
              <w:rPr>
                <w:rFonts w:ascii="Arial Narrow" w:hAnsi="Arial Narrow" w:cs="Calibri"/>
              </w:rPr>
            </w:pPr>
            <w:r>
              <w:rPr>
                <w:rFonts w:ascii="Arial Narrow" w:hAnsi="Arial Narrow"/>
              </w:rPr>
              <w:t>57</w:t>
            </w:r>
          </w:p>
        </w:tc>
      </w:tr>
      <w:tr w:rsidR="00EC4C05" w:rsidRPr="00033257" w14:paraId="5229A99E" w14:textId="77777777" w:rsidTr="009923A5">
        <w:trPr>
          <w:trHeight w:val="227"/>
        </w:trPr>
        <w:tc>
          <w:tcPr>
            <w:tcW w:w="1301" w:type="pct"/>
            <w:tcBorders>
              <w:top w:val="single" w:sz="2" w:space="0" w:color="auto"/>
              <w:left w:val="nil"/>
              <w:bottom w:val="single" w:sz="2" w:space="0" w:color="auto"/>
              <w:right w:val="nil"/>
            </w:tcBorders>
            <w:shd w:val="clear" w:color="auto" w:fill="auto"/>
            <w:vAlign w:val="center"/>
            <w:hideMark/>
          </w:tcPr>
          <w:p w14:paraId="34D826CD" w14:textId="77777777" w:rsidR="00EC4C05" w:rsidRPr="00033257" w:rsidRDefault="00EC4C05" w:rsidP="00787D6A">
            <w:pPr>
              <w:spacing w:after="0"/>
              <w:ind w:firstLine="0"/>
              <w:rPr>
                <w:rFonts w:ascii="Arial Narrow" w:hAnsi="Arial Narrow" w:cs="Calibri"/>
              </w:rPr>
            </w:pPr>
            <w:r>
              <w:rPr>
                <w:rFonts w:ascii="Arial Narrow" w:hAnsi="Arial Narrow"/>
              </w:rPr>
              <w:t>Fundazio publikoak</w:t>
            </w:r>
          </w:p>
        </w:tc>
        <w:tc>
          <w:tcPr>
            <w:tcW w:w="91" w:type="pct"/>
            <w:tcBorders>
              <w:top w:val="single" w:sz="2" w:space="0" w:color="auto"/>
              <w:left w:val="nil"/>
              <w:bottom w:val="single" w:sz="2" w:space="0" w:color="auto"/>
              <w:right w:val="nil"/>
            </w:tcBorders>
            <w:shd w:val="clear" w:color="auto" w:fill="auto"/>
            <w:vAlign w:val="center"/>
          </w:tcPr>
          <w:p w14:paraId="02F2C34E" w14:textId="77777777" w:rsidR="00EC4C05" w:rsidRPr="00033257" w:rsidRDefault="00EC4C05" w:rsidP="00787D6A">
            <w:pPr>
              <w:spacing w:after="0"/>
              <w:ind w:firstLine="0"/>
              <w:jc w:val="right"/>
              <w:rPr>
                <w:rFonts w:ascii="Arial Narrow" w:hAnsi="Arial Narrow" w:cs="Calibri"/>
                <w:lang w:val="es-ES" w:eastAsia="es-ES"/>
              </w:rPr>
            </w:pPr>
          </w:p>
        </w:tc>
        <w:tc>
          <w:tcPr>
            <w:tcW w:w="709" w:type="pct"/>
            <w:tcBorders>
              <w:top w:val="single" w:sz="2" w:space="0" w:color="auto"/>
              <w:left w:val="nil"/>
              <w:bottom w:val="single" w:sz="2" w:space="0" w:color="auto"/>
              <w:right w:val="nil"/>
            </w:tcBorders>
            <w:shd w:val="clear" w:color="auto" w:fill="auto"/>
            <w:vAlign w:val="center"/>
            <w:hideMark/>
          </w:tcPr>
          <w:p w14:paraId="49832D11" w14:textId="77777777" w:rsidR="00EC4C05" w:rsidRPr="00033257" w:rsidRDefault="00EC4C05" w:rsidP="00787D6A">
            <w:pPr>
              <w:spacing w:after="0"/>
              <w:ind w:firstLine="0"/>
              <w:jc w:val="right"/>
              <w:rPr>
                <w:rFonts w:ascii="Arial Narrow" w:hAnsi="Arial Narrow" w:cs="Calibri"/>
              </w:rPr>
            </w:pPr>
            <w:r>
              <w:rPr>
                <w:rFonts w:ascii="Arial Narrow" w:hAnsi="Arial Narrow"/>
              </w:rPr>
              <w:t>8</w:t>
            </w:r>
          </w:p>
        </w:tc>
        <w:tc>
          <w:tcPr>
            <w:tcW w:w="726" w:type="pct"/>
            <w:tcBorders>
              <w:top w:val="single" w:sz="2" w:space="0" w:color="auto"/>
              <w:left w:val="nil"/>
              <w:bottom w:val="single" w:sz="2" w:space="0" w:color="auto"/>
              <w:right w:val="nil"/>
            </w:tcBorders>
            <w:shd w:val="clear" w:color="auto" w:fill="auto"/>
            <w:vAlign w:val="center"/>
            <w:hideMark/>
          </w:tcPr>
          <w:p w14:paraId="4CE4F91D" w14:textId="77777777" w:rsidR="00EC4C05" w:rsidRPr="00033257" w:rsidRDefault="00EC4C05" w:rsidP="00787D6A">
            <w:pPr>
              <w:spacing w:after="0"/>
              <w:ind w:firstLine="0"/>
              <w:jc w:val="right"/>
              <w:rPr>
                <w:rFonts w:ascii="Arial Narrow" w:hAnsi="Arial Narrow" w:cs="Calibri"/>
              </w:rPr>
            </w:pPr>
            <w:r>
              <w:rPr>
                <w:rFonts w:ascii="Arial Narrow" w:hAnsi="Arial Narrow"/>
              </w:rPr>
              <w:t>8</w:t>
            </w:r>
          </w:p>
        </w:tc>
        <w:tc>
          <w:tcPr>
            <w:tcW w:w="726" w:type="pct"/>
            <w:tcBorders>
              <w:top w:val="single" w:sz="2" w:space="0" w:color="auto"/>
              <w:left w:val="nil"/>
              <w:bottom w:val="single" w:sz="2" w:space="0" w:color="auto"/>
              <w:right w:val="nil"/>
            </w:tcBorders>
            <w:vAlign w:val="center"/>
          </w:tcPr>
          <w:p w14:paraId="46D1341F" w14:textId="77777777" w:rsidR="00EC4C05" w:rsidRPr="00033257" w:rsidRDefault="00EC4C05" w:rsidP="00787D6A">
            <w:pPr>
              <w:spacing w:after="0"/>
              <w:ind w:firstLine="0"/>
              <w:jc w:val="right"/>
              <w:rPr>
                <w:rFonts w:ascii="Arial Narrow" w:hAnsi="Arial Narrow" w:cs="Calibri"/>
              </w:rPr>
            </w:pPr>
            <w:r>
              <w:rPr>
                <w:rFonts w:ascii="Arial Narrow" w:hAnsi="Arial Narrow"/>
              </w:rPr>
              <w:t>8</w:t>
            </w:r>
          </w:p>
        </w:tc>
        <w:tc>
          <w:tcPr>
            <w:tcW w:w="727" w:type="pct"/>
            <w:tcBorders>
              <w:top w:val="single" w:sz="2" w:space="0" w:color="auto"/>
              <w:left w:val="nil"/>
              <w:bottom w:val="single" w:sz="2" w:space="0" w:color="auto"/>
              <w:right w:val="nil"/>
            </w:tcBorders>
            <w:vAlign w:val="center"/>
          </w:tcPr>
          <w:p w14:paraId="5FCB5F43" w14:textId="77777777" w:rsidR="00EC4C05" w:rsidRPr="00033257" w:rsidRDefault="00EC4C05" w:rsidP="00787D6A">
            <w:pPr>
              <w:spacing w:after="0"/>
              <w:ind w:firstLine="0"/>
              <w:jc w:val="right"/>
              <w:rPr>
                <w:rFonts w:ascii="Arial Narrow" w:hAnsi="Arial Narrow" w:cs="Calibri"/>
              </w:rPr>
            </w:pPr>
            <w:r>
              <w:rPr>
                <w:rFonts w:ascii="Arial Narrow" w:hAnsi="Arial Narrow"/>
              </w:rPr>
              <w:t>8</w:t>
            </w:r>
          </w:p>
        </w:tc>
        <w:tc>
          <w:tcPr>
            <w:tcW w:w="720" w:type="pct"/>
            <w:tcBorders>
              <w:top w:val="single" w:sz="2" w:space="0" w:color="auto"/>
              <w:left w:val="nil"/>
              <w:bottom w:val="single" w:sz="2" w:space="0" w:color="auto"/>
              <w:right w:val="nil"/>
            </w:tcBorders>
            <w:vAlign w:val="center"/>
          </w:tcPr>
          <w:p w14:paraId="0E865782" w14:textId="77777777" w:rsidR="00EC4C05" w:rsidRPr="00033257" w:rsidRDefault="00EC4C05" w:rsidP="00787D6A">
            <w:pPr>
              <w:spacing w:after="0"/>
              <w:ind w:firstLine="0"/>
              <w:jc w:val="right"/>
              <w:rPr>
                <w:rFonts w:ascii="Arial Narrow" w:hAnsi="Arial Narrow" w:cs="Calibri"/>
              </w:rPr>
            </w:pPr>
            <w:r>
              <w:rPr>
                <w:rFonts w:ascii="Arial Narrow" w:hAnsi="Arial Narrow"/>
              </w:rPr>
              <w:t>8</w:t>
            </w:r>
          </w:p>
        </w:tc>
      </w:tr>
      <w:tr w:rsidR="00EC4C05" w:rsidRPr="00033257" w14:paraId="1C2AE700" w14:textId="77777777" w:rsidTr="009923A5">
        <w:trPr>
          <w:trHeight w:val="227"/>
        </w:trPr>
        <w:tc>
          <w:tcPr>
            <w:tcW w:w="1301" w:type="pct"/>
            <w:tcBorders>
              <w:top w:val="single" w:sz="2" w:space="0" w:color="auto"/>
              <w:left w:val="nil"/>
              <w:bottom w:val="single" w:sz="4" w:space="0" w:color="auto"/>
              <w:right w:val="nil"/>
            </w:tcBorders>
            <w:shd w:val="clear" w:color="auto" w:fill="auto"/>
            <w:vAlign w:val="center"/>
            <w:hideMark/>
          </w:tcPr>
          <w:p w14:paraId="617E47D1" w14:textId="77777777" w:rsidR="00EC4C05" w:rsidRPr="00033257" w:rsidRDefault="00EC4C05" w:rsidP="00787D6A">
            <w:pPr>
              <w:spacing w:after="0"/>
              <w:ind w:firstLine="0"/>
              <w:rPr>
                <w:rFonts w:ascii="Arial Narrow" w:hAnsi="Arial Narrow" w:cs="Calibri"/>
              </w:rPr>
            </w:pPr>
            <w:r>
              <w:rPr>
                <w:rFonts w:ascii="Arial Narrow" w:hAnsi="Arial Narrow"/>
              </w:rPr>
              <w:t>Partzuergoak</w:t>
            </w:r>
          </w:p>
        </w:tc>
        <w:tc>
          <w:tcPr>
            <w:tcW w:w="91" w:type="pct"/>
            <w:tcBorders>
              <w:top w:val="single" w:sz="2" w:space="0" w:color="auto"/>
              <w:left w:val="nil"/>
              <w:bottom w:val="single" w:sz="4" w:space="0" w:color="auto"/>
              <w:right w:val="nil"/>
            </w:tcBorders>
            <w:shd w:val="clear" w:color="auto" w:fill="auto"/>
            <w:vAlign w:val="center"/>
          </w:tcPr>
          <w:p w14:paraId="680A4E5D" w14:textId="77777777" w:rsidR="00EC4C05" w:rsidRPr="00033257" w:rsidRDefault="00EC4C05" w:rsidP="00787D6A">
            <w:pPr>
              <w:spacing w:after="0"/>
              <w:ind w:firstLine="0"/>
              <w:jc w:val="right"/>
              <w:rPr>
                <w:rFonts w:ascii="Arial Narrow" w:hAnsi="Arial Narrow" w:cs="Calibri"/>
                <w:lang w:val="es-ES" w:eastAsia="es-ES"/>
              </w:rPr>
            </w:pPr>
          </w:p>
        </w:tc>
        <w:tc>
          <w:tcPr>
            <w:tcW w:w="709" w:type="pct"/>
            <w:tcBorders>
              <w:top w:val="single" w:sz="2" w:space="0" w:color="auto"/>
              <w:left w:val="nil"/>
              <w:bottom w:val="single" w:sz="4" w:space="0" w:color="auto"/>
              <w:right w:val="nil"/>
            </w:tcBorders>
            <w:shd w:val="clear" w:color="auto" w:fill="auto"/>
            <w:vAlign w:val="center"/>
            <w:hideMark/>
          </w:tcPr>
          <w:p w14:paraId="32DF9E93" w14:textId="77777777" w:rsidR="00EC4C05" w:rsidRPr="00033257" w:rsidRDefault="00EC4C05" w:rsidP="00787D6A">
            <w:pPr>
              <w:spacing w:after="0"/>
              <w:ind w:firstLine="0"/>
              <w:jc w:val="right"/>
              <w:rPr>
                <w:rFonts w:ascii="Arial Narrow" w:hAnsi="Arial Narrow" w:cs="Calibri"/>
              </w:rPr>
            </w:pPr>
            <w:r>
              <w:rPr>
                <w:rFonts w:ascii="Arial Narrow" w:hAnsi="Arial Narrow"/>
              </w:rPr>
              <w:t>17</w:t>
            </w:r>
          </w:p>
        </w:tc>
        <w:tc>
          <w:tcPr>
            <w:tcW w:w="726" w:type="pct"/>
            <w:tcBorders>
              <w:top w:val="single" w:sz="2" w:space="0" w:color="auto"/>
              <w:left w:val="nil"/>
              <w:bottom w:val="single" w:sz="4" w:space="0" w:color="auto"/>
              <w:right w:val="nil"/>
            </w:tcBorders>
            <w:shd w:val="clear" w:color="auto" w:fill="auto"/>
            <w:vAlign w:val="center"/>
            <w:hideMark/>
          </w:tcPr>
          <w:p w14:paraId="44641878" w14:textId="77777777" w:rsidR="00EC4C05" w:rsidRPr="00033257" w:rsidRDefault="00EC4C05" w:rsidP="00787D6A">
            <w:pPr>
              <w:spacing w:after="0"/>
              <w:ind w:firstLine="0"/>
              <w:jc w:val="right"/>
              <w:rPr>
                <w:rFonts w:ascii="Arial Narrow" w:hAnsi="Arial Narrow" w:cs="Calibri"/>
              </w:rPr>
            </w:pPr>
            <w:r>
              <w:rPr>
                <w:rFonts w:ascii="Arial Narrow" w:hAnsi="Arial Narrow"/>
              </w:rPr>
              <w:t>17</w:t>
            </w:r>
          </w:p>
        </w:tc>
        <w:tc>
          <w:tcPr>
            <w:tcW w:w="726" w:type="pct"/>
            <w:tcBorders>
              <w:top w:val="single" w:sz="2" w:space="0" w:color="auto"/>
              <w:left w:val="nil"/>
              <w:bottom w:val="single" w:sz="4" w:space="0" w:color="auto"/>
              <w:right w:val="nil"/>
            </w:tcBorders>
            <w:vAlign w:val="center"/>
          </w:tcPr>
          <w:p w14:paraId="3C3E0C4F" w14:textId="77777777" w:rsidR="00EC4C05" w:rsidRPr="00033257" w:rsidRDefault="00EC4C05" w:rsidP="00787D6A">
            <w:pPr>
              <w:spacing w:after="0"/>
              <w:ind w:firstLine="0"/>
              <w:jc w:val="right"/>
              <w:rPr>
                <w:rFonts w:ascii="Arial Narrow" w:hAnsi="Arial Narrow" w:cs="Calibri"/>
              </w:rPr>
            </w:pPr>
            <w:r>
              <w:rPr>
                <w:rFonts w:ascii="Arial Narrow" w:hAnsi="Arial Narrow"/>
              </w:rPr>
              <w:t>17</w:t>
            </w:r>
          </w:p>
        </w:tc>
        <w:tc>
          <w:tcPr>
            <w:tcW w:w="727" w:type="pct"/>
            <w:tcBorders>
              <w:top w:val="single" w:sz="2" w:space="0" w:color="auto"/>
              <w:left w:val="nil"/>
              <w:bottom w:val="single" w:sz="4" w:space="0" w:color="auto"/>
              <w:right w:val="nil"/>
            </w:tcBorders>
            <w:vAlign w:val="center"/>
          </w:tcPr>
          <w:p w14:paraId="6D95BA9B" w14:textId="77777777" w:rsidR="00EC4C05" w:rsidRPr="00033257" w:rsidRDefault="00EC4C05" w:rsidP="00787D6A">
            <w:pPr>
              <w:spacing w:after="0"/>
              <w:ind w:firstLine="0"/>
              <w:jc w:val="right"/>
              <w:rPr>
                <w:rFonts w:ascii="Arial Narrow" w:hAnsi="Arial Narrow" w:cs="Calibri"/>
              </w:rPr>
            </w:pPr>
            <w:r>
              <w:rPr>
                <w:rFonts w:ascii="Arial Narrow" w:hAnsi="Arial Narrow"/>
              </w:rPr>
              <w:t>17</w:t>
            </w:r>
          </w:p>
        </w:tc>
        <w:tc>
          <w:tcPr>
            <w:tcW w:w="720" w:type="pct"/>
            <w:tcBorders>
              <w:top w:val="single" w:sz="2" w:space="0" w:color="auto"/>
              <w:left w:val="nil"/>
              <w:bottom w:val="single" w:sz="4" w:space="0" w:color="auto"/>
              <w:right w:val="nil"/>
            </w:tcBorders>
            <w:vAlign w:val="center"/>
          </w:tcPr>
          <w:p w14:paraId="2588D061" w14:textId="77777777" w:rsidR="00EC4C05" w:rsidRPr="00033257" w:rsidRDefault="00EC4C05" w:rsidP="00787D6A">
            <w:pPr>
              <w:spacing w:after="0"/>
              <w:ind w:firstLine="0"/>
              <w:jc w:val="right"/>
              <w:rPr>
                <w:rFonts w:ascii="Arial Narrow" w:hAnsi="Arial Narrow" w:cs="Calibri"/>
              </w:rPr>
            </w:pPr>
            <w:r>
              <w:rPr>
                <w:rFonts w:ascii="Arial Narrow" w:hAnsi="Arial Narrow"/>
              </w:rPr>
              <w:t>17</w:t>
            </w:r>
          </w:p>
        </w:tc>
      </w:tr>
      <w:tr w:rsidR="00EC4C05" w:rsidRPr="00033257" w14:paraId="0843B696" w14:textId="77777777" w:rsidTr="009923A5">
        <w:trPr>
          <w:trHeight w:val="255"/>
        </w:trPr>
        <w:tc>
          <w:tcPr>
            <w:tcW w:w="1301" w:type="pct"/>
            <w:tcBorders>
              <w:top w:val="nil"/>
              <w:left w:val="nil"/>
              <w:bottom w:val="single" w:sz="4" w:space="0" w:color="auto"/>
              <w:right w:val="nil"/>
            </w:tcBorders>
            <w:shd w:val="clear" w:color="auto" w:fill="FABF8F" w:themeFill="accent6" w:themeFillTint="99"/>
            <w:vAlign w:val="center"/>
            <w:hideMark/>
          </w:tcPr>
          <w:p w14:paraId="4B4370B4" w14:textId="77777777" w:rsidR="00EC4C05" w:rsidRPr="00033257" w:rsidRDefault="00EC4C05" w:rsidP="00787D6A">
            <w:pPr>
              <w:pStyle w:val="cuadroCabe"/>
              <w:spacing w:line="240" w:lineRule="auto"/>
              <w:rPr>
                <w:rFonts w:ascii="Arial Narrow" w:hAnsi="Arial Narrow"/>
                <w:sz w:val="20"/>
                <w:szCs w:val="20"/>
              </w:rPr>
            </w:pPr>
            <w:r>
              <w:rPr>
                <w:rFonts w:ascii="Arial Narrow" w:hAnsi="Arial Narrow"/>
                <w:sz w:val="20"/>
              </w:rPr>
              <w:t>Guztira</w:t>
            </w:r>
          </w:p>
        </w:tc>
        <w:tc>
          <w:tcPr>
            <w:tcW w:w="91" w:type="pct"/>
            <w:tcBorders>
              <w:top w:val="nil"/>
              <w:left w:val="nil"/>
              <w:bottom w:val="single" w:sz="4" w:space="0" w:color="auto"/>
              <w:right w:val="nil"/>
            </w:tcBorders>
            <w:shd w:val="clear" w:color="auto" w:fill="FABF8F" w:themeFill="accent6" w:themeFillTint="99"/>
            <w:vAlign w:val="center"/>
          </w:tcPr>
          <w:p w14:paraId="19219836" w14:textId="77777777" w:rsidR="00EC4C05" w:rsidRPr="00033257" w:rsidRDefault="00EC4C05" w:rsidP="00787D6A">
            <w:pPr>
              <w:pStyle w:val="cuadroCabe"/>
              <w:spacing w:line="240" w:lineRule="auto"/>
              <w:rPr>
                <w:rFonts w:ascii="Arial Narrow" w:hAnsi="Arial Narrow"/>
                <w:sz w:val="20"/>
                <w:szCs w:val="20"/>
              </w:rPr>
            </w:pPr>
          </w:p>
        </w:tc>
        <w:tc>
          <w:tcPr>
            <w:tcW w:w="709" w:type="pct"/>
            <w:tcBorders>
              <w:top w:val="nil"/>
              <w:left w:val="nil"/>
              <w:bottom w:val="single" w:sz="4" w:space="0" w:color="auto"/>
              <w:right w:val="nil"/>
            </w:tcBorders>
            <w:shd w:val="clear" w:color="auto" w:fill="FABF8F" w:themeFill="accent6" w:themeFillTint="99"/>
            <w:vAlign w:val="center"/>
            <w:hideMark/>
          </w:tcPr>
          <w:p w14:paraId="0AD4F915"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142</w:t>
            </w:r>
          </w:p>
        </w:tc>
        <w:tc>
          <w:tcPr>
            <w:tcW w:w="726" w:type="pct"/>
            <w:tcBorders>
              <w:top w:val="nil"/>
              <w:left w:val="nil"/>
              <w:bottom w:val="single" w:sz="4" w:space="0" w:color="auto"/>
              <w:right w:val="nil"/>
            </w:tcBorders>
            <w:shd w:val="clear" w:color="auto" w:fill="FABF8F" w:themeFill="accent6" w:themeFillTint="99"/>
            <w:vAlign w:val="center"/>
            <w:hideMark/>
          </w:tcPr>
          <w:p w14:paraId="642DAC0B"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143</w:t>
            </w:r>
          </w:p>
        </w:tc>
        <w:tc>
          <w:tcPr>
            <w:tcW w:w="726" w:type="pct"/>
            <w:tcBorders>
              <w:top w:val="nil"/>
              <w:left w:val="nil"/>
              <w:bottom w:val="single" w:sz="4" w:space="0" w:color="auto"/>
              <w:right w:val="nil"/>
            </w:tcBorders>
            <w:shd w:val="clear" w:color="auto" w:fill="FABF8F" w:themeFill="accent6" w:themeFillTint="99"/>
            <w:vAlign w:val="center"/>
          </w:tcPr>
          <w:p w14:paraId="7705F89A"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140</w:t>
            </w:r>
          </w:p>
        </w:tc>
        <w:tc>
          <w:tcPr>
            <w:tcW w:w="727" w:type="pct"/>
            <w:tcBorders>
              <w:top w:val="nil"/>
              <w:left w:val="nil"/>
              <w:bottom w:val="single" w:sz="4" w:space="0" w:color="auto"/>
              <w:right w:val="nil"/>
            </w:tcBorders>
            <w:shd w:val="clear" w:color="auto" w:fill="FABF8F" w:themeFill="accent6" w:themeFillTint="99"/>
            <w:vAlign w:val="center"/>
          </w:tcPr>
          <w:p w14:paraId="01BB90B5"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136</w:t>
            </w:r>
          </w:p>
        </w:tc>
        <w:tc>
          <w:tcPr>
            <w:tcW w:w="720" w:type="pct"/>
            <w:tcBorders>
              <w:top w:val="nil"/>
              <w:left w:val="nil"/>
              <w:bottom w:val="single" w:sz="4" w:space="0" w:color="auto"/>
              <w:right w:val="nil"/>
            </w:tcBorders>
            <w:shd w:val="clear" w:color="auto" w:fill="FABF8F" w:themeFill="accent6" w:themeFillTint="99"/>
            <w:vAlign w:val="center"/>
          </w:tcPr>
          <w:p w14:paraId="651B9F2F" w14:textId="77777777" w:rsidR="00EC4C05" w:rsidRPr="00033257" w:rsidRDefault="00EC4C05" w:rsidP="00787D6A">
            <w:pPr>
              <w:pStyle w:val="cuadroCabe"/>
              <w:spacing w:line="240" w:lineRule="auto"/>
              <w:jc w:val="right"/>
              <w:rPr>
                <w:rFonts w:ascii="Arial Narrow" w:hAnsi="Arial Narrow"/>
                <w:sz w:val="20"/>
                <w:szCs w:val="20"/>
              </w:rPr>
            </w:pPr>
            <w:r>
              <w:rPr>
                <w:rFonts w:ascii="Arial Narrow" w:hAnsi="Arial Narrow"/>
                <w:sz w:val="20"/>
              </w:rPr>
              <w:t>138</w:t>
            </w:r>
          </w:p>
        </w:tc>
      </w:tr>
    </w:tbl>
    <w:p w14:paraId="2459912E" w14:textId="62880196" w:rsidR="00EC4C05" w:rsidRPr="00033257" w:rsidRDefault="5A6F979A" w:rsidP="00D71C47">
      <w:pPr>
        <w:pStyle w:val="recomen"/>
        <w:numPr>
          <w:ilvl w:val="0"/>
          <w:numId w:val="0"/>
        </w:numPr>
        <w:spacing w:before="60" w:after="0"/>
        <w:rPr>
          <w:rFonts w:ascii="Arial" w:hAnsi="Arial" w:cs="Arial"/>
          <w:i w:val="0"/>
          <w:sz w:val="14"/>
          <w:szCs w:val="14"/>
        </w:rPr>
      </w:pPr>
      <w:r>
        <w:rPr>
          <w:rFonts w:ascii="Arial" w:hAnsi="Arial"/>
          <w:i w:val="0"/>
          <w:sz w:val="14"/>
        </w:rPr>
        <w:t>(*) Barne hartzen du Erdialdeko Tokiko Ekintza Taldea. Toki-entitateen Erregistroan alta eman zuen 2021ean, baina 2001etik existitzen da; beraz, aurreko ekitaldietako datuak aldatu ditugu.</w:t>
      </w:r>
    </w:p>
    <w:p w14:paraId="1D663DA4" w14:textId="1E3700FA" w:rsidR="3710BB4A" w:rsidRPr="00033257" w:rsidRDefault="3710BB4A" w:rsidP="3710BB4A">
      <w:pPr>
        <w:pStyle w:val="recomen"/>
        <w:numPr>
          <w:ilvl w:val="0"/>
          <w:numId w:val="0"/>
        </w:numPr>
        <w:spacing w:before="60" w:after="0"/>
        <w:rPr>
          <w:rFonts w:ascii="Arial" w:hAnsi="Arial" w:cs="Arial"/>
          <w:i w:val="0"/>
          <w:sz w:val="14"/>
          <w:szCs w:val="14"/>
        </w:rPr>
      </w:pPr>
    </w:p>
    <w:p w14:paraId="210514B0" w14:textId="77777777" w:rsidR="00C11B43" w:rsidRDefault="00C11B43" w:rsidP="00EC4C05">
      <w:pPr>
        <w:pStyle w:val="texto"/>
        <w:spacing w:before="240"/>
      </w:pPr>
    </w:p>
    <w:p w14:paraId="54CA4570" w14:textId="7D50D4EA" w:rsidR="00EC4C05" w:rsidRPr="009949DB" w:rsidRDefault="6A28BBB8" w:rsidP="00C11B43">
      <w:pPr>
        <w:pStyle w:val="texto"/>
        <w:rPr>
          <w:spacing w:val="0"/>
        </w:rPr>
      </w:pPr>
      <w:r>
        <w:lastRenderedPageBreak/>
        <w:t xml:space="preserve">Kopuruetan sartu dira erakunde autonomo bat, hamahiru sozietate eta Toki-entitateen Erregistroan txosten honen datan ageri ez diren zortzi fundazio, baina Ganbera honek identifikatu egin ditu bere fiskalizazio lanetan. Detektatu ez diren erregistratu gabeko beste erakunde batzuk ere egon daitezke. </w:t>
      </w:r>
    </w:p>
    <w:p w14:paraId="553F3F00" w14:textId="065294E2" w:rsidR="00EC4C05" w:rsidRPr="00033257" w:rsidRDefault="6A28BBB8" w:rsidP="00C11B43">
      <w:pPr>
        <w:pStyle w:val="texto"/>
      </w:pPr>
      <w:r>
        <w:t>2021ean, Noaingo Udalaren mendeko bi erakunde autonomok baja eman zuten: “Etxe Zaharra” Kulturako Udal Patronatuak eta Kiroletako Udal Patronatuak. “Villa de Funes” Udal Musika Eskolak alta eman zuen, Funesko udalaren mendekoa, baina 2022an baja eman zuen.</w:t>
      </w:r>
    </w:p>
    <w:p w14:paraId="1A688A72" w14:textId="3F9838AC" w:rsidR="00EC4C05" w:rsidRPr="00033257" w:rsidRDefault="00EC4C05" w:rsidP="00C11B43">
      <w:pPr>
        <w:pStyle w:val="texto"/>
        <w:rPr>
          <w:szCs w:val="26"/>
        </w:rPr>
      </w:pPr>
      <w:r>
        <w:t>Sozietateei dagokienez, Servicio de Atención a Domicilio Pamplona SL sozietateak (Iruñeko Udalaren mendekoa) alta eman zuen Toki-entitateen Erregistroan. Horrez gain, erregistro horretan agertzen ez diren bi sozietate eratu direla jaso da: Sociedad Lodosana para el Deporte y la Salud SL (Lodosako Udalaren mendekoa) eta Sastrako Kirol Zerbitzuak SL (Berako Udalaren mendekoa).</w:t>
      </w:r>
    </w:p>
    <w:p w14:paraId="1822C537" w14:textId="77777777" w:rsidR="00EC4C05" w:rsidRPr="00033257" w:rsidRDefault="00EC4C05" w:rsidP="00C11B43">
      <w:pPr>
        <w:pStyle w:val="texto"/>
        <w:rPr>
          <w:szCs w:val="26"/>
        </w:rPr>
      </w:pPr>
      <w:r>
        <w:t>Ez dago fundazio publiko eta partzuergoen altarik ez bajarik.</w:t>
      </w:r>
    </w:p>
    <w:p w14:paraId="65940116" w14:textId="77777777" w:rsidR="00EC4C05" w:rsidRPr="00033257" w:rsidRDefault="00EC4C05" w:rsidP="003C4E24">
      <w:pPr>
        <w:pStyle w:val="texto"/>
        <w:spacing w:after="0"/>
      </w:pPr>
      <w:r>
        <w:t>Aurreko datuekin bat etorriz, hona hemen Nafarroako toki sektore publikoaren egitura 2021eko abenduaren 31n:</w:t>
      </w:r>
    </w:p>
    <w:p w14:paraId="296FEF7D" w14:textId="0A0228ED" w:rsidR="00EC4C05" w:rsidRPr="00033257" w:rsidRDefault="005E35DB" w:rsidP="003C4E24">
      <w:pPr>
        <w:pStyle w:val="texto"/>
        <w:spacing w:after="300"/>
        <w:ind w:firstLine="0"/>
        <w:jc w:val="center"/>
      </w:pPr>
      <w:r>
        <w:rPr>
          <w:noProof/>
        </w:rPr>
        <w:drawing>
          <wp:inline distT="0" distB="0" distL="0" distR="0" wp14:anchorId="521284B0" wp14:editId="61A2AD93">
            <wp:extent cx="5712460" cy="2198635"/>
            <wp:effectExtent l="0" t="0" r="0" b="0"/>
            <wp:docPr id="5581453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406" cy="2205927"/>
                    </a:xfrm>
                    <a:prstGeom prst="rect">
                      <a:avLst/>
                    </a:prstGeom>
                    <a:noFill/>
                  </pic:spPr>
                </pic:pic>
              </a:graphicData>
            </a:graphic>
          </wp:inline>
        </w:drawing>
      </w:r>
    </w:p>
    <w:p w14:paraId="01E09A13" w14:textId="050E52D1" w:rsidR="00EC4C05" w:rsidRPr="00033257" w:rsidRDefault="00EC4C05" w:rsidP="00EC4C05">
      <w:pPr>
        <w:pStyle w:val="atitulo2"/>
      </w:pPr>
      <w:bookmarkStart w:id="50" w:name="_Toc151635594"/>
      <w:r>
        <w:t>IV.2 Toki sektore publikoaren arrazionalizazioa</w:t>
      </w:r>
      <w:bookmarkEnd w:id="50"/>
    </w:p>
    <w:p w14:paraId="7D5611C4" w14:textId="77777777" w:rsidR="00EC4C05" w:rsidRPr="00033257" w:rsidRDefault="00EC4C05" w:rsidP="00C11B43">
      <w:pPr>
        <w:pStyle w:val="texto"/>
        <w:rPr>
          <w:szCs w:val="26"/>
        </w:rPr>
      </w:pPr>
      <w:r>
        <w:t xml:space="preserve">Ganbera honek behin eta berriz adierazi du Nafarroako egungo udal antolaketan arrazionalizazio falta dagoela. Arazo horrek, bada, bere horretan dirau, Nafarroako udalerrien biztanleria-dimentsio murritzarekin batera. Gai horrek eragina du baliabideen horniduran eta administrazio egitura egokia izateko aukeran, bai berezko eskumenak baliatzeko eta legezko hainbat betebehar betetzeko, bai zerbitzu publikoak eraginkortasunez, efizientziaz, ekonomiaz eta kalitatez emateko. </w:t>
      </w:r>
    </w:p>
    <w:p w14:paraId="30A64584" w14:textId="7D5B237F" w:rsidR="00EC4C05" w:rsidRPr="00033257" w:rsidRDefault="00EC4C05" w:rsidP="00C11B43">
      <w:pPr>
        <w:pStyle w:val="texto"/>
        <w:tabs>
          <w:tab w:val="clear" w:pos="2835"/>
          <w:tab w:val="clear" w:pos="3969"/>
          <w:tab w:val="clear" w:pos="5103"/>
          <w:tab w:val="clear" w:pos="6237"/>
          <w:tab w:val="clear" w:pos="7371"/>
        </w:tabs>
        <w:rPr>
          <w:szCs w:val="26"/>
        </w:rPr>
      </w:pPr>
      <w:r>
        <w:t xml:space="preserve">Horri dagokionez, NTAEFLk tokiko mapa erreformatzea eta finantzaketa sistema berri bat ezartzea ezarri zuen, zegozkion arauak onartuz. </w:t>
      </w:r>
    </w:p>
    <w:p w14:paraId="783CCEF2" w14:textId="7FF99035" w:rsidR="00EC4C05" w:rsidRPr="00033257" w:rsidRDefault="00EC4C05" w:rsidP="00C11B43">
      <w:pPr>
        <w:pStyle w:val="texto"/>
        <w:rPr>
          <w:szCs w:val="26"/>
        </w:rPr>
      </w:pPr>
      <w:r>
        <w:lastRenderedPageBreak/>
        <w:t>Tokiko maparen erreformari dagokionez, foru lege horrek eskualdeak lurralde-izaerako eta udalaz gaindiko toki-entitate gisa sartzen ditu, eta zerbitzuak emateaz eta jarduerak kudeatzeaz arduratzen direla ezartzen du. Horietako bakoitza prozedura baten bidez sortuko litzateke, eta prozedura horren ekimena udalei edo Nafarroako Gobernuari dagokio. Horretarako, 18 hilabeteko epea ezarri zen, baina 2020ko abuztuan amaitu zen. Txosten hau egin den egunean, ez da eskualderik sortzeko ekimenik hartu.</w:t>
      </w:r>
    </w:p>
    <w:p w14:paraId="43604680" w14:textId="77777777" w:rsidR="00EC4C05" w:rsidRPr="00033257" w:rsidRDefault="6A28BBB8" w:rsidP="00C11B43">
      <w:pPr>
        <w:pStyle w:val="texto"/>
        <w:spacing w:after="0"/>
        <w:rPr>
          <w:spacing w:val="4"/>
        </w:rPr>
      </w:pPr>
      <w:r>
        <w:t xml:space="preserve">Toki finantzaketaren arloan, 2022an, martxoaren 22ko 6/2022 Foru Legea onetsi zen, eta horren bidez Nafarroako Toki Ogasunei buruzko 2/1995 Foru Legea aldatu zen. 2022ko legeak finantzaketa sistema berri bat ezarri zuen, eta, horren bidez, Toki Ogasunen Funtsaren zuzkidura zenbateko finko gisa ezarri zen, urtero eguneratzen dena Kontsumoko Prezioen Indizearen arabera. </w:t>
      </w:r>
    </w:p>
    <w:p w14:paraId="26D9F05B" w14:textId="7689C536" w:rsidR="009A7A48" w:rsidRPr="00033257" w:rsidRDefault="009A7A48" w:rsidP="00EC4C05">
      <w:pPr>
        <w:pStyle w:val="atitulo2"/>
        <w:spacing w:before="480" w:after="120"/>
      </w:pPr>
      <w:bookmarkStart w:id="51" w:name="_Toc24100139"/>
      <w:bookmarkStart w:id="52" w:name="_Toc52348287"/>
      <w:bookmarkStart w:id="53" w:name="_Toc123547404"/>
      <w:bookmarkStart w:id="54" w:name="_Toc151635595"/>
      <w:r>
        <w:t>IV.3 Nafarroako</w:t>
      </w:r>
      <w:bookmarkEnd w:id="51"/>
      <w:bookmarkEnd w:id="52"/>
      <w:bookmarkEnd w:id="53"/>
      <w:r>
        <w:t xml:space="preserve"> toki-entitateetan aplikatzekoa den araudia.</w:t>
      </w:r>
      <w:bookmarkEnd w:id="54"/>
    </w:p>
    <w:p w14:paraId="1D0F13F3" w14:textId="141D0B0C" w:rsidR="00BB7161" w:rsidRPr="00033257" w:rsidRDefault="3E974FF2" w:rsidP="00C11B43">
      <w:pPr>
        <w:pStyle w:val="texto"/>
      </w:pPr>
      <w:r>
        <w:t xml:space="preserve">Txosten honen I. eranskinean, Nafarroako toki sektore publikoan 2021ean aplikatu beharreko arau nagusiak zerrendatu dira, bai eta ekitaldi horretan onetsitako beste batzuk ere, geroago indarrean jarri arren. </w:t>
      </w:r>
    </w:p>
    <w:p w14:paraId="63D6F154" w14:textId="77777777" w:rsidR="00BB7161" w:rsidRPr="00033257" w:rsidRDefault="00BB7161" w:rsidP="00C11B43">
      <w:pPr>
        <w:pStyle w:val="texto"/>
        <w:rPr>
          <w:szCs w:val="26"/>
        </w:rPr>
      </w:pPr>
      <w:r>
        <w:t>Horien artean, honako hauek nabarmentzen ditugu:</w:t>
      </w:r>
    </w:p>
    <w:p w14:paraId="6584DBA3" w14:textId="08BB8060" w:rsidR="00BB7161" w:rsidRPr="00033257" w:rsidRDefault="3E974FF2" w:rsidP="00C11B43">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 xml:space="preserve">22/2020 Foru Legea, abenduaren 29koa, Nafarroako Toki Ogasunei buruzko Foru Legea aldatzen duena. 2021etik aurrera aplikatzekoa den foru lege horrek zenbait aldaketa sartu zituen Toki Ogasunei buruzko martxoaren 10eko 2/1995 Foru Legean (aurrerantzean, TOFL), toki-entitateen ekonomia eta aurrekontu kudeaketa arintzeko prozedurak malgutzeko eta aurrekontu egonkortasunari eta finantza jasangarritasunari buruzko alderdiak garatzeko. Udalek zerga batzuen gainean dituzten ahalak ere zabaldu zituen, eta ekonomia jardueren gaineko zergaren salbuespena ezarri zuen, negozio zifra milioi bat baino txikiagoa denean. Azken horren ondorioz, toki-entitateek konpentsazio bat jasotzen dute, zerga bidezko diru-sarrerak murrizteagatik, eta toki ogasunek Nafarroako tributuetan parte hartzeko duten funtsaren bidez bideratzen da. </w:t>
      </w:r>
    </w:p>
    <w:p w14:paraId="2CAD7339" w14:textId="0639CDD7" w:rsidR="00896A1C" w:rsidRPr="00033257" w:rsidRDefault="00896A1C" w:rsidP="00C11B43">
      <w:pPr>
        <w:pStyle w:val="texto"/>
        <w:tabs>
          <w:tab w:val="clear" w:pos="2835"/>
          <w:tab w:val="clear" w:pos="3969"/>
          <w:tab w:val="clear" w:pos="5103"/>
          <w:tab w:val="clear" w:pos="6237"/>
          <w:tab w:val="clear" w:pos="7371"/>
          <w:tab w:val="left" w:pos="480"/>
          <w:tab w:val="num" w:pos="786"/>
          <w:tab w:val="num" w:pos="1948"/>
        </w:tabs>
        <w:rPr>
          <w:szCs w:val="26"/>
        </w:rPr>
      </w:pPr>
      <w:r>
        <w:t>Foru lege horri dagokionez, Estatuko Administrazio Orokorraren eta Nafarroako Foru Komunitatearen arteko lankidetza batzordeak akordio bat lortu zuen arauaren zenbait alderdi interpretatzeko eta erregelamendu bidez garatzeko (2021eko urriaren 20ko Nafarroako Aldizkari Ofiziala, 243. zk.).</w:t>
      </w:r>
    </w:p>
    <w:p w14:paraId="37AE5F4B"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20/2021 Foru Legea, abenduaren 29koa, Nafarroako Toki Ogasunei buruzko martxoaren 10eko 2/1995 Foru Legea aldatzen duena. Hiri lurren balio-gehikuntzaren gaineko zergaren foru erregulazioa Konstituzio Auzitegiaren jurisprudentzia berrira egokitzea zuen xede.</w:t>
      </w:r>
    </w:p>
    <w:p w14:paraId="0C2F1D59"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7/2021 Ebazpena, urtarrilaren 28koa, Toki Administrazioaren eta Despopulazioaren zuzendari nagusiarena, zeinaren bidez onesten baitira Nafarroako toki-</w:t>
      </w:r>
      <w:r>
        <w:lastRenderedPageBreak/>
        <w:t xml:space="preserve">entitateek sinatzen dituzten kreditu eragiketek bete beharreko finantza zuhurtasunari buruzko baldintzak, bai eta finantza eragiketek bete beharrekoak ere, baldin eta xedetzat badute finantza aktiboak ematea edo haiek emandako abalak edo bestelako berme publikoak ematea. NFKAk gai horri buruz onetsitako lehen ebazpena da, eta lehen aipatutako 22/2020 Foru Legeak emandako TOFLen 125. artikuluaren idazketa berriaren arabera eman zen. </w:t>
      </w:r>
    </w:p>
    <w:p w14:paraId="28BAB623" w14:textId="77777777" w:rsidR="006D5CAB" w:rsidRPr="00033257" w:rsidRDefault="006D5CAB" w:rsidP="00C11B43">
      <w:pPr>
        <w:pStyle w:val="texto"/>
        <w:tabs>
          <w:tab w:val="clear" w:pos="2835"/>
          <w:tab w:val="clear" w:pos="3969"/>
          <w:tab w:val="clear" w:pos="5103"/>
          <w:tab w:val="clear" w:pos="6237"/>
          <w:tab w:val="clear" w:pos="7371"/>
          <w:tab w:val="left" w:pos="480"/>
          <w:tab w:val="num" w:pos="786"/>
        </w:tabs>
        <w:rPr>
          <w:szCs w:val="26"/>
        </w:rPr>
      </w:pPr>
      <w:r>
        <w:t>2021ean oraindik ez zenez onartu toki ogasunek Nafarroako tributuetan duten partaidetzaren araudi berria, honako arau hauen bidez arautzen zen:</w:t>
      </w:r>
    </w:p>
    <w:p w14:paraId="187DE306" w14:textId="77777777" w:rsidR="006D5CAB" w:rsidRPr="00033257" w:rsidRDefault="630E32B5"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3/2020 Foru Legea, otsailaren 27koa, toki ogasunek transferentzia arrunten eta beste laguntza batzuen kontzeptuetan Nafarroako tributuetan duten parte-hartzearen funtsaren zenbatekoa eta banaketa ezartzen dituena 2020. urterako; indarraldia 2021era luzatu zen, azken xedapenetako lehenengoan xedatutakoaren arabera.</w:t>
      </w:r>
    </w:p>
    <w:p w14:paraId="56C67A9C" w14:textId="77777777" w:rsidR="006D5CAB" w:rsidRPr="00033257" w:rsidRDefault="630E32B5" w:rsidP="00C11B43">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89"/>
      </w:pPr>
      <w:r>
        <w:t>18/2016 Foru Legea, abenduaren 13koa, 2017-2019 aldirako Toki Inbertsioen Plana arautzen duena, urtarrilaren 23ko 2/2020 Foru Legearen bidez aldatua, zeinak haren indarraldia luzatu baitzuen plan berri bat onetsi arte.</w:t>
      </w:r>
    </w:p>
    <w:p w14:paraId="61F94B28" w14:textId="6C62F1B9" w:rsidR="00BB7161" w:rsidRPr="00033257" w:rsidRDefault="00BB7161" w:rsidP="00552062">
      <w:pPr>
        <w:pStyle w:val="texto"/>
        <w:tabs>
          <w:tab w:val="clear" w:pos="2835"/>
          <w:tab w:val="clear" w:pos="3969"/>
          <w:tab w:val="clear" w:pos="5103"/>
          <w:tab w:val="clear" w:pos="6237"/>
          <w:tab w:val="clear" w:pos="7371"/>
          <w:tab w:val="left" w:pos="480"/>
          <w:tab w:val="num" w:pos="786"/>
        </w:tabs>
      </w:pPr>
      <w:r>
        <w:t>Estatu mailan nabarmentzekoa da, duen garrantziagatik, Diputatuen Kongresuaren Erabakia, 2020ko urriaren 20koa, zeinaren bidez aitortzen baita badela ezohiko larrialdi egoera bat, 2020an eta 2021ean arau fiskalak aldi baterako etetea justifikatzen duena. Ondoren, 2022ko eta 2023ko ekitaldietara luzatu zen etete hori, Diputatuen Kongresuaren 2021eko irailaren 13ko eta 2022ko irailaren 22ko erabakien bidez, hurrenez hurren.</w:t>
      </w:r>
    </w:p>
    <w:p w14:paraId="4282F879" w14:textId="61138405" w:rsidR="00BB7161" w:rsidRPr="00552062" w:rsidRDefault="00552062" w:rsidP="00552062">
      <w:pPr>
        <w:pStyle w:val="texto"/>
        <w:tabs>
          <w:tab w:val="clear" w:pos="2835"/>
          <w:tab w:val="clear" w:pos="3969"/>
          <w:tab w:val="clear" w:pos="5103"/>
          <w:tab w:val="clear" w:pos="6237"/>
          <w:tab w:val="clear" w:pos="7371"/>
          <w:tab w:val="left" w:pos="480"/>
          <w:tab w:val="num" w:pos="786"/>
        </w:tabs>
        <w:rPr>
          <w:szCs w:val="26"/>
        </w:rPr>
      </w:pPr>
      <w:r>
        <w:t xml:space="preserve">Era berean, garrantzitsua da 20/2021 Legea, abenduaren 28koa, enplegu publikoan behin-behinekotasuna murrizteko premiazko neurriei buruzkoa; izan ere, horren ondorioz, uztailaren 1eko 19/2022 Foru Legea onetsi zen, zeinaren bidez neurriak hartzen baitira Enplegu publikoan behin-behinekotasuna murrizteko premiazko neurriei buruzko abenduaren 28ko 20/2021 Legetik eratorritako egonkortze prozesuak gauzatzeko Nafarroako administrazio publikoetan. </w:t>
      </w:r>
    </w:p>
    <w:p w14:paraId="0EE23FC9" w14:textId="77777777" w:rsidR="00345C6C" w:rsidRPr="00033257" w:rsidRDefault="00345C6C" w:rsidP="00210333">
      <w:pPr>
        <w:pStyle w:val="atitulo1"/>
      </w:pPr>
      <w:bookmarkStart w:id="55" w:name="_Toc151635596"/>
      <w:r>
        <w:t xml:space="preserve">V. 2021eko ekitaldiari dagozkion fiskalizazio jarduketen </w:t>
      </w:r>
      <w:bookmarkEnd w:id="45"/>
      <w:bookmarkEnd w:id="46"/>
      <w:bookmarkEnd w:id="47"/>
      <w:bookmarkEnd w:id="48"/>
      <w:bookmarkEnd w:id="49"/>
      <w:r>
        <w:t>laburpen-oroitidazkia</w:t>
      </w:r>
      <w:bookmarkEnd w:id="55"/>
    </w:p>
    <w:p w14:paraId="5BD503DF" w14:textId="77777777" w:rsidR="00A170AD" w:rsidRPr="00033257" w:rsidRDefault="00A170AD" w:rsidP="00951885">
      <w:pPr>
        <w:pStyle w:val="texto"/>
        <w:spacing w:after="240"/>
        <w:rPr>
          <w:color w:val="000000" w:themeColor="text1"/>
        </w:rPr>
      </w:pPr>
      <w:r>
        <w:rPr>
          <w:color w:val="000000" w:themeColor="text1"/>
        </w:rPr>
        <w:t>Toki sektore publikoaren esparruan, Kontuen Ganbera honek 2021eko ekitaldiko finantza fiskalizazioko eta/edo legezkotasuneko txostenak egin ditu honako toki-entitate hauentzat:</w:t>
      </w:r>
    </w:p>
    <w:tbl>
      <w:tblPr>
        <w:tblW w:w="8931" w:type="dxa"/>
        <w:jc w:val="center"/>
        <w:tblLayout w:type="fixed"/>
        <w:tblCellMar>
          <w:left w:w="70" w:type="dxa"/>
          <w:right w:w="70" w:type="dxa"/>
        </w:tblCellMar>
        <w:tblLook w:val="04A0" w:firstRow="1" w:lastRow="0" w:firstColumn="1" w:lastColumn="0" w:noHBand="0" w:noVBand="1"/>
      </w:tblPr>
      <w:tblGrid>
        <w:gridCol w:w="1134"/>
        <w:gridCol w:w="851"/>
        <w:gridCol w:w="992"/>
        <w:gridCol w:w="1134"/>
        <w:gridCol w:w="1043"/>
        <w:gridCol w:w="942"/>
        <w:gridCol w:w="1417"/>
        <w:gridCol w:w="1418"/>
      </w:tblGrid>
      <w:tr w:rsidR="00A170AD" w:rsidRPr="00951885" w14:paraId="2D6744FC" w14:textId="77777777" w:rsidTr="00951885">
        <w:trPr>
          <w:trHeight w:val="375"/>
          <w:jc w:val="center"/>
        </w:trPr>
        <w:tc>
          <w:tcPr>
            <w:tcW w:w="1134" w:type="dxa"/>
            <w:vMerge w:val="restart"/>
            <w:tcBorders>
              <w:top w:val="single" w:sz="4" w:space="0" w:color="auto"/>
              <w:left w:val="nil"/>
              <w:bottom w:val="single" w:sz="4" w:space="0" w:color="auto"/>
              <w:right w:val="nil"/>
            </w:tcBorders>
            <w:shd w:val="clear" w:color="000000" w:fill="FABF8F"/>
            <w:vAlign w:val="center"/>
            <w:hideMark/>
          </w:tcPr>
          <w:p w14:paraId="51102CA5" w14:textId="77777777" w:rsidR="00A170AD" w:rsidRPr="00951885" w:rsidRDefault="00A170AD" w:rsidP="000B6345">
            <w:pPr>
              <w:spacing w:after="0"/>
              <w:ind w:firstLine="0"/>
              <w:jc w:val="left"/>
              <w:rPr>
                <w:rFonts w:ascii="Arial" w:hAnsi="Arial" w:cs="Arial"/>
                <w:color w:val="000000"/>
                <w:sz w:val="16"/>
                <w:szCs w:val="16"/>
              </w:rPr>
            </w:pPr>
            <w:r>
              <w:rPr>
                <w:rFonts w:ascii="Arial" w:hAnsi="Arial"/>
                <w:color w:val="000000"/>
                <w:sz w:val="16"/>
              </w:rPr>
              <w:t>Udala</w:t>
            </w:r>
          </w:p>
        </w:tc>
        <w:tc>
          <w:tcPr>
            <w:tcW w:w="851" w:type="dxa"/>
            <w:vMerge w:val="restart"/>
            <w:tcBorders>
              <w:top w:val="single" w:sz="4" w:space="0" w:color="auto"/>
              <w:left w:val="nil"/>
              <w:bottom w:val="single" w:sz="4" w:space="0" w:color="auto"/>
              <w:right w:val="nil"/>
            </w:tcBorders>
            <w:shd w:val="clear" w:color="000000" w:fill="FABF8F"/>
            <w:vAlign w:val="center"/>
            <w:hideMark/>
          </w:tcPr>
          <w:p w14:paraId="282BD235" w14:textId="77777777" w:rsidR="00A170AD" w:rsidRPr="00951885" w:rsidRDefault="00A170AD" w:rsidP="000B6345">
            <w:pPr>
              <w:spacing w:after="0"/>
              <w:ind w:firstLine="0"/>
              <w:jc w:val="right"/>
              <w:rPr>
                <w:rFonts w:ascii="Arial" w:hAnsi="Arial" w:cs="Arial"/>
                <w:color w:val="000000"/>
                <w:sz w:val="16"/>
                <w:szCs w:val="16"/>
              </w:rPr>
            </w:pPr>
            <w:r>
              <w:rPr>
                <w:rFonts w:ascii="Arial" w:hAnsi="Arial"/>
                <w:color w:val="000000"/>
                <w:sz w:val="16"/>
              </w:rPr>
              <w:t>Txostenaren data</w:t>
            </w:r>
          </w:p>
        </w:tc>
        <w:tc>
          <w:tcPr>
            <w:tcW w:w="992" w:type="dxa"/>
            <w:vMerge w:val="restart"/>
            <w:tcBorders>
              <w:top w:val="single" w:sz="4" w:space="0" w:color="auto"/>
              <w:left w:val="nil"/>
              <w:bottom w:val="single" w:sz="4" w:space="0" w:color="auto"/>
              <w:right w:val="nil"/>
            </w:tcBorders>
            <w:shd w:val="clear" w:color="000000" w:fill="FABF8F"/>
            <w:vAlign w:val="center"/>
            <w:hideMark/>
          </w:tcPr>
          <w:p w14:paraId="41D76DEF" w14:textId="77777777" w:rsidR="00A170AD" w:rsidRPr="00951885" w:rsidRDefault="00A170AD" w:rsidP="000B6345">
            <w:pPr>
              <w:spacing w:after="0"/>
              <w:ind w:firstLine="0"/>
              <w:jc w:val="right"/>
              <w:rPr>
                <w:rFonts w:ascii="Arial" w:hAnsi="Arial" w:cs="Arial"/>
                <w:color w:val="000000"/>
                <w:sz w:val="16"/>
                <w:szCs w:val="16"/>
              </w:rPr>
            </w:pPr>
            <w:r>
              <w:rPr>
                <w:rFonts w:ascii="Arial" w:hAnsi="Arial"/>
                <w:color w:val="000000"/>
                <w:sz w:val="16"/>
              </w:rPr>
              <w:t>Biztanleria 2021/01/01ean</w:t>
            </w:r>
          </w:p>
        </w:tc>
        <w:tc>
          <w:tcPr>
            <w:tcW w:w="1134" w:type="dxa"/>
            <w:vMerge w:val="restart"/>
            <w:tcBorders>
              <w:top w:val="single" w:sz="4" w:space="0" w:color="auto"/>
              <w:left w:val="nil"/>
              <w:bottom w:val="single" w:sz="4" w:space="0" w:color="auto"/>
              <w:right w:val="nil"/>
            </w:tcBorders>
            <w:shd w:val="clear" w:color="000000" w:fill="FABF8F"/>
            <w:vAlign w:val="center"/>
            <w:hideMark/>
          </w:tcPr>
          <w:p w14:paraId="2870340C" w14:textId="77777777" w:rsidR="00A170AD" w:rsidRPr="00951885" w:rsidRDefault="00A170AD" w:rsidP="000B6345">
            <w:pPr>
              <w:spacing w:after="0"/>
              <w:ind w:firstLine="0"/>
              <w:jc w:val="right"/>
              <w:rPr>
                <w:rFonts w:ascii="Arial" w:hAnsi="Arial" w:cs="Arial"/>
                <w:color w:val="000000"/>
                <w:sz w:val="16"/>
                <w:szCs w:val="16"/>
              </w:rPr>
            </w:pPr>
            <w:r>
              <w:rPr>
                <w:rFonts w:ascii="Arial" w:hAnsi="Arial"/>
                <w:color w:val="000000"/>
                <w:sz w:val="16"/>
              </w:rPr>
              <w:t>ABG</w:t>
            </w:r>
          </w:p>
        </w:tc>
        <w:tc>
          <w:tcPr>
            <w:tcW w:w="1043" w:type="dxa"/>
            <w:vMerge w:val="restart"/>
            <w:tcBorders>
              <w:top w:val="single" w:sz="4" w:space="0" w:color="auto"/>
              <w:left w:val="nil"/>
              <w:bottom w:val="single" w:sz="4" w:space="0" w:color="auto"/>
              <w:right w:val="nil"/>
            </w:tcBorders>
            <w:shd w:val="clear" w:color="000000" w:fill="FABF8F"/>
            <w:vAlign w:val="center"/>
            <w:hideMark/>
          </w:tcPr>
          <w:p w14:paraId="34940F82" w14:textId="77777777" w:rsidR="00A170AD" w:rsidRPr="00951885" w:rsidRDefault="00A170AD" w:rsidP="000B6345">
            <w:pPr>
              <w:spacing w:after="0"/>
              <w:ind w:firstLine="0"/>
              <w:jc w:val="right"/>
              <w:rPr>
                <w:rFonts w:ascii="Arial" w:hAnsi="Arial" w:cs="Arial"/>
                <w:color w:val="000000"/>
                <w:sz w:val="16"/>
                <w:szCs w:val="16"/>
              </w:rPr>
            </w:pPr>
            <w:r>
              <w:rPr>
                <w:rFonts w:ascii="Arial" w:hAnsi="Arial"/>
                <w:color w:val="000000"/>
                <w:sz w:val="16"/>
              </w:rPr>
              <w:t>AEG</w:t>
            </w:r>
          </w:p>
        </w:tc>
        <w:tc>
          <w:tcPr>
            <w:tcW w:w="942" w:type="dxa"/>
            <w:vMerge w:val="restart"/>
            <w:tcBorders>
              <w:top w:val="single" w:sz="4" w:space="0" w:color="auto"/>
              <w:left w:val="nil"/>
              <w:bottom w:val="single" w:sz="4" w:space="0" w:color="auto"/>
              <w:right w:val="nil"/>
            </w:tcBorders>
            <w:shd w:val="clear" w:color="000000" w:fill="FABF8F"/>
            <w:vAlign w:val="center"/>
            <w:hideMark/>
          </w:tcPr>
          <w:p w14:paraId="0026E887" w14:textId="77777777" w:rsidR="00A170AD" w:rsidRPr="00951885" w:rsidRDefault="00A170AD" w:rsidP="000B6345">
            <w:pPr>
              <w:spacing w:after="0"/>
              <w:ind w:hanging="9"/>
              <w:jc w:val="right"/>
              <w:rPr>
                <w:rFonts w:ascii="Arial" w:hAnsi="Arial" w:cs="Arial"/>
                <w:color w:val="000000"/>
                <w:sz w:val="16"/>
                <w:szCs w:val="16"/>
              </w:rPr>
            </w:pPr>
            <w:r>
              <w:rPr>
                <w:rFonts w:ascii="Arial" w:hAnsi="Arial"/>
                <w:color w:val="000000"/>
                <w:sz w:val="16"/>
              </w:rPr>
              <w:t>Langileak 2021/12/31n</w:t>
            </w:r>
          </w:p>
        </w:tc>
        <w:tc>
          <w:tcPr>
            <w:tcW w:w="2835" w:type="dxa"/>
            <w:gridSpan w:val="2"/>
            <w:tcBorders>
              <w:top w:val="single" w:sz="4" w:space="0" w:color="auto"/>
              <w:left w:val="nil"/>
              <w:bottom w:val="single" w:sz="4" w:space="0" w:color="auto"/>
              <w:right w:val="nil"/>
            </w:tcBorders>
            <w:shd w:val="clear" w:color="000000" w:fill="FABF8F"/>
            <w:vAlign w:val="center"/>
          </w:tcPr>
          <w:p w14:paraId="16535EA0" w14:textId="77777777" w:rsidR="00A170AD" w:rsidRPr="00951885" w:rsidRDefault="00A170AD" w:rsidP="000B6345">
            <w:pPr>
              <w:spacing w:after="0"/>
              <w:ind w:firstLine="0"/>
              <w:jc w:val="center"/>
              <w:rPr>
                <w:rFonts w:ascii="Arial" w:hAnsi="Arial" w:cs="Arial"/>
                <w:color w:val="000000"/>
                <w:sz w:val="16"/>
                <w:szCs w:val="16"/>
              </w:rPr>
            </w:pPr>
            <w:r>
              <w:rPr>
                <w:rFonts w:ascii="Arial" w:hAnsi="Arial"/>
                <w:color w:val="000000"/>
                <w:sz w:val="16"/>
              </w:rPr>
              <w:t>Fiskalizazioaren emaitzak*</w:t>
            </w:r>
          </w:p>
        </w:tc>
      </w:tr>
      <w:tr w:rsidR="00A170AD" w:rsidRPr="00951885" w14:paraId="6539050F" w14:textId="77777777" w:rsidTr="00951885">
        <w:trPr>
          <w:trHeight w:val="300"/>
          <w:jc w:val="center"/>
        </w:trPr>
        <w:tc>
          <w:tcPr>
            <w:tcW w:w="1134" w:type="dxa"/>
            <w:vMerge/>
            <w:tcBorders>
              <w:top w:val="single" w:sz="4" w:space="0" w:color="auto"/>
              <w:left w:val="nil"/>
              <w:bottom w:val="single" w:sz="4" w:space="0" w:color="auto"/>
              <w:right w:val="nil"/>
            </w:tcBorders>
            <w:vAlign w:val="center"/>
            <w:hideMark/>
          </w:tcPr>
          <w:p w14:paraId="7194DBDC" w14:textId="77777777" w:rsidR="00A170AD" w:rsidRPr="00951885" w:rsidRDefault="00A170AD" w:rsidP="000B6345">
            <w:pPr>
              <w:spacing w:after="0"/>
              <w:ind w:firstLine="0"/>
              <w:rPr>
                <w:rFonts w:ascii="Arial" w:hAnsi="Arial" w:cs="Arial"/>
                <w:color w:val="000000"/>
                <w:sz w:val="16"/>
                <w:szCs w:val="16"/>
                <w:lang w:eastAsia="zh-CN"/>
              </w:rPr>
            </w:pPr>
          </w:p>
        </w:tc>
        <w:tc>
          <w:tcPr>
            <w:tcW w:w="851" w:type="dxa"/>
            <w:vMerge/>
            <w:tcBorders>
              <w:top w:val="single" w:sz="4" w:space="0" w:color="auto"/>
              <w:left w:val="nil"/>
              <w:bottom w:val="single" w:sz="4" w:space="0" w:color="auto"/>
              <w:right w:val="nil"/>
            </w:tcBorders>
            <w:vAlign w:val="center"/>
            <w:hideMark/>
          </w:tcPr>
          <w:p w14:paraId="769D0D3C" w14:textId="77777777" w:rsidR="00A170AD" w:rsidRPr="00951885" w:rsidRDefault="00A170AD" w:rsidP="000B6345">
            <w:pPr>
              <w:spacing w:after="0"/>
              <w:ind w:firstLine="0"/>
              <w:jc w:val="right"/>
              <w:rPr>
                <w:rFonts w:ascii="Arial" w:hAnsi="Arial" w:cs="Arial"/>
                <w:color w:val="000000"/>
                <w:sz w:val="16"/>
                <w:szCs w:val="16"/>
                <w:lang w:eastAsia="zh-CN"/>
              </w:rPr>
            </w:pPr>
          </w:p>
        </w:tc>
        <w:tc>
          <w:tcPr>
            <w:tcW w:w="992" w:type="dxa"/>
            <w:vMerge/>
            <w:tcBorders>
              <w:top w:val="single" w:sz="4" w:space="0" w:color="auto"/>
              <w:left w:val="nil"/>
              <w:bottom w:val="single" w:sz="4" w:space="0" w:color="auto"/>
              <w:right w:val="nil"/>
            </w:tcBorders>
            <w:vAlign w:val="center"/>
            <w:hideMark/>
          </w:tcPr>
          <w:p w14:paraId="54CD245A" w14:textId="77777777" w:rsidR="00A170AD" w:rsidRPr="00951885" w:rsidRDefault="00A170AD" w:rsidP="000B6345">
            <w:pPr>
              <w:spacing w:after="0"/>
              <w:ind w:firstLine="0"/>
              <w:jc w:val="right"/>
              <w:rPr>
                <w:rFonts w:ascii="Arial" w:hAnsi="Arial" w:cs="Arial"/>
                <w:color w:val="000000"/>
                <w:sz w:val="16"/>
                <w:szCs w:val="16"/>
                <w:lang w:eastAsia="zh-CN"/>
              </w:rPr>
            </w:pPr>
          </w:p>
        </w:tc>
        <w:tc>
          <w:tcPr>
            <w:tcW w:w="1134" w:type="dxa"/>
            <w:vMerge/>
            <w:tcBorders>
              <w:top w:val="single" w:sz="4" w:space="0" w:color="auto"/>
              <w:left w:val="nil"/>
              <w:bottom w:val="single" w:sz="4" w:space="0" w:color="auto"/>
              <w:right w:val="nil"/>
            </w:tcBorders>
            <w:vAlign w:val="center"/>
            <w:hideMark/>
          </w:tcPr>
          <w:p w14:paraId="1231BE67" w14:textId="77777777" w:rsidR="00A170AD" w:rsidRPr="00951885" w:rsidRDefault="00A170AD" w:rsidP="000B6345">
            <w:pPr>
              <w:spacing w:after="0"/>
              <w:ind w:firstLine="0"/>
              <w:jc w:val="right"/>
              <w:rPr>
                <w:rFonts w:ascii="Arial" w:hAnsi="Arial" w:cs="Arial"/>
                <w:color w:val="000000"/>
                <w:sz w:val="16"/>
                <w:szCs w:val="16"/>
                <w:lang w:eastAsia="zh-CN"/>
              </w:rPr>
            </w:pPr>
          </w:p>
        </w:tc>
        <w:tc>
          <w:tcPr>
            <w:tcW w:w="1043" w:type="dxa"/>
            <w:vMerge/>
            <w:tcBorders>
              <w:top w:val="single" w:sz="4" w:space="0" w:color="auto"/>
              <w:left w:val="nil"/>
              <w:bottom w:val="single" w:sz="4" w:space="0" w:color="auto"/>
              <w:right w:val="nil"/>
            </w:tcBorders>
            <w:vAlign w:val="center"/>
            <w:hideMark/>
          </w:tcPr>
          <w:p w14:paraId="36FEB5B0" w14:textId="77777777" w:rsidR="00A170AD" w:rsidRPr="00951885" w:rsidRDefault="00A170AD" w:rsidP="000B6345">
            <w:pPr>
              <w:spacing w:after="0"/>
              <w:ind w:firstLine="0"/>
              <w:jc w:val="right"/>
              <w:rPr>
                <w:rFonts w:ascii="Arial" w:hAnsi="Arial" w:cs="Arial"/>
                <w:color w:val="000000"/>
                <w:sz w:val="16"/>
                <w:szCs w:val="16"/>
                <w:lang w:eastAsia="zh-CN"/>
              </w:rPr>
            </w:pPr>
          </w:p>
        </w:tc>
        <w:tc>
          <w:tcPr>
            <w:tcW w:w="942" w:type="dxa"/>
            <w:vMerge/>
            <w:tcBorders>
              <w:top w:val="single" w:sz="4" w:space="0" w:color="auto"/>
              <w:left w:val="nil"/>
              <w:bottom w:val="single" w:sz="4" w:space="0" w:color="auto"/>
              <w:right w:val="nil"/>
            </w:tcBorders>
            <w:vAlign w:val="center"/>
            <w:hideMark/>
          </w:tcPr>
          <w:p w14:paraId="30D7AA69" w14:textId="77777777" w:rsidR="00A170AD" w:rsidRPr="00951885" w:rsidRDefault="00A170AD" w:rsidP="000B6345">
            <w:pPr>
              <w:spacing w:after="0"/>
              <w:ind w:hanging="9"/>
              <w:rPr>
                <w:rFonts w:ascii="Arial" w:hAnsi="Arial" w:cs="Arial"/>
                <w:color w:val="000000"/>
                <w:sz w:val="16"/>
                <w:szCs w:val="16"/>
                <w:lang w:eastAsia="zh-CN"/>
              </w:rPr>
            </w:pPr>
          </w:p>
        </w:tc>
        <w:tc>
          <w:tcPr>
            <w:tcW w:w="1417" w:type="dxa"/>
            <w:tcBorders>
              <w:top w:val="nil"/>
              <w:left w:val="nil"/>
              <w:bottom w:val="single" w:sz="4" w:space="0" w:color="auto"/>
              <w:right w:val="nil"/>
            </w:tcBorders>
            <w:shd w:val="clear" w:color="000000" w:fill="FABF8F"/>
            <w:vAlign w:val="center"/>
          </w:tcPr>
          <w:p w14:paraId="12C8C524" w14:textId="2D518743" w:rsidR="00A170AD" w:rsidRPr="00951885" w:rsidRDefault="00951885" w:rsidP="000B6345">
            <w:pPr>
              <w:spacing w:after="0"/>
              <w:ind w:firstLine="0"/>
              <w:jc w:val="center"/>
              <w:rPr>
                <w:rFonts w:ascii="Arial" w:hAnsi="Arial" w:cs="Arial"/>
                <w:color w:val="000000"/>
                <w:sz w:val="16"/>
                <w:szCs w:val="16"/>
              </w:rPr>
            </w:pPr>
            <w:r>
              <w:rPr>
                <w:rFonts w:ascii="Arial" w:hAnsi="Arial"/>
                <w:color w:val="000000"/>
                <w:sz w:val="16"/>
              </w:rPr>
              <w:t>Finantzei b. iritzia</w:t>
            </w:r>
          </w:p>
        </w:tc>
        <w:tc>
          <w:tcPr>
            <w:tcW w:w="1418" w:type="dxa"/>
            <w:tcBorders>
              <w:top w:val="nil"/>
              <w:left w:val="nil"/>
              <w:bottom w:val="single" w:sz="4" w:space="0" w:color="auto"/>
              <w:right w:val="nil"/>
            </w:tcBorders>
            <w:shd w:val="clear" w:color="000000" w:fill="FABF8F"/>
            <w:vAlign w:val="center"/>
          </w:tcPr>
          <w:p w14:paraId="56E753EC" w14:textId="77777777" w:rsidR="00A170AD" w:rsidRPr="00951885" w:rsidRDefault="00A170AD" w:rsidP="000B6345">
            <w:pPr>
              <w:spacing w:after="0"/>
              <w:ind w:firstLine="0"/>
              <w:jc w:val="center"/>
              <w:rPr>
                <w:rFonts w:ascii="Arial" w:hAnsi="Arial" w:cs="Arial"/>
                <w:color w:val="000000"/>
                <w:sz w:val="16"/>
                <w:szCs w:val="16"/>
              </w:rPr>
            </w:pPr>
            <w:r>
              <w:rPr>
                <w:rFonts w:ascii="Arial" w:hAnsi="Arial"/>
                <w:color w:val="000000"/>
                <w:sz w:val="16"/>
              </w:rPr>
              <w:t>Arauen betetzea**</w:t>
            </w:r>
          </w:p>
        </w:tc>
      </w:tr>
      <w:tr w:rsidR="00A170AD" w:rsidRPr="00951885" w14:paraId="74DC086E" w14:textId="77777777" w:rsidTr="009D4522">
        <w:trPr>
          <w:trHeight w:val="300"/>
          <w:jc w:val="center"/>
        </w:trPr>
        <w:tc>
          <w:tcPr>
            <w:tcW w:w="1134" w:type="dxa"/>
            <w:tcBorders>
              <w:top w:val="nil"/>
              <w:left w:val="nil"/>
              <w:bottom w:val="single" w:sz="2" w:space="0" w:color="auto"/>
              <w:right w:val="nil"/>
            </w:tcBorders>
            <w:shd w:val="clear" w:color="auto" w:fill="auto"/>
            <w:vAlign w:val="center"/>
            <w:hideMark/>
          </w:tcPr>
          <w:p w14:paraId="715EC047" w14:textId="77777777" w:rsidR="00A170AD" w:rsidRPr="00951885" w:rsidRDefault="00A170AD" w:rsidP="000B6345">
            <w:pPr>
              <w:spacing w:after="0"/>
              <w:ind w:firstLine="0"/>
              <w:rPr>
                <w:rFonts w:ascii="Arial Narrow" w:hAnsi="Arial Narrow" w:cs="Arial"/>
                <w:color w:val="000000"/>
                <w:sz w:val="16"/>
                <w:szCs w:val="16"/>
              </w:rPr>
            </w:pPr>
            <w:r>
              <w:rPr>
                <w:rFonts w:ascii="Arial Narrow" w:hAnsi="Arial Narrow"/>
                <w:color w:val="000000"/>
                <w:sz w:val="16"/>
              </w:rPr>
              <w:t>Iruña</w:t>
            </w:r>
          </w:p>
        </w:tc>
        <w:tc>
          <w:tcPr>
            <w:tcW w:w="851" w:type="dxa"/>
            <w:tcBorders>
              <w:top w:val="nil"/>
              <w:left w:val="nil"/>
              <w:bottom w:val="single" w:sz="2" w:space="0" w:color="auto"/>
              <w:right w:val="nil"/>
            </w:tcBorders>
            <w:shd w:val="clear" w:color="auto" w:fill="auto"/>
            <w:noWrap/>
            <w:vAlign w:val="center"/>
            <w:hideMark/>
          </w:tcPr>
          <w:p w14:paraId="3251CFF3"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2023/01/12</w:t>
            </w:r>
          </w:p>
        </w:tc>
        <w:tc>
          <w:tcPr>
            <w:tcW w:w="992" w:type="dxa"/>
            <w:tcBorders>
              <w:top w:val="nil"/>
              <w:left w:val="nil"/>
              <w:bottom w:val="single" w:sz="2" w:space="0" w:color="auto"/>
              <w:right w:val="nil"/>
            </w:tcBorders>
            <w:shd w:val="clear" w:color="auto" w:fill="auto"/>
            <w:noWrap/>
            <w:vAlign w:val="center"/>
            <w:hideMark/>
          </w:tcPr>
          <w:p w14:paraId="19C3B744"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203.081</w:t>
            </w:r>
          </w:p>
        </w:tc>
        <w:tc>
          <w:tcPr>
            <w:tcW w:w="1134" w:type="dxa"/>
            <w:tcBorders>
              <w:top w:val="nil"/>
              <w:left w:val="nil"/>
              <w:bottom w:val="single" w:sz="2" w:space="0" w:color="auto"/>
              <w:right w:val="nil"/>
            </w:tcBorders>
            <w:shd w:val="clear" w:color="auto" w:fill="auto"/>
            <w:noWrap/>
            <w:vAlign w:val="center"/>
            <w:hideMark/>
          </w:tcPr>
          <w:p w14:paraId="5C31E7B0"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255.110.762</w:t>
            </w:r>
          </w:p>
        </w:tc>
        <w:tc>
          <w:tcPr>
            <w:tcW w:w="1043" w:type="dxa"/>
            <w:tcBorders>
              <w:top w:val="nil"/>
              <w:left w:val="nil"/>
              <w:bottom w:val="single" w:sz="2" w:space="0" w:color="auto"/>
              <w:right w:val="nil"/>
            </w:tcBorders>
            <w:shd w:val="clear" w:color="auto" w:fill="auto"/>
            <w:vAlign w:val="center"/>
            <w:hideMark/>
          </w:tcPr>
          <w:p w14:paraId="0373E87E"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241.660.051</w:t>
            </w:r>
          </w:p>
        </w:tc>
        <w:tc>
          <w:tcPr>
            <w:tcW w:w="942" w:type="dxa"/>
            <w:tcBorders>
              <w:top w:val="nil"/>
              <w:left w:val="nil"/>
              <w:bottom w:val="single" w:sz="2" w:space="0" w:color="auto"/>
              <w:right w:val="nil"/>
            </w:tcBorders>
            <w:shd w:val="clear" w:color="auto" w:fill="auto"/>
            <w:vAlign w:val="center"/>
            <w:hideMark/>
          </w:tcPr>
          <w:p w14:paraId="1737CE06" w14:textId="77777777" w:rsidR="00A170AD" w:rsidRPr="00951885" w:rsidRDefault="00A170AD" w:rsidP="000B6345">
            <w:pPr>
              <w:spacing w:after="0"/>
              <w:ind w:hanging="9"/>
              <w:jc w:val="right"/>
              <w:rPr>
                <w:rFonts w:ascii="Arial Narrow" w:hAnsi="Arial Narrow" w:cs="Arial"/>
                <w:color w:val="000000"/>
                <w:sz w:val="16"/>
                <w:szCs w:val="16"/>
              </w:rPr>
            </w:pPr>
            <w:r>
              <w:rPr>
                <w:rFonts w:ascii="Arial Narrow" w:hAnsi="Arial Narrow"/>
                <w:color w:val="000000"/>
                <w:sz w:val="16"/>
              </w:rPr>
              <w:t>1.610</w:t>
            </w:r>
          </w:p>
        </w:tc>
        <w:tc>
          <w:tcPr>
            <w:tcW w:w="1417" w:type="dxa"/>
            <w:tcBorders>
              <w:top w:val="nil"/>
              <w:left w:val="nil"/>
              <w:bottom w:val="single" w:sz="2" w:space="0" w:color="auto"/>
              <w:right w:val="nil"/>
            </w:tcBorders>
            <w:vAlign w:val="center"/>
          </w:tcPr>
          <w:p w14:paraId="14FBD3A0"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Aldekoa</w:t>
            </w:r>
          </w:p>
        </w:tc>
        <w:tc>
          <w:tcPr>
            <w:tcW w:w="1418" w:type="dxa"/>
            <w:tcBorders>
              <w:top w:val="nil"/>
              <w:left w:val="nil"/>
              <w:bottom w:val="single" w:sz="2" w:space="0" w:color="auto"/>
              <w:right w:val="nil"/>
            </w:tcBorders>
            <w:vAlign w:val="center"/>
          </w:tcPr>
          <w:p w14:paraId="37708505"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Salbuespenekin (2)</w:t>
            </w:r>
          </w:p>
        </w:tc>
      </w:tr>
      <w:tr w:rsidR="00A170AD" w:rsidRPr="00951885" w14:paraId="101DE436" w14:textId="77777777" w:rsidTr="000B6345">
        <w:trPr>
          <w:trHeight w:val="300"/>
          <w:jc w:val="center"/>
        </w:trPr>
        <w:tc>
          <w:tcPr>
            <w:tcW w:w="1134" w:type="dxa"/>
            <w:tcBorders>
              <w:top w:val="single" w:sz="2" w:space="0" w:color="auto"/>
              <w:left w:val="nil"/>
              <w:bottom w:val="single" w:sz="2" w:space="0" w:color="auto"/>
              <w:right w:val="nil"/>
            </w:tcBorders>
            <w:shd w:val="clear" w:color="auto" w:fill="auto"/>
            <w:vAlign w:val="center"/>
          </w:tcPr>
          <w:p w14:paraId="042A980D" w14:textId="77777777" w:rsidR="00A170AD" w:rsidRPr="00951885" w:rsidRDefault="00A170AD" w:rsidP="000B6345">
            <w:pPr>
              <w:spacing w:after="0"/>
              <w:ind w:firstLine="0"/>
              <w:rPr>
                <w:rFonts w:ascii="Arial Narrow" w:hAnsi="Arial Narrow" w:cs="Arial"/>
                <w:color w:val="000000"/>
                <w:sz w:val="16"/>
                <w:szCs w:val="16"/>
              </w:rPr>
            </w:pPr>
            <w:r>
              <w:rPr>
                <w:rFonts w:ascii="Arial Narrow" w:hAnsi="Arial Narrow"/>
                <w:color w:val="000000"/>
                <w:sz w:val="16"/>
              </w:rPr>
              <w:t>Zizur Zendea</w:t>
            </w:r>
          </w:p>
        </w:tc>
        <w:tc>
          <w:tcPr>
            <w:tcW w:w="851" w:type="dxa"/>
            <w:tcBorders>
              <w:top w:val="single" w:sz="2" w:space="0" w:color="auto"/>
              <w:left w:val="nil"/>
              <w:bottom w:val="single" w:sz="2" w:space="0" w:color="auto"/>
              <w:right w:val="nil"/>
            </w:tcBorders>
            <w:shd w:val="clear" w:color="auto" w:fill="auto"/>
            <w:noWrap/>
            <w:vAlign w:val="center"/>
          </w:tcPr>
          <w:p w14:paraId="78FD4AB3"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2023/03/10</w:t>
            </w:r>
          </w:p>
        </w:tc>
        <w:tc>
          <w:tcPr>
            <w:tcW w:w="992" w:type="dxa"/>
            <w:tcBorders>
              <w:top w:val="single" w:sz="2" w:space="0" w:color="auto"/>
              <w:left w:val="nil"/>
              <w:bottom w:val="single" w:sz="2" w:space="0" w:color="auto"/>
              <w:right w:val="nil"/>
            </w:tcBorders>
            <w:shd w:val="clear" w:color="auto" w:fill="auto"/>
            <w:noWrap/>
            <w:vAlign w:val="center"/>
          </w:tcPr>
          <w:p w14:paraId="062B0F7B"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3.890</w:t>
            </w:r>
          </w:p>
        </w:tc>
        <w:tc>
          <w:tcPr>
            <w:tcW w:w="1134" w:type="dxa"/>
            <w:tcBorders>
              <w:top w:val="single" w:sz="2" w:space="0" w:color="auto"/>
              <w:left w:val="nil"/>
              <w:bottom w:val="single" w:sz="2" w:space="0" w:color="auto"/>
              <w:right w:val="nil"/>
            </w:tcBorders>
            <w:shd w:val="clear" w:color="auto" w:fill="auto"/>
            <w:noWrap/>
            <w:vAlign w:val="center"/>
          </w:tcPr>
          <w:p w14:paraId="09DBCFAD"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3.642.927</w:t>
            </w:r>
          </w:p>
        </w:tc>
        <w:tc>
          <w:tcPr>
            <w:tcW w:w="1043" w:type="dxa"/>
            <w:tcBorders>
              <w:top w:val="single" w:sz="2" w:space="0" w:color="auto"/>
              <w:left w:val="nil"/>
              <w:bottom w:val="single" w:sz="2" w:space="0" w:color="auto"/>
              <w:right w:val="nil"/>
            </w:tcBorders>
            <w:shd w:val="clear" w:color="auto" w:fill="auto"/>
            <w:vAlign w:val="center"/>
          </w:tcPr>
          <w:p w14:paraId="0D5F87CB"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3.264.729</w:t>
            </w:r>
          </w:p>
        </w:tc>
        <w:tc>
          <w:tcPr>
            <w:tcW w:w="942" w:type="dxa"/>
            <w:tcBorders>
              <w:top w:val="single" w:sz="2" w:space="0" w:color="auto"/>
              <w:left w:val="nil"/>
              <w:bottom w:val="single" w:sz="2" w:space="0" w:color="auto"/>
              <w:right w:val="nil"/>
            </w:tcBorders>
            <w:shd w:val="clear" w:color="auto" w:fill="auto"/>
            <w:vAlign w:val="center"/>
          </w:tcPr>
          <w:p w14:paraId="4B73E586" w14:textId="77777777" w:rsidR="00A170AD" w:rsidRPr="00951885" w:rsidRDefault="00A170AD" w:rsidP="000B6345">
            <w:pPr>
              <w:spacing w:after="0"/>
              <w:ind w:hanging="9"/>
              <w:jc w:val="right"/>
              <w:rPr>
                <w:rFonts w:ascii="Arial Narrow" w:hAnsi="Arial Narrow" w:cs="Arial"/>
                <w:color w:val="000000"/>
                <w:sz w:val="16"/>
                <w:szCs w:val="16"/>
              </w:rPr>
            </w:pPr>
            <w:r>
              <w:rPr>
                <w:rFonts w:ascii="Arial Narrow" w:hAnsi="Arial Narrow"/>
                <w:color w:val="000000"/>
                <w:sz w:val="16"/>
              </w:rPr>
              <w:t>12</w:t>
            </w:r>
          </w:p>
        </w:tc>
        <w:tc>
          <w:tcPr>
            <w:tcW w:w="1417" w:type="dxa"/>
            <w:tcBorders>
              <w:top w:val="single" w:sz="2" w:space="0" w:color="auto"/>
              <w:left w:val="nil"/>
              <w:bottom w:val="single" w:sz="2" w:space="0" w:color="auto"/>
              <w:right w:val="nil"/>
            </w:tcBorders>
            <w:vAlign w:val="center"/>
          </w:tcPr>
          <w:p w14:paraId="3988047F"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Aldekoa</w:t>
            </w:r>
          </w:p>
        </w:tc>
        <w:tc>
          <w:tcPr>
            <w:tcW w:w="1418" w:type="dxa"/>
            <w:tcBorders>
              <w:top w:val="single" w:sz="2" w:space="0" w:color="auto"/>
              <w:left w:val="nil"/>
              <w:bottom w:val="single" w:sz="2" w:space="0" w:color="auto"/>
              <w:right w:val="nil"/>
            </w:tcBorders>
            <w:vAlign w:val="center"/>
          </w:tcPr>
          <w:p w14:paraId="6A09E912"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w:t>
            </w:r>
          </w:p>
        </w:tc>
      </w:tr>
      <w:tr w:rsidR="00A170AD" w:rsidRPr="00951885" w14:paraId="7C4FCD44" w14:textId="77777777" w:rsidTr="000B6345">
        <w:trPr>
          <w:trHeight w:val="300"/>
          <w:jc w:val="center"/>
        </w:trPr>
        <w:tc>
          <w:tcPr>
            <w:tcW w:w="1134" w:type="dxa"/>
            <w:tcBorders>
              <w:top w:val="single" w:sz="2" w:space="0" w:color="auto"/>
              <w:left w:val="nil"/>
              <w:bottom w:val="single" w:sz="2" w:space="0" w:color="auto"/>
              <w:right w:val="nil"/>
            </w:tcBorders>
            <w:shd w:val="clear" w:color="auto" w:fill="auto"/>
            <w:vAlign w:val="center"/>
          </w:tcPr>
          <w:p w14:paraId="791B70D1" w14:textId="77777777" w:rsidR="00A170AD" w:rsidRPr="00951885" w:rsidRDefault="00A170AD" w:rsidP="000B6345">
            <w:pPr>
              <w:spacing w:after="0"/>
              <w:ind w:firstLine="0"/>
              <w:rPr>
                <w:rFonts w:ascii="Arial Narrow" w:hAnsi="Arial Narrow" w:cs="Arial"/>
                <w:color w:val="000000"/>
                <w:sz w:val="16"/>
                <w:szCs w:val="16"/>
              </w:rPr>
            </w:pPr>
            <w:r>
              <w:rPr>
                <w:rFonts w:ascii="Arial Narrow" w:hAnsi="Arial Narrow"/>
                <w:color w:val="000000"/>
                <w:sz w:val="16"/>
              </w:rPr>
              <w:t>Valtierra</w:t>
            </w:r>
          </w:p>
        </w:tc>
        <w:tc>
          <w:tcPr>
            <w:tcW w:w="851" w:type="dxa"/>
            <w:tcBorders>
              <w:top w:val="single" w:sz="2" w:space="0" w:color="auto"/>
              <w:left w:val="nil"/>
              <w:bottom w:val="single" w:sz="2" w:space="0" w:color="auto"/>
              <w:right w:val="nil"/>
            </w:tcBorders>
            <w:shd w:val="clear" w:color="auto" w:fill="auto"/>
            <w:noWrap/>
            <w:vAlign w:val="center"/>
          </w:tcPr>
          <w:p w14:paraId="06DDD500"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2023/03/24</w:t>
            </w:r>
          </w:p>
        </w:tc>
        <w:tc>
          <w:tcPr>
            <w:tcW w:w="992" w:type="dxa"/>
            <w:tcBorders>
              <w:top w:val="single" w:sz="2" w:space="0" w:color="auto"/>
              <w:left w:val="nil"/>
              <w:bottom w:val="single" w:sz="2" w:space="0" w:color="auto"/>
              <w:right w:val="nil"/>
            </w:tcBorders>
            <w:shd w:val="clear" w:color="auto" w:fill="auto"/>
            <w:noWrap/>
            <w:vAlign w:val="center"/>
          </w:tcPr>
          <w:p w14:paraId="09FDECC5"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2.439</w:t>
            </w:r>
          </w:p>
        </w:tc>
        <w:tc>
          <w:tcPr>
            <w:tcW w:w="1134" w:type="dxa"/>
            <w:tcBorders>
              <w:top w:val="single" w:sz="2" w:space="0" w:color="auto"/>
              <w:left w:val="nil"/>
              <w:bottom w:val="single" w:sz="2" w:space="0" w:color="auto"/>
              <w:right w:val="nil"/>
            </w:tcBorders>
            <w:shd w:val="clear" w:color="auto" w:fill="auto"/>
            <w:noWrap/>
            <w:vAlign w:val="center"/>
          </w:tcPr>
          <w:p w14:paraId="146E1822"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4.127.890</w:t>
            </w:r>
          </w:p>
        </w:tc>
        <w:tc>
          <w:tcPr>
            <w:tcW w:w="1043" w:type="dxa"/>
            <w:tcBorders>
              <w:top w:val="single" w:sz="2" w:space="0" w:color="auto"/>
              <w:left w:val="nil"/>
              <w:bottom w:val="single" w:sz="2" w:space="0" w:color="auto"/>
              <w:right w:val="nil"/>
            </w:tcBorders>
            <w:shd w:val="clear" w:color="auto" w:fill="auto"/>
            <w:vAlign w:val="center"/>
          </w:tcPr>
          <w:p w14:paraId="661519FB"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4.052.347</w:t>
            </w:r>
          </w:p>
        </w:tc>
        <w:tc>
          <w:tcPr>
            <w:tcW w:w="942" w:type="dxa"/>
            <w:tcBorders>
              <w:top w:val="single" w:sz="2" w:space="0" w:color="auto"/>
              <w:left w:val="nil"/>
              <w:bottom w:val="single" w:sz="2" w:space="0" w:color="auto"/>
              <w:right w:val="nil"/>
            </w:tcBorders>
            <w:shd w:val="clear" w:color="auto" w:fill="auto"/>
            <w:vAlign w:val="center"/>
          </w:tcPr>
          <w:p w14:paraId="33CFEC6B" w14:textId="77777777" w:rsidR="00A170AD" w:rsidRPr="00951885" w:rsidRDefault="00A170AD" w:rsidP="000B6345">
            <w:pPr>
              <w:spacing w:after="0"/>
              <w:ind w:hanging="9"/>
              <w:jc w:val="right"/>
              <w:rPr>
                <w:rFonts w:ascii="Arial Narrow" w:hAnsi="Arial Narrow" w:cs="Arial"/>
                <w:color w:val="000000"/>
                <w:sz w:val="16"/>
                <w:szCs w:val="16"/>
              </w:rPr>
            </w:pPr>
            <w:r>
              <w:rPr>
                <w:rFonts w:ascii="Arial Narrow" w:hAnsi="Arial Narrow"/>
                <w:color w:val="000000"/>
                <w:sz w:val="16"/>
              </w:rPr>
              <w:t>15</w:t>
            </w:r>
          </w:p>
        </w:tc>
        <w:tc>
          <w:tcPr>
            <w:tcW w:w="1417" w:type="dxa"/>
            <w:tcBorders>
              <w:top w:val="single" w:sz="2" w:space="0" w:color="auto"/>
              <w:left w:val="nil"/>
              <w:bottom w:val="single" w:sz="2" w:space="0" w:color="auto"/>
              <w:right w:val="nil"/>
            </w:tcBorders>
            <w:vAlign w:val="center"/>
          </w:tcPr>
          <w:p w14:paraId="7009D9AC"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Salbuespenekin (4)</w:t>
            </w:r>
          </w:p>
        </w:tc>
        <w:tc>
          <w:tcPr>
            <w:tcW w:w="1418" w:type="dxa"/>
            <w:tcBorders>
              <w:top w:val="single" w:sz="2" w:space="0" w:color="auto"/>
              <w:left w:val="nil"/>
              <w:bottom w:val="single" w:sz="2" w:space="0" w:color="auto"/>
              <w:right w:val="nil"/>
            </w:tcBorders>
            <w:vAlign w:val="center"/>
          </w:tcPr>
          <w:p w14:paraId="18F999B5"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w:t>
            </w:r>
          </w:p>
        </w:tc>
      </w:tr>
      <w:tr w:rsidR="00A170AD" w:rsidRPr="00951885" w14:paraId="7844EFF1" w14:textId="77777777" w:rsidTr="000B6345">
        <w:trPr>
          <w:trHeight w:val="300"/>
          <w:jc w:val="center"/>
        </w:trPr>
        <w:tc>
          <w:tcPr>
            <w:tcW w:w="1134" w:type="dxa"/>
            <w:tcBorders>
              <w:top w:val="single" w:sz="2" w:space="0" w:color="auto"/>
              <w:left w:val="nil"/>
              <w:bottom w:val="single" w:sz="2" w:space="0" w:color="auto"/>
              <w:right w:val="nil"/>
            </w:tcBorders>
            <w:shd w:val="clear" w:color="auto" w:fill="auto"/>
            <w:vAlign w:val="center"/>
          </w:tcPr>
          <w:p w14:paraId="4263B646" w14:textId="77777777" w:rsidR="00A170AD" w:rsidRPr="00951885" w:rsidRDefault="00A170AD" w:rsidP="000B6345">
            <w:pPr>
              <w:spacing w:after="0"/>
              <w:ind w:firstLine="0"/>
              <w:rPr>
                <w:rFonts w:ascii="Arial Narrow" w:hAnsi="Arial Narrow" w:cs="Arial"/>
                <w:color w:val="000000"/>
                <w:sz w:val="16"/>
                <w:szCs w:val="16"/>
              </w:rPr>
            </w:pPr>
            <w:r>
              <w:rPr>
                <w:rFonts w:ascii="Arial Narrow" w:hAnsi="Arial Narrow"/>
                <w:color w:val="000000"/>
                <w:sz w:val="16"/>
              </w:rPr>
              <w:lastRenderedPageBreak/>
              <w:t>Cadreita</w:t>
            </w:r>
          </w:p>
        </w:tc>
        <w:tc>
          <w:tcPr>
            <w:tcW w:w="851" w:type="dxa"/>
            <w:tcBorders>
              <w:top w:val="single" w:sz="2" w:space="0" w:color="auto"/>
              <w:left w:val="nil"/>
              <w:bottom w:val="single" w:sz="2" w:space="0" w:color="auto"/>
              <w:right w:val="nil"/>
            </w:tcBorders>
            <w:shd w:val="clear" w:color="auto" w:fill="auto"/>
            <w:noWrap/>
            <w:vAlign w:val="center"/>
          </w:tcPr>
          <w:p w14:paraId="12E1BC9F"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2023/03/29</w:t>
            </w:r>
          </w:p>
        </w:tc>
        <w:tc>
          <w:tcPr>
            <w:tcW w:w="992" w:type="dxa"/>
            <w:tcBorders>
              <w:top w:val="single" w:sz="2" w:space="0" w:color="auto"/>
              <w:left w:val="nil"/>
              <w:bottom w:val="single" w:sz="2" w:space="0" w:color="auto"/>
              <w:right w:val="nil"/>
            </w:tcBorders>
            <w:shd w:val="clear" w:color="auto" w:fill="auto"/>
            <w:noWrap/>
            <w:vAlign w:val="center"/>
          </w:tcPr>
          <w:p w14:paraId="0988B0BD"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2.045</w:t>
            </w:r>
          </w:p>
        </w:tc>
        <w:tc>
          <w:tcPr>
            <w:tcW w:w="1134" w:type="dxa"/>
            <w:tcBorders>
              <w:top w:val="single" w:sz="2" w:space="0" w:color="auto"/>
              <w:left w:val="nil"/>
              <w:bottom w:val="single" w:sz="2" w:space="0" w:color="auto"/>
              <w:right w:val="nil"/>
            </w:tcBorders>
            <w:shd w:val="clear" w:color="auto" w:fill="auto"/>
            <w:noWrap/>
            <w:vAlign w:val="center"/>
          </w:tcPr>
          <w:p w14:paraId="66C635BA"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2.897.146</w:t>
            </w:r>
          </w:p>
        </w:tc>
        <w:tc>
          <w:tcPr>
            <w:tcW w:w="1043" w:type="dxa"/>
            <w:tcBorders>
              <w:top w:val="single" w:sz="2" w:space="0" w:color="auto"/>
              <w:left w:val="nil"/>
              <w:bottom w:val="single" w:sz="2" w:space="0" w:color="auto"/>
              <w:right w:val="nil"/>
            </w:tcBorders>
            <w:shd w:val="clear" w:color="auto" w:fill="auto"/>
            <w:vAlign w:val="center"/>
          </w:tcPr>
          <w:p w14:paraId="10E70EA1"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2.989.910</w:t>
            </w:r>
          </w:p>
        </w:tc>
        <w:tc>
          <w:tcPr>
            <w:tcW w:w="942" w:type="dxa"/>
            <w:tcBorders>
              <w:top w:val="single" w:sz="2" w:space="0" w:color="auto"/>
              <w:left w:val="nil"/>
              <w:bottom w:val="single" w:sz="2" w:space="0" w:color="auto"/>
              <w:right w:val="nil"/>
            </w:tcBorders>
            <w:shd w:val="clear" w:color="auto" w:fill="auto"/>
            <w:vAlign w:val="center"/>
          </w:tcPr>
          <w:p w14:paraId="4737E36C" w14:textId="77777777" w:rsidR="00A170AD" w:rsidRPr="00951885" w:rsidRDefault="00A170AD" w:rsidP="000B6345">
            <w:pPr>
              <w:spacing w:after="0"/>
              <w:ind w:hanging="9"/>
              <w:jc w:val="right"/>
              <w:rPr>
                <w:rFonts w:ascii="Arial Narrow" w:hAnsi="Arial Narrow" w:cs="Arial"/>
                <w:color w:val="000000"/>
                <w:sz w:val="16"/>
                <w:szCs w:val="16"/>
              </w:rPr>
            </w:pPr>
            <w:r>
              <w:rPr>
                <w:rFonts w:ascii="Arial Narrow" w:hAnsi="Arial Narrow"/>
                <w:color w:val="000000"/>
                <w:sz w:val="16"/>
              </w:rPr>
              <w:t>11</w:t>
            </w:r>
          </w:p>
        </w:tc>
        <w:tc>
          <w:tcPr>
            <w:tcW w:w="1417" w:type="dxa"/>
            <w:tcBorders>
              <w:top w:val="single" w:sz="2" w:space="0" w:color="auto"/>
              <w:left w:val="nil"/>
              <w:bottom w:val="single" w:sz="2" w:space="0" w:color="auto"/>
              <w:right w:val="nil"/>
            </w:tcBorders>
            <w:vAlign w:val="center"/>
          </w:tcPr>
          <w:p w14:paraId="5F7F1E53"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Salbuespenekin (4)</w:t>
            </w:r>
          </w:p>
        </w:tc>
        <w:tc>
          <w:tcPr>
            <w:tcW w:w="1418" w:type="dxa"/>
            <w:tcBorders>
              <w:top w:val="single" w:sz="2" w:space="0" w:color="auto"/>
              <w:left w:val="nil"/>
              <w:bottom w:val="single" w:sz="2" w:space="0" w:color="auto"/>
              <w:right w:val="nil"/>
            </w:tcBorders>
            <w:vAlign w:val="center"/>
          </w:tcPr>
          <w:p w14:paraId="68D9363B"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3</w:t>
            </w:r>
          </w:p>
        </w:tc>
      </w:tr>
      <w:tr w:rsidR="00A170AD" w:rsidRPr="00951885" w14:paraId="730B39A8" w14:textId="77777777" w:rsidTr="000B6345">
        <w:trPr>
          <w:trHeight w:val="300"/>
          <w:jc w:val="center"/>
        </w:trPr>
        <w:tc>
          <w:tcPr>
            <w:tcW w:w="1134" w:type="dxa"/>
            <w:tcBorders>
              <w:top w:val="single" w:sz="2" w:space="0" w:color="auto"/>
              <w:left w:val="nil"/>
              <w:bottom w:val="single" w:sz="2" w:space="0" w:color="auto"/>
              <w:right w:val="nil"/>
            </w:tcBorders>
            <w:shd w:val="clear" w:color="auto" w:fill="auto"/>
            <w:vAlign w:val="center"/>
          </w:tcPr>
          <w:p w14:paraId="0EA1CFF1" w14:textId="77777777" w:rsidR="00A170AD" w:rsidRPr="00951885" w:rsidRDefault="00A170AD" w:rsidP="000B6345">
            <w:pPr>
              <w:spacing w:after="0"/>
              <w:ind w:firstLine="0"/>
              <w:rPr>
                <w:rFonts w:ascii="Arial Narrow" w:hAnsi="Arial Narrow" w:cs="Arial"/>
                <w:color w:val="000000"/>
                <w:sz w:val="16"/>
                <w:szCs w:val="16"/>
              </w:rPr>
            </w:pPr>
            <w:r>
              <w:rPr>
                <w:rFonts w:ascii="Arial Narrow" w:hAnsi="Arial Narrow"/>
                <w:color w:val="000000"/>
                <w:sz w:val="16"/>
              </w:rPr>
              <w:t>Arguedas</w:t>
            </w:r>
          </w:p>
        </w:tc>
        <w:tc>
          <w:tcPr>
            <w:tcW w:w="851" w:type="dxa"/>
            <w:tcBorders>
              <w:top w:val="single" w:sz="2" w:space="0" w:color="auto"/>
              <w:left w:val="nil"/>
              <w:bottom w:val="single" w:sz="2" w:space="0" w:color="auto"/>
              <w:right w:val="nil"/>
            </w:tcBorders>
            <w:shd w:val="clear" w:color="auto" w:fill="auto"/>
            <w:noWrap/>
            <w:vAlign w:val="center"/>
          </w:tcPr>
          <w:p w14:paraId="3FBDAD86"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2023/03/31</w:t>
            </w:r>
          </w:p>
        </w:tc>
        <w:tc>
          <w:tcPr>
            <w:tcW w:w="992" w:type="dxa"/>
            <w:tcBorders>
              <w:top w:val="single" w:sz="2" w:space="0" w:color="auto"/>
              <w:left w:val="nil"/>
              <w:bottom w:val="single" w:sz="2" w:space="0" w:color="auto"/>
              <w:right w:val="nil"/>
            </w:tcBorders>
            <w:shd w:val="clear" w:color="auto" w:fill="auto"/>
            <w:noWrap/>
            <w:vAlign w:val="center"/>
          </w:tcPr>
          <w:p w14:paraId="56B5F9DF"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2.310</w:t>
            </w:r>
          </w:p>
        </w:tc>
        <w:tc>
          <w:tcPr>
            <w:tcW w:w="1134" w:type="dxa"/>
            <w:tcBorders>
              <w:top w:val="single" w:sz="2" w:space="0" w:color="auto"/>
              <w:left w:val="nil"/>
              <w:bottom w:val="single" w:sz="2" w:space="0" w:color="auto"/>
              <w:right w:val="nil"/>
            </w:tcBorders>
            <w:shd w:val="clear" w:color="auto" w:fill="auto"/>
            <w:noWrap/>
            <w:vAlign w:val="center"/>
          </w:tcPr>
          <w:p w14:paraId="3F9D9596"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3.206.135</w:t>
            </w:r>
          </w:p>
        </w:tc>
        <w:tc>
          <w:tcPr>
            <w:tcW w:w="1043" w:type="dxa"/>
            <w:tcBorders>
              <w:top w:val="single" w:sz="2" w:space="0" w:color="auto"/>
              <w:left w:val="nil"/>
              <w:bottom w:val="single" w:sz="2" w:space="0" w:color="auto"/>
              <w:right w:val="nil"/>
            </w:tcBorders>
            <w:shd w:val="clear" w:color="auto" w:fill="auto"/>
            <w:vAlign w:val="center"/>
          </w:tcPr>
          <w:p w14:paraId="77BF20B7"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3.633.698</w:t>
            </w:r>
          </w:p>
        </w:tc>
        <w:tc>
          <w:tcPr>
            <w:tcW w:w="942" w:type="dxa"/>
            <w:tcBorders>
              <w:top w:val="single" w:sz="2" w:space="0" w:color="auto"/>
              <w:left w:val="nil"/>
              <w:bottom w:val="single" w:sz="2" w:space="0" w:color="auto"/>
              <w:right w:val="nil"/>
            </w:tcBorders>
            <w:shd w:val="clear" w:color="auto" w:fill="auto"/>
            <w:vAlign w:val="center"/>
          </w:tcPr>
          <w:p w14:paraId="735DA4F4" w14:textId="77777777" w:rsidR="00A170AD" w:rsidRPr="00951885" w:rsidRDefault="00A170AD" w:rsidP="000B6345">
            <w:pPr>
              <w:spacing w:after="0"/>
              <w:ind w:hanging="9"/>
              <w:jc w:val="right"/>
              <w:rPr>
                <w:rFonts w:ascii="Arial Narrow" w:hAnsi="Arial Narrow" w:cs="Arial"/>
                <w:color w:val="000000"/>
                <w:sz w:val="16"/>
                <w:szCs w:val="16"/>
              </w:rPr>
            </w:pPr>
            <w:r>
              <w:rPr>
                <w:rFonts w:ascii="Arial Narrow" w:hAnsi="Arial Narrow"/>
                <w:color w:val="000000"/>
                <w:sz w:val="16"/>
              </w:rPr>
              <w:t>11</w:t>
            </w:r>
          </w:p>
        </w:tc>
        <w:tc>
          <w:tcPr>
            <w:tcW w:w="1417" w:type="dxa"/>
            <w:tcBorders>
              <w:top w:val="single" w:sz="2" w:space="0" w:color="auto"/>
              <w:left w:val="nil"/>
              <w:bottom w:val="single" w:sz="2" w:space="0" w:color="auto"/>
              <w:right w:val="nil"/>
            </w:tcBorders>
            <w:vAlign w:val="center"/>
          </w:tcPr>
          <w:p w14:paraId="1F436032"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Salbuespenekin (1)</w:t>
            </w:r>
          </w:p>
        </w:tc>
        <w:tc>
          <w:tcPr>
            <w:tcW w:w="1418" w:type="dxa"/>
            <w:tcBorders>
              <w:top w:val="single" w:sz="2" w:space="0" w:color="auto"/>
              <w:left w:val="nil"/>
              <w:bottom w:val="single" w:sz="2" w:space="0" w:color="auto"/>
              <w:right w:val="nil"/>
            </w:tcBorders>
            <w:vAlign w:val="center"/>
          </w:tcPr>
          <w:p w14:paraId="19F14E3C"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1</w:t>
            </w:r>
          </w:p>
        </w:tc>
      </w:tr>
      <w:tr w:rsidR="00A170AD" w:rsidRPr="00951885" w14:paraId="4E8B764E" w14:textId="77777777" w:rsidTr="000B6345">
        <w:trPr>
          <w:trHeight w:val="300"/>
          <w:jc w:val="center"/>
        </w:trPr>
        <w:tc>
          <w:tcPr>
            <w:tcW w:w="1134" w:type="dxa"/>
            <w:tcBorders>
              <w:top w:val="single" w:sz="2" w:space="0" w:color="auto"/>
              <w:left w:val="nil"/>
              <w:bottom w:val="single" w:sz="4" w:space="0" w:color="auto"/>
              <w:right w:val="nil"/>
            </w:tcBorders>
            <w:shd w:val="clear" w:color="auto" w:fill="auto"/>
            <w:vAlign w:val="center"/>
          </w:tcPr>
          <w:p w14:paraId="06B3B963" w14:textId="77777777" w:rsidR="00A170AD" w:rsidRPr="00951885" w:rsidRDefault="00A170AD" w:rsidP="000B6345">
            <w:pPr>
              <w:spacing w:after="0"/>
              <w:ind w:firstLine="0"/>
              <w:rPr>
                <w:rFonts w:ascii="Arial Narrow" w:hAnsi="Arial Narrow" w:cs="Arial"/>
                <w:color w:val="000000"/>
                <w:sz w:val="16"/>
                <w:szCs w:val="16"/>
              </w:rPr>
            </w:pPr>
            <w:r>
              <w:rPr>
                <w:rFonts w:ascii="Arial Narrow" w:hAnsi="Arial Narrow"/>
                <w:color w:val="000000"/>
                <w:sz w:val="16"/>
              </w:rPr>
              <w:t>Irurtzun</w:t>
            </w:r>
          </w:p>
        </w:tc>
        <w:tc>
          <w:tcPr>
            <w:tcW w:w="851" w:type="dxa"/>
            <w:tcBorders>
              <w:top w:val="single" w:sz="2" w:space="0" w:color="auto"/>
              <w:left w:val="nil"/>
              <w:bottom w:val="single" w:sz="4" w:space="0" w:color="auto"/>
              <w:right w:val="nil"/>
            </w:tcBorders>
            <w:shd w:val="clear" w:color="auto" w:fill="auto"/>
            <w:noWrap/>
            <w:vAlign w:val="center"/>
          </w:tcPr>
          <w:p w14:paraId="65C1298E"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2023/05/30</w:t>
            </w:r>
          </w:p>
        </w:tc>
        <w:tc>
          <w:tcPr>
            <w:tcW w:w="992" w:type="dxa"/>
            <w:tcBorders>
              <w:top w:val="single" w:sz="2" w:space="0" w:color="auto"/>
              <w:left w:val="nil"/>
              <w:bottom w:val="single" w:sz="4" w:space="0" w:color="auto"/>
              <w:right w:val="nil"/>
            </w:tcBorders>
            <w:shd w:val="clear" w:color="auto" w:fill="auto"/>
            <w:noWrap/>
            <w:vAlign w:val="center"/>
          </w:tcPr>
          <w:p w14:paraId="23DED0FF"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2.296</w:t>
            </w:r>
          </w:p>
        </w:tc>
        <w:tc>
          <w:tcPr>
            <w:tcW w:w="1134" w:type="dxa"/>
            <w:tcBorders>
              <w:top w:val="single" w:sz="2" w:space="0" w:color="auto"/>
              <w:left w:val="nil"/>
              <w:bottom w:val="single" w:sz="4" w:space="0" w:color="auto"/>
              <w:right w:val="nil"/>
            </w:tcBorders>
            <w:shd w:val="clear" w:color="auto" w:fill="auto"/>
            <w:noWrap/>
            <w:vAlign w:val="center"/>
          </w:tcPr>
          <w:p w14:paraId="20721FA8"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2.278.713</w:t>
            </w:r>
          </w:p>
        </w:tc>
        <w:tc>
          <w:tcPr>
            <w:tcW w:w="1043" w:type="dxa"/>
            <w:tcBorders>
              <w:top w:val="single" w:sz="2" w:space="0" w:color="auto"/>
              <w:left w:val="nil"/>
              <w:bottom w:val="single" w:sz="4" w:space="0" w:color="auto"/>
              <w:right w:val="nil"/>
            </w:tcBorders>
            <w:shd w:val="clear" w:color="auto" w:fill="auto"/>
            <w:vAlign w:val="center"/>
          </w:tcPr>
          <w:p w14:paraId="28F22873"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2.302.487</w:t>
            </w:r>
          </w:p>
        </w:tc>
        <w:tc>
          <w:tcPr>
            <w:tcW w:w="942" w:type="dxa"/>
            <w:tcBorders>
              <w:top w:val="single" w:sz="2" w:space="0" w:color="auto"/>
              <w:left w:val="nil"/>
              <w:bottom w:val="single" w:sz="4" w:space="0" w:color="auto"/>
              <w:right w:val="nil"/>
            </w:tcBorders>
            <w:shd w:val="clear" w:color="auto" w:fill="auto"/>
            <w:vAlign w:val="center"/>
          </w:tcPr>
          <w:p w14:paraId="219897CE" w14:textId="77777777" w:rsidR="00A170AD" w:rsidRPr="00951885" w:rsidRDefault="00A170AD" w:rsidP="000B6345">
            <w:pPr>
              <w:spacing w:after="0"/>
              <w:ind w:hanging="9"/>
              <w:jc w:val="right"/>
              <w:rPr>
                <w:rFonts w:ascii="Arial Narrow" w:hAnsi="Arial Narrow" w:cs="Arial"/>
                <w:color w:val="000000"/>
                <w:sz w:val="16"/>
                <w:szCs w:val="16"/>
              </w:rPr>
            </w:pPr>
            <w:r>
              <w:rPr>
                <w:rFonts w:ascii="Arial Narrow" w:hAnsi="Arial Narrow"/>
                <w:color w:val="000000"/>
                <w:sz w:val="16"/>
              </w:rPr>
              <w:t>30</w:t>
            </w:r>
          </w:p>
        </w:tc>
        <w:tc>
          <w:tcPr>
            <w:tcW w:w="1417" w:type="dxa"/>
            <w:tcBorders>
              <w:top w:val="single" w:sz="2" w:space="0" w:color="auto"/>
              <w:left w:val="nil"/>
              <w:bottom w:val="single" w:sz="4" w:space="0" w:color="auto"/>
              <w:right w:val="nil"/>
            </w:tcBorders>
            <w:vAlign w:val="center"/>
          </w:tcPr>
          <w:p w14:paraId="0511D6C8"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Ezezkoa</w:t>
            </w:r>
          </w:p>
        </w:tc>
        <w:tc>
          <w:tcPr>
            <w:tcW w:w="1418" w:type="dxa"/>
            <w:tcBorders>
              <w:top w:val="single" w:sz="2" w:space="0" w:color="auto"/>
              <w:left w:val="nil"/>
              <w:bottom w:val="single" w:sz="4" w:space="0" w:color="auto"/>
              <w:right w:val="nil"/>
            </w:tcBorders>
            <w:vAlign w:val="center"/>
          </w:tcPr>
          <w:p w14:paraId="7144751B" w14:textId="77777777" w:rsidR="00A170AD" w:rsidRPr="00951885" w:rsidRDefault="00A170AD" w:rsidP="000B6345">
            <w:pPr>
              <w:spacing w:after="0"/>
              <w:ind w:firstLine="0"/>
              <w:jc w:val="right"/>
              <w:rPr>
                <w:rFonts w:ascii="Arial Narrow" w:hAnsi="Arial Narrow" w:cs="Arial"/>
                <w:color w:val="000000"/>
                <w:sz w:val="16"/>
                <w:szCs w:val="16"/>
              </w:rPr>
            </w:pPr>
            <w:r>
              <w:rPr>
                <w:rFonts w:ascii="Arial Narrow" w:hAnsi="Arial Narrow"/>
                <w:color w:val="000000"/>
                <w:sz w:val="16"/>
              </w:rPr>
              <w:t>2</w:t>
            </w:r>
          </w:p>
        </w:tc>
      </w:tr>
      <w:tr w:rsidR="00951885" w:rsidRPr="00951885" w14:paraId="7663475C" w14:textId="77777777" w:rsidTr="000B6345">
        <w:trPr>
          <w:trHeight w:val="300"/>
          <w:jc w:val="center"/>
        </w:trPr>
        <w:tc>
          <w:tcPr>
            <w:tcW w:w="1134" w:type="dxa"/>
            <w:tcBorders>
              <w:top w:val="single" w:sz="4" w:space="0" w:color="auto"/>
              <w:left w:val="nil"/>
              <w:bottom w:val="single" w:sz="4" w:space="0" w:color="auto"/>
              <w:right w:val="nil"/>
            </w:tcBorders>
            <w:shd w:val="clear" w:color="auto" w:fill="FABF8F" w:themeFill="accent6" w:themeFillTint="99"/>
            <w:vAlign w:val="center"/>
          </w:tcPr>
          <w:p w14:paraId="68D0879A" w14:textId="255ECC65" w:rsidR="00951885" w:rsidRPr="00951885" w:rsidRDefault="00951885" w:rsidP="000B6345">
            <w:pPr>
              <w:spacing w:after="0"/>
              <w:ind w:firstLine="0"/>
              <w:rPr>
                <w:rFonts w:ascii="Arial" w:hAnsi="Arial" w:cs="Arial"/>
                <w:color w:val="000000"/>
                <w:sz w:val="16"/>
                <w:szCs w:val="16"/>
              </w:rPr>
            </w:pPr>
            <w:r>
              <w:rPr>
                <w:rFonts w:ascii="Arial" w:hAnsi="Arial"/>
                <w:color w:val="000000"/>
                <w:sz w:val="16"/>
              </w:rPr>
              <w:t>Guztira</w:t>
            </w:r>
          </w:p>
        </w:tc>
        <w:tc>
          <w:tcPr>
            <w:tcW w:w="851" w:type="dxa"/>
            <w:tcBorders>
              <w:top w:val="single" w:sz="4" w:space="0" w:color="auto"/>
              <w:left w:val="nil"/>
              <w:bottom w:val="single" w:sz="4" w:space="0" w:color="auto"/>
              <w:right w:val="nil"/>
            </w:tcBorders>
            <w:shd w:val="clear" w:color="auto" w:fill="FABF8F" w:themeFill="accent6" w:themeFillTint="99"/>
            <w:noWrap/>
            <w:vAlign w:val="center"/>
          </w:tcPr>
          <w:p w14:paraId="22EF06F3" w14:textId="77777777" w:rsidR="00951885" w:rsidRPr="00951885" w:rsidRDefault="00951885" w:rsidP="000B6345">
            <w:pPr>
              <w:spacing w:after="0"/>
              <w:ind w:firstLine="0"/>
              <w:jc w:val="right"/>
              <w:rPr>
                <w:rFonts w:ascii="Arial" w:hAnsi="Arial" w:cs="Arial"/>
                <w:color w:val="000000"/>
                <w:sz w:val="16"/>
                <w:szCs w:val="16"/>
                <w:lang w:eastAsia="zh-CN"/>
              </w:rPr>
            </w:pP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14:paraId="46EA5040" w14:textId="157E84D5" w:rsidR="00951885" w:rsidRPr="00951885" w:rsidRDefault="00951885" w:rsidP="000B6345">
            <w:pPr>
              <w:spacing w:after="0"/>
              <w:ind w:firstLine="0"/>
              <w:jc w:val="right"/>
              <w:rPr>
                <w:rFonts w:ascii="Arial" w:hAnsi="Arial" w:cs="Arial"/>
                <w:color w:val="000000"/>
                <w:sz w:val="16"/>
                <w:szCs w:val="16"/>
              </w:rPr>
            </w:pPr>
            <w:r>
              <w:rPr>
                <w:rFonts w:ascii="Arial" w:hAnsi="Arial"/>
                <w:color w:val="000000"/>
                <w:sz w:val="16"/>
              </w:rPr>
              <w:t>216.061</w:t>
            </w:r>
          </w:p>
        </w:tc>
        <w:tc>
          <w:tcPr>
            <w:tcW w:w="1134" w:type="dxa"/>
            <w:tcBorders>
              <w:top w:val="single" w:sz="4" w:space="0" w:color="auto"/>
              <w:left w:val="nil"/>
              <w:bottom w:val="single" w:sz="4" w:space="0" w:color="auto"/>
              <w:right w:val="nil"/>
            </w:tcBorders>
            <w:shd w:val="clear" w:color="auto" w:fill="FABF8F" w:themeFill="accent6" w:themeFillTint="99"/>
            <w:noWrap/>
            <w:vAlign w:val="center"/>
          </w:tcPr>
          <w:p w14:paraId="26157507" w14:textId="01100930" w:rsidR="00951885" w:rsidRPr="00951885" w:rsidRDefault="00951885" w:rsidP="000B6345">
            <w:pPr>
              <w:spacing w:after="0"/>
              <w:ind w:firstLine="0"/>
              <w:jc w:val="right"/>
              <w:rPr>
                <w:rFonts w:ascii="Arial" w:hAnsi="Arial" w:cs="Arial"/>
                <w:color w:val="000000"/>
                <w:sz w:val="16"/>
                <w:szCs w:val="16"/>
              </w:rPr>
            </w:pPr>
            <w:r>
              <w:rPr>
                <w:rFonts w:ascii="Arial" w:hAnsi="Arial"/>
                <w:color w:val="000000"/>
                <w:sz w:val="16"/>
              </w:rPr>
              <w:t>271.263.573</w:t>
            </w:r>
          </w:p>
        </w:tc>
        <w:tc>
          <w:tcPr>
            <w:tcW w:w="1043" w:type="dxa"/>
            <w:tcBorders>
              <w:top w:val="single" w:sz="4" w:space="0" w:color="auto"/>
              <w:left w:val="nil"/>
              <w:bottom w:val="single" w:sz="4" w:space="0" w:color="auto"/>
              <w:right w:val="nil"/>
            </w:tcBorders>
            <w:shd w:val="clear" w:color="auto" w:fill="FABF8F" w:themeFill="accent6" w:themeFillTint="99"/>
            <w:vAlign w:val="center"/>
          </w:tcPr>
          <w:p w14:paraId="203755DA" w14:textId="1F0E18EF" w:rsidR="00951885" w:rsidRPr="00951885" w:rsidRDefault="00951885" w:rsidP="000B6345">
            <w:pPr>
              <w:spacing w:after="0"/>
              <w:ind w:firstLine="0"/>
              <w:jc w:val="right"/>
              <w:rPr>
                <w:rFonts w:ascii="Arial" w:hAnsi="Arial" w:cs="Arial"/>
                <w:color w:val="000000"/>
                <w:sz w:val="16"/>
                <w:szCs w:val="16"/>
              </w:rPr>
            </w:pPr>
            <w:r>
              <w:rPr>
                <w:rFonts w:ascii="Arial" w:hAnsi="Arial"/>
                <w:color w:val="000000"/>
                <w:sz w:val="16"/>
              </w:rPr>
              <w:t>257.903.222</w:t>
            </w:r>
          </w:p>
        </w:tc>
        <w:tc>
          <w:tcPr>
            <w:tcW w:w="942" w:type="dxa"/>
            <w:tcBorders>
              <w:top w:val="single" w:sz="4" w:space="0" w:color="auto"/>
              <w:left w:val="nil"/>
              <w:bottom w:val="single" w:sz="4" w:space="0" w:color="auto"/>
              <w:right w:val="nil"/>
            </w:tcBorders>
            <w:shd w:val="clear" w:color="auto" w:fill="FABF8F" w:themeFill="accent6" w:themeFillTint="99"/>
            <w:vAlign w:val="center"/>
          </w:tcPr>
          <w:p w14:paraId="05E54A8A" w14:textId="3CDD2E2C" w:rsidR="00951885" w:rsidRPr="00951885" w:rsidRDefault="00951885" w:rsidP="000B6345">
            <w:pPr>
              <w:spacing w:after="0"/>
              <w:ind w:hanging="9"/>
              <w:jc w:val="right"/>
              <w:rPr>
                <w:rFonts w:ascii="Arial" w:hAnsi="Arial" w:cs="Arial"/>
                <w:color w:val="000000"/>
                <w:sz w:val="16"/>
                <w:szCs w:val="16"/>
              </w:rPr>
            </w:pPr>
            <w:r>
              <w:rPr>
                <w:rFonts w:ascii="Arial" w:hAnsi="Arial"/>
                <w:color w:val="000000"/>
                <w:sz w:val="16"/>
              </w:rPr>
              <w:t>1.689</w:t>
            </w:r>
          </w:p>
        </w:tc>
        <w:tc>
          <w:tcPr>
            <w:tcW w:w="1417" w:type="dxa"/>
            <w:tcBorders>
              <w:top w:val="single" w:sz="4" w:space="0" w:color="auto"/>
              <w:left w:val="nil"/>
              <w:bottom w:val="single" w:sz="4" w:space="0" w:color="auto"/>
              <w:right w:val="nil"/>
            </w:tcBorders>
            <w:shd w:val="clear" w:color="auto" w:fill="FABF8F" w:themeFill="accent6" w:themeFillTint="99"/>
            <w:vAlign w:val="center"/>
          </w:tcPr>
          <w:p w14:paraId="48694867" w14:textId="77777777" w:rsidR="00951885" w:rsidRPr="00951885" w:rsidRDefault="00951885" w:rsidP="000B6345">
            <w:pPr>
              <w:spacing w:after="0"/>
              <w:ind w:firstLine="0"/>
              <w:jc w:val="right"/>
              <w:rPr>
                <w:rFonts w:ascii="Arial" w:hAnsi="Arial" w:cs="Arial"/>
                <w:color w:val="000000"/>
                <w:sz w:val="16"/>
                <w:szCs w:val="16"/>
                <w:lang w:eastAsia="zh-CN"/>
              </w:rPr>
            </w:pPr>
          </w:p>
        </w:tc>
        <w:tc>
          <w:tcPr>
            <w:tcW w:w="1418" w:type="dxa"/>
            <w:tcBorders>
              <w:top w:val="single" w:sz="4" w:space="0" w:color="auto"/>
              <w:left w:val="nil"/>
              <w:bottom w:val="single" w:sz="4" w:space="0" w:color="auto"/>
              <w:right w:val="nil"/>
            </w:tcBorders>
            <w:shd w:val="clear" w:color="auto" w:fill="FABF8F" w:themeFill="accent6" w:themeFillTint="99"/>
            <w:vAlign w:val="center"/>
          </w:tcPr>
          <w:p w14:paraId="0A0B8112" w14:textId="77777777" w:rsidR="00951885" w:rsidRPr="00951885" w:rsidRDefault="00951885" w:rsidP="000B6345">
            <w:pPr>
              <w:spacing w:after="0"/>
              <w:ind w:firstLine="0"/>
              <w:jc w:val="right"/>
              <w:rPr>
                <w:rFonts w:ascii="Arial" w:hAnsi="Arial" w:cs="Arial"/>
                <w:color w:val="000000"/>
                <w:sz w:val="16"/>
                <w:szCs w:val="16"/>
                <w:lang w:eastAsia="zh-CN"/>
              </w:rPr>
            </w:pPr>
          </w:p>
        </w:tc>
      </w:tr>
    </w:tbl>
    <w:p w14:paraId="62594DEB" w14:textId="77777777" w:rsidR="00A170AD" w:rsidRPr="00951885" w:rsidRDefault="00A170AD" w:rsidP="00951885">
      <w:pPr>
        <w:pStyle w:val="texto"/>
        <w:spacing w:before="60" w:after="0"/>
        <w:ind w:firstLine="0"/>
        <w:rPr>
          <w:rFonts w:ascii="Arial" w:hAnsi="Arial" w:cs="Arial"/>
          <w:color w:val="000000" w:themeColor="text1"/>
          <w:sz w:val="14"/>
          <w:szCs w:val="14"/>
        </w:rPr>
      </w:pPr>
      <w:r>
        <w:rPr>
          <w:rFonts w:ascii="Arial" w:hAnsi="Arial"/>
          <w:color w:val="000000" w:themeColor="text1"/>
          <w:sz w:val="14"/>
        </w:rPr>
        <w:t>(*) Parentesi artean, hala badagokio, salbuespenen kopurua.</w:t>
      </w:r>
    </w:p>
    <w:p w14:paraId="2DEB184C" w14:textId="77777777" w:rsidR="00A170AD" w:rsidRPr="00951885" w:rsidRDefault="00A170AD" w:rsidP="00951885">
      <w:pPr>
        <w:pStyle w:val="texto"/>
        <w:spacing w:before="60" w:after="0"/>
        <w:ind w:firstLine="0"/>
        <w:rPr>
          <w:rFonts w:ascii="Arial" w:hAnsi="Arial" w:cs="Arial"/>
          <w:color w:val="000000" w:themeColor="text1"/>
          <w:sz w:val="14"/>
          <w:szCs w:val="14"/>
        </w:rPr>
      </w:pPr>
      <w:r>
        <w:rPr>
          <w:rFonts w:ascii="Arial" w:hAnsi="Arial"/>
          <w:color w:val="000000" w:themeColor="text1"/>
          <w:sz w:val="14"/>
        </w:rPr>
        <w:t>(**) Iruñeko Udalean, betetze-auditoretzaren iritzia adierazi da. Gainerako kasuetan, langileen eta kontratazio publikoaren arloan antzemandako ez-betetzeen kopurua.</w:t>
      </w:r>
    </w:p>
    <w:p w14:paraId="24C891F2" w14:textId="77777777" w:rsidR="00951885" w:rsidRDefault="00951885" w:rsidP="00A170AD">
      <w:pPr>
        <w:pStyle w:val="texto"/>
        <w:rPr>
          <w:color w:val="000000" w:themeColor="text1"/>
        </w:rPr>
      </w:pPr>
    </w:p>
    <w:p w14:paraId="10C87123" w14:textId="4FFA4C93" w:rsidR="00A170AD" w:rsidRPr="00033257" w:rsidRDefault="175F76A4" w:rsidP="00A170AD">
      <w:pPr>
        <w:pStyle w:val="texto"/>
        <w:rPr>
          <w:color w:val="000000" w:themeColor="text1"/>
        </w:rPr>
      </w:pPr>
      <w:r>
        <w:rPr>
          <w:color w:val="000000" w:themeColor="text1"/>
        </w:rPr>
        <w:t>Iruñeko Udalean, 2021eko kontu orokorraren finantza fiskalizazioa egin zen, ekitaldi horretako jarduera ekonomiko-finantzarioaren legezkotasun fiskalizazioarekin batera. Gainerako kasuetan, 2021eko kontu orokorren fiskalizazio finantzarioak egin ziren, langileen eta kontratazio publikoaren arloetako legezkotasuna betetzea aztertzearekin batera.</w:t>
      </w:r>
    </w:p>
    <w:p w14:paraId="28BAFA1C" w14:textId="66879A00" w:rsidR="00227F66" w:rsidRPr="00033257" w:rsidRDefault="00227F66" w:rsidP="00227F66">
      <w:pPr>
        <w:pStyle w:val="texto"/>
        <w:rPr>
          <w:color w:val="000000" w:themeColor="text1"/>
        </w:rPr>
      </w:pPr>
      <w:r>
        <w:rPr>
          <w:color w:val="000000" w:themeColor="text1"/>
        </w:rPr>
        <w:t xml:space="preserve">Bestalde, 2021eko martxoan, “Melidako Udalaren </w:t>
      </w:r>
      <w:r>
        <w:rPr>
          <w:i/>
          <w:color w:val="000000" w:themeColor="text1"/>
        </w:rPr>
        <w:t>Territorio Visón</w:t>
      </w:r>
      <w:r>
        <w:rPr>
          <w:color w:val="000000" w:themeColor="text1"/>
        </w:rPr>
        <w:t xml:space="preserve"> programa, erabilera anitzeko eraikinaren kontratua eta </w:t>
      </w:r>
      <w:r>
        <w:rPr>
          <w:i/>
          <w:color w:val="000000" w:themeColor="text1"/>
        </w:rPr>
        <w:t>Erronka Solidarioa</w:t>
      </w:r>
      <w:r>
        <w:rPr>
          <w:color w:val="000000" w:themeColor="text1"/>
        </w:rPr>
        <w:t xml:space="preserve"> hitzarmena” txostena egin zen, udal horren osoko bilkurak eskatuta. 2013-2017 aldiko hiru espedienteren legezkotasuna betetzeari buruzko fiskalizazioa izan zen.</w:t>
      </w:r>
    </w:p>
    <w:p w14:paraId="0249D020" w14:textId="5F9F56B9" w:rsidR="00A170AD" w:rsidRPr="00033257" w:rsidRDefault="175F76A4" w:rsidP="00A170AD">
      <w:pPr>
        <w:pStyle w:val="texto"/>
        <w:rPr>
          <w:color w:val="000000" w:themeColor="text1"/>
        </w:rPr>
      </w:pPr>
      <w:r>
        <w:rPr>
          <w:color w:val="000000" w:themeColor="text1"/>
        </w:rPr>
        <w:t>Fiskalizazio operatiboaren esparruan, “Nafarroako 8.000 eta 20.000 biztanle arteko udaletan administrazio elektronikoa ezartzea (2020-2021)” txostena egin zen, eta aldi baterako irismenak 2021eko ekitaldia hartu zuen.</w:t>
      </w:r>
    </w:p>
    <w:p w14:paraId="356D44FE" w14:textId="5987CE40" w:rsidR="00A170AD" w:rsidRDefault="00A170AD" w:rsidP="00A170AD">
      <w:pPr>
        <w:pStyle w:val="texto"/>
        <w:rPr>
          <w:color w:val="000000" w:themeColor="text1"/>
        </w:rPr>
      </w:pPr>
      <w:r>
        <w:rPr>
          <w:color w:val="000000" w:themeColor="text1"/>
        </w:rPr>
        <w:t>Fiskalizazioaren emaitzak txostenetan jaso ziren, eta Nafarroako Parlamentuko Aldizkari Ofizialean eta Nafarroako Kontuen Ganberaren webgunean argitaratuta daude.</w:t>
      </w:r>
    </w:p>
    <w:p w14:paraId="4A00509B" w14:textId="0435B41A" w:rsidR="004979AA" w:rsidRPr="0004039F" w:rsidRDefault="004979AA" w:rsidP="00A170AD">
      <w:pPr>
        <w:pStyle w:val="texto"/>
        <w:rPr>
          <w:color w:val="000000" w:themeColor="text1"/>
        </w:rPr>
      </w:pPr>
      <w:r>
        <w:rPr>
          <w:color w:val="000000" w:themeColor="text1"/>
        </w:rPr>
        <w:t>Iruñeko Udalean, finantza auditoretzaren iritzia aldekoa izan zen, eta betetze auditoretzarena, berriz, aldekoa, bi salbuespenekin: bata, “Udalaren/EEAAen eta sindikatuen arteko enplegu publikoa eta lan baldintzak hobetzeko akordioa” delakoan oinarritutako kontzeptuen ordainsariak ordaintzeari buruzkoa, lege esparrua gainditzen duten klausulekin; eta, bestea, Haur Eskolak Erakunde Autonomoaren plantilla organikoko lanpostu hutsen kopuruari buruzko auditoretza egokiaren eta nahikoaren ebidentzia lortzea ezinezkoa izateari buruzkoa. </w:t>
      </w:r>
    </w:p>
    <w:p w14:paraId="09B87E49" w14:textId="44DF79F5" w:rsidR="004979AA" w:rsidRPr="00033257" w:rsidRDefault="004979AA" w:rsidP="00A170AD">
      <w:pPr>
        <w:pStyle w:val="texto"/>
        <w:rPr>
          <w:color w:val="000000" w:themeColor="text1"/>
        </w:rPr>
      </w:pPr>
      <w:r>
        <w:rPr>
          <w:color w:val="000000" w:themeColor="text1"/>
        </w:rPr>
        <w:t>Jarraian, gainerako udaletan 2021ean egin ditugun fiskalizazioen emaitzak laburbiltzen dira: </w:t>
      </w:r>
    </w:p>
    <w:p w14:paraId="33810AB5" w14:textId="77777777" w:rsidR="00A170AD" w:rsidRPr="00033257" w:rsidRDefault="175F76A4"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Lau udalek ez dute behar bezala eguneratutako, xehatutako eta baloratutako ondasun inbentariorik; hori dela eta, ezin izan dugu egiaztatu egoera-balantzeko ibilgetuaren saldoaren arrazoizkotasuna.</w:t>
      </w:r>
    </w:p>
    <w:p w14:paraId="61D1A172" w14:textId="44C9786B" w:rsidR="00A170AD" w:rsidRPr="00033257" w:rsidRDefault="175F76A4"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Bi udalek maileguak ezeztatzeko edo formalizatzeko eragiketa bana kontabilizatu dituzte, sorrarazpen dataren arabera zegokion aurreko ekitaldian. </w:t>
      </w:r>
    </w:p>
    <w:p w14:paraId="622EDB4F" w14:textId="22102F2A" w:rsidR="00A170AD" w:rsidRPr="00033257"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Pr>
          <w:color w:val="000000" w:themeColor="text1"/>
        </w:rPr>
        <w:t xml:space="preserve">Bi udaletan langile publikoen ordainsariek araudiak ezarritako zenbatekoa gainditzen dutela antzeman da. Kasu batean, 32 lanpostuetatik 13tan plantilla </w:t>
      </w:r>
      <w:r>
        <w:rPr>
          <w:color w:val="000000" w:themeColor="text1"/>
        </w:rPr>
        <w:lastRenderedPageBreak/>
        <w:t>organikoan ezarritakoa baino lanpostu osagarri handiagoa ordaintzeagatik, justifikatu gabe, eta, bestean, araudian jaso gabeko kontzeptuengatiko ordainsariak ordaintzeagatik.</w:t>
      </w:r>
    </w:p>
    <w:p w14:paraId="5FF7B473" w14:textId="77777777" w:rsidR="00A170AD" w:rsidRPr="00033257"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Pr>
          <w:color w:val="000000" w:themeColor="text1"/>
        </w:rPr>
        <w:t>Udal batean ahulezia esanguratsuak hauteman dira barne kontrolean, nagusiki ez delako behar bezalako funtzio bereizketarik izan, enplegatu publiko bakar batengan kontzentratuta egon baita kudeaketa finantzarioaren prozedura ia-ia osoa.</w:t>
      </w:r>
    </w:p>
    <w:p w14:paraId="71A33BE2" w14:textId="33F53A71" w:rsidR="00A170AD" w:rsidRPr="00033257" w:rsidRDefault="004979AA"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Udal batean, diruzaintzako gerakina negatiboa izan zen, baina ez ziren nahitaezko legezko neurriak hartu.</w:t>
      </w:r>
    </w:p>
    <w:p w14:paraId="1175C8AC" w14:textId="77777777" w:rsidR="0004039F" w:rsidRPr="00C3695B" w:rsidRDefault="0004039F" w:rsidP="0004039F">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Pr>
          <w:color w:val="000000" w:themeColor="text1"/>
        </w:rPr>
        <w:t>Bi udaletan munta txikiko kontratazio araubide berezia erabiltzeko aukera ematen dutenak baino zenbateko handiagoko prestazioak ordaindu dira, dagokion lizitazio prozedura egin gabe.</w:t>
      </w:r>
    </w:p>
    <w:p w14:paraId="78EA1BE5" w14:textId="13F8CA37" w:rsidR="00C3695B" w:rsidRPr="00C3695B"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Pr>
          <w:color w:val="000000" w:themeColor="text1"/>
        </w:rPr>
        <w:t>Bi udaletan prestazioen gastuak kontratu egokirik gabe ordaindu dira, kontratuen gehieneko indarraldia bukatuta baitzegoen.</w:t>
      </w:r>
    </w:p>
    <w:p w14:paraId="67A37AB8" w14:textId="2C27FC97" w:rsidR="00A170AD"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Pr>
          <w:color w:val="000000" w:themeColor="text1"/>
        </w:rPr>
        <w:t>Udal batean Kontratu Publikoei buruzko apirilaren 13ko 2/2018 Foru Legearen ez-betetze errepikatuak aurkitu dira; hain zuzen, zatikatze debekua ez betetzearen zantzuak, konkurrentzia, publizitate eta kasuko prozedura bidezko esleipen egokiaren printzipioak saihestuta.</w:t>
      </w:r>
    </w:p>
    <w:p w14:paraId="1511E4C1" w14:textId="55A4E578" w:rsidR="004979AA" w:rsidRDefault="004979AA"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Pr>
          <w:color w:val="000000" w:themeColor="text1"/>
        </w:rPr>
        <w:t>Udal batean ez zuten iritzirik onartu.</w:t>
      </w:r>
    </w:p>
    <w:p w14:paraId="32040DC7" w14:textId="15EC449C" w:rsidR="004979AA" w:rsidRDefault="004979AA" w:rsidP="0004039F">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left="289" w:firstLine="0"/>
        <w:rPr>
          <w:color w:val="000000" w:themeColor="text1"/>
        </w:rPr>
      </w:pPr>
    </w:p>
    <w:p w14:paraId="2410CA9F" w14:textId="77777777" w:rsidR="005605A0" w:rsidRPr="00033257" w:rsidRDefault="005605A0" w:rsidP="0004039F">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left="289" w:firstLine="0"/>
        <w:rPr>
          <w:color w:val="000000" w:themeColor="text1"/>
        </w:rPr>
      </w:pPr>
    </w:p>
    <w:p w14:paraId="7CF1E0A9" w14:textId="09EDF2FB" w:rsidR="00A170AD" w:rsidRPr="00033257" w:rsidRDefault="175F76A4" w:rsidP="00A170AD">
      <w:pPr>
        <w:tabs>
          <w:tab w:val="left" w:pos="480"/>
          <w:tab w:val="num" w:pos="1948"/>
          <w:tab w:val="num" w:pos="5040"/>
        </w:tabs>
        <w:ind w:firstLine="284"/>
        <w:rPr>
          <w:color w:val="000000" w:themeColor="text1"/>
          <w:spacing w:val="6"/>
          <w:sz w:val="26"/>
          <w:szCs w:val="26"/>
        </w:rPr>
      </w:pPr>
      <w:r>
        <w:rPr>
          <w:color w:val="000000" w:themeColor="text1"/>
          <w:sz w:val="26"/>
        </w:rPr>
        <w:t xml:space="preserve">Finantza eta legezkotasun gaietan, hauek izan ziren txostenetan jasotako </w:t>
      </w:r>
      <w:r>
        <w:rPr>
          <w:i/>
          <w:color w:val="000000" w:themeColor="text1"/>
          <w:sz w:val="26"/>
        </w:rPr>
        <w:t>aholku</w:t>
      </w:r>
      <w:r>
        <w:rPr>
          <w:color w:val="000000" w:themeColor="text1"/>
          <w:sz w:val="26"/>
        </w:rPr>
        <w:t xml:space="preserve"> nagusiak:</w:t>
      </w:r>
    </w:p>
    <w:p w14:paraId="6AB94AD8" w14:textId="47F4D871" w:rsidR="00A170AD" w:rsidRPr="00C3695B"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 xml:space="preserve">Udalaren ondasun eta eskubide guztien inbentario baloratua egitea edo eguneratzea eta onartzea, egoera balantzean ibilgetuaren saldoa arrazoizkoa dela egiaztatu ahal izateko. </w:t>
      </w:r>
    </w:p>
    <w:p w14:paraId="3F5CA038" w14:textId="77777777" w:rsidR="00A170AD" w:rsidRPr="00C3695B"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 xml:space="preserve">Beharrezko barne prozedurak ezartzea, enplegatu publikoen nominak behar bezala ordaintzen direla bermatze aldera. </w:t>
      </w:r>
    </w:p>
    <w:p w14:paraId="45EA6166" w14:textId="77777777" w:rsidR="00A90022" w:rsidRPr="00C3695B"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Kontu orokorra onestea eta Nafarroako Foru Komunitateko Administrazioari igortzea, araudian ezarritako epean.</w:t>
      </w:r>
    </w:p>
    <w:p w14:paraId="32DEBFD3" w14:textId="77777777" w:rsidR="00A170AD" w:rsidRPr="00C3695B" w:rsidRDefault="580897DC"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Plantilla organikoan dagozkion ordainsari guztiak jasotzea eta langileen ordainsariak araudian ezarritako ordainsari kontzeptuetara egokitzea.</w:t>
      </w:r>
    </w:p>
    <w:p w14:paraId="4F48E8C3" w14:textId="7C0D6ACC" w:rsidR="00A170AD" w:rsidRPr="004979AA"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Administrazio-kontratazioko espediente berriak izapidetzea aplikatzekoa den legedian ezarritako gehieneko indarraldia gainditu den kontratuen kasuan, eta plangintza egokiak egitea halako egoerak ekiditeko.</w:t>
      </w:r>
    </w:p>
    <w:p w14:paraId="53E497FA" w14:textId="2ECDC303" w:rsidR="00F519D3" w:rsidRPr="0004039F"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spacing w:val="4"/>
        </w:rPr>
      </w:pPr>
      <w:r>
        <w:rPr>
          <w:i/>
          <w:color w:val="000000" w:themeColor="text1"/>
        </w:rPr>
        <w:lastRenderedPageBreak/>
        <w:t>Kontratuak</w:t>
      </w:r>
      <w:r>
        <w:rPr>
          <w:color w:val="000000" w:themeColor="text1"/>
        </w:rPr>
        <w:t xml:space="preserve"> </w:t>
      </w:r>
      <w:r>
        <w:rPr>
          <w:i/>
          <w:color w:val="000000" w:themeColor="text1"/>
        </w:rPr>
        <w:t xml:space="preserve">esleitzea Kontratu Publikoei buruzko apirilaren 13ko 2/2018 Foru Legean ezarritako kasuko prozeduren arabera, gardentasun, publizitate eta lehia askearen printzipioak errespetatzen direla. </w:t>
      </w:r>
    </w:p>
    <w:p w14:paraId="54F44A46" w14:textId="5156600A" w:rsidR="00F519D3" w:rsidRDefault="00033257"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Egin beharrekoak diren aurrekontu aldaketak garaiz izapidetzea, kredituen lotura juridikoko poltsak ez gainditzeko.</w:t>
      </w:r>
    </w:p>
    <w:p w14:paraId="79AF4C0D" w14:textId="073FEF58" w:rsidR="00F519D3" w:rsidRDefault="00F519D3"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Hirigintzako Administrazio Hitzarmenen eta Lurzoruaren Udal Ondarearen Erregistroak sortzea, lurraldearen antolamenduari eta hirigintzari buruzko araudiak ezartzen duen bezala.</w:t>
      </w:r>
    </w:p>
    <w:p w14:paraId="3ACDA716" w14:textId="736670CE" w:rsidR="004A153E" w:rsidRDefault="004A153E"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Nafarroako Kontratazioaren Atarian argitaratzea hala adjudikazio guztiak nola hiru hilez behin egindako munta txikiko kontratuen zerrenda.</w:t>
      </w:r>
    </w:p>
    <w:p w14:paraId="388BD9EE" w14:textId="331F5B0A" w:rsidR="00A170AD" w:rsidRPr="00033257" w:rsidRDefault="00A170AD" w:rsidP="00787D6A">
      <w:pPr>
        <w:pStyle w:val="texto"/>
        <w:rPr>
          <w:rFonts w:cs="Arial"/>
          <w:color w:val="000000" w:themeColor="text1"/>
        </w:rPr>
      </w:pPr>
      <w:r>
        <w:rPr>
          <w:color w:val="000000" w:themeColor="text1"/>
        </w:rPr>
        <w:t>Fiskalizazio operatiboaren eremuan, 8.000 eta 20.000 biztanle arteko udaletan administrazio elektronikoa ezartzeari buruzko txostenaren ondorio nagusiak honako hauek dira:</w:t>
      </w:r>
    </w:p>
    <w:p w14:paraId="637DCCE5" w14:textId="77777777" w:rsidR="00A170AD" w:rsidRPr="00033257"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NFKAk ez du Nafarroako toki-entitateen administrazio elektronikoaren beharrak, ezarpen maila eta egungo egoera aztertu.</w:t>
      </w:r>
    </w:p>
    <w:p w14:paraId="49E4C673" w14:textId="754C9C7A" w:rsidR="0047763B" w:rsidRPr="009D4522" w:rsidRDefault="5B2EF14F"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Pr>
          <w:color w:val="000000" w:themeColor="text1"/>
        </w:rPr>
        <w:t>Administrazio elektronikoko hainbat tresnaren ezarpen maila onargarria dela ikusi da, baina oraindik ez dira ezarri artxibo elektronikoko, artxibo elektroniko bakarreko, ahalduntze erregistroko eta funtzionario publiko gaituen erregistroko zerbitzuak, Administrazio Publikoen Administrazio Prozedura Erkidearen urriaren 1eko 39/2015 Legeak ezartzen duen bezala.</w:t>
      </w:r>
    </w:p>
    <w:p w14:paraId="67E130ED" w14:textId="77777777" w:rsidR="004B0550" w:rsidRPr="00033257" w:rsidRDefault="5B2EF14F"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Udal bakoitzak bere kabuz heldu die administrazio elektronikoaren arloko lege eskakizunei. Baliabide materialak eta langileak xedatzen dira behar bezalako plangintzarik gabe eta lehentasunak ezarri gabe, eta zerbitzuen erabilera mailaren jarraipena ez da egiten.</w:t>
      </w:r>
    </w:p>
    <w:p w14:paraId="66DC985F" w14:textId="77777777" w:rsidR="004B0550" w:rsidRPr="00033257" w:rsidRDefault="1F6CACC7"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 xml:space="preserve">Toki-entitateek beharrezkotzat jotzen dute elkarri lagundu eta elkarlanean aritzea, eta teknologiak batera erabiltzea, administrazio elektronikoaren arloko legezko betebeharretan eraginkortasun eta efizientzia handiagoak lortzeko. </w:t>
      </w:r>
    </w:p>
    <w:p w14:paraId="6D072C0D" w14:textId="77777777" w:rsidR="004B0550" w:rsidRPr="00033257" w:rsidRDefault="004B0550" w:rsidP="000B6345">
      <w:pPr>
        <w:pStyle w:val="texto"/>
        <w:tabs>
          <w:tab w:val="clear" w:pos="2835"/>
          <w:tab w:val="clear" w:pos="3969"/>
          <w:tab w:val="clear" w:pos="5103"/>
          <w:tab w:val="clear" w:pos="6237"/>
          <w:tab w:val="clear" w:pos="7371"/>
          <w:tab w:val="left" w:pos="480"/>
          <w:tab w:val="num" w:pos="786"/>
          <w:tab w:val="num" w:pos="1320"/>
          <w:tab w:val="num" w:pos="1948"/>
          <w:tab w:val="num" w:pos="5606"/>
        </w:tabs>
        <w:spacing w:after="0"/>
        <w:ind w:left="113" w:firstLine="0"/>
        <w:rPr>
          <w:rFonts w:cs="Arial"/>
          <w:color w:val="000000" w:themeColor="text1"/>
        </w:rPr>
      </w:pPr>
    </w:p>
    <w:p w14:paraId="49E77619" w14:textId="77777777" w:rsidR="004B0550" w:rsidRPr="00033257" w:rsidRDefault="004B0550" w:rsidP="00922486">
      <w:pPr>
        <w:pStyle w:val="texto"/>
        <w:rPr>
          <w:rFonts w:cs="Arial"/>
          <w:color w:val="000000" w:themeColor="text1"/>
        </w:rPr>
      </w:pPr>
      <w:r>
        <w:rPr>
          <w:color w:val="000000" w:themeColor="text1"/>
        </w:rPr>
        <w:t>Txosten horren gomendio nagusiak honako hauek izan ziren:</w:t>
      </w:r>
    </w:p>
    <w:p w14:paraId="6994202F" w14:textId="77777777" w:rsidR="004B0550" w:rsidRPr="00033257" w:rsidRDefault="1F6CACC7"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NFKAk administrazio elektronikoko zerbitzuen ezarpena sustatzea, estrategia orokorra zehaztuz, eta zerbitzu horiek eraginkortasunez eta bete-betean inplementatzeko behar diren giza baliabideak eta baliabide ekonomikoak eta teknologikoak toki-entitateen eskura jartzea, eskalako ekonomien lorpena ahalbidetuz.</w:t>
      </w:r>
    </w:p>
    <w:p w14:paraId="243CDE60" w14:textId="7070A7BF" w:rsidR="004B0550" w:rsidRPr="00033257" w:rsidRDefault="1F6CACC7"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i/>
          <w:color w:val="000000" w:themeColor="text1"/>
        </w:rPr>
        <w:t>Toki-entitateek beren barne antolaketa administrazio elektronikora egokitzea, egiteke dauden ezarpen prozesuak amaitzea eta prozeduren izapidetze telematikoan aurrera egitea fase guztietan.</w:t>
      </w:r>
    </w:p>
    <w:p w14:paraId="48A21919" w14:textId="77777777" w:rsidR="009A7A48" w:rsidRPr="00033257" w:rsidRDefault="00A170AD" w:rsidP="00A170AD">
      <w:pPr>
        <w:pStyle w:val="texto"/>
        <w:ind w:firstLine="0"/>
        <w:rPr>
          <w:rFonts w:ascii="Arial" w:hAnsi="Arial"/>
          <w:b/>
          <w:color w:val="000000" w:themeColor="text1"/>
          <w:spacing w:val="0"/>
          <w:kern w:val="28"/>
          <w:sz w:val="25"/>
          <w:szCs w:val="26"/>
        </w:rPr>
      </w:pPr>
      <w:r>
        <w:br w:type="page"/>
      </w:r>
    </w:p>
    <w:p w14:paraId="1279CA73" w14:textId="77777777" w:rsidR="00345C6C" w:rsidRPr="00033257" w:rsidRDefault="00CC40EE" w:rsidP="00210333">
      <w:pPr>
        <w:pStyle w:val="atitulo1"/>
      </w:pPr>
      <w:r>
        <w:lastRenderedPageBreak/>
        <w:t xml:space="preserve"> </w:t>
      </w:r>
      <w:bookmarkStart w:id="56" w:name="_Toc24100142"/>
      <w:bookmarkStart w:id="57" w:name="_Toc52348290"/>
      <w:bookmarkStart w:id="58" w:name="_Toc151635597"/>
      <w:r>
        <w:t>VI. Toki sektore publikoaren finantza egoera</w:t>
      </w:r>
      <w:bookmarkEnd w:id="56"/>
      <w:bookmarkEnd w:id="57"/>
      <w:bookmarkEnd w:id="58"/>
    </w:p>
    <w:p w14:paraId="0A6C6C4E" w14:textId="34EBEEEC" w:rsidR="00EC4C05" w:rsidRPr="00033257" w:rsidRDefault="00EC4C05" w:rsidP="00EC4C05">
      <w:pPr>
        <w:pStyle w:val="texto"/>
        <w:spacing w:after="200"/>
        <w:rPr>
          <w:color w:val="000000" w:themeColor="text1"/>
        </w:rPr>
      </w:pPr>
      <w:bookmarkStart w:id="59" w:name="_Toc24100147"/>
      <w:bookmarkStart w:id="60" w:name="_Toc52348295"/>
      <w:r>
        <w:rPr>
          <w:color w:val="000000" w:themeColor="text1"/>
        </w:rPr>
        <w:t>COVID-19aren pandemiak 2020an izan zuen eraginaren ondoren, 2021ean nabarmen suspertu zen bizitza ekonomikoa eta soziala, nahiz eta oraindik ere zenbait murrizketa indarrean mantendu. Toki sektore publikoak 2021ean izandako jarduera ekonomiko-finantzarioan islatzen da hori. COVID-19ak 2020ko datuetan izan zuen eragina dela eta, 2019ko datuekin alderaketa batzuk ere egin ditugu.</w:t>
      </w:r>
    </w:p>
    <w:p w14:paraId="175DB834" w14:textId="76603219" w:rsidR="00EC4C05" w:rsidRPr="00033257" w:rsidRDefault="34CD8A04" w:rsidP="00EC4C05">
      <w:pPr>
        <w:pStyle w:val="texto"/>
        <w:spacing w:after="200"/>
        <w:rPr>
          <w:color w:val="000000" w:themeColor="text1"/>
        </w:rPr>
      </w:pPr>
      <w:r>
        <w:rPr>
          <w:color w:val="000000" w:themeColor="text1"/>
        </w:rPr>
        <w:t xml:space="preserve">2021eko toki sektore publikoaren finantza egoerari buruz Toki Administrazioaren eta Despopulazioaren Zuzendaritza Nagusiak egindako txostenak toki-entitateen eta haien EEAAen informazio bateratua dakar. Txosten hori II. eranskinean dago. Txosten horrek, bigarren urtez jarraian, hiru sozietate publikorekin bateratutako datuak biltzen ditu atal batean: Iruñerriko Zerbitzuak SA (SCPSA), Iruñerriko Mankomunitatearen mendekoa, Servicios Técnicos Mancomunados SLU (Sertecma) eta Jurramendiko Mankomunitatearen Zerbitzuak SA (SMSA); azken horiek Jurramendiko Mankomunitatearen mende daude. Ez daukagu 2019ko datu bateraturik hiru sozietate horiei buruz. </w:t>
      </w:r>
    </w:p>
    <w:p w14:paraId="6BD18F9B" w14:textId="77777777" w:rsidR="00EC4C05" w:rsidRPr="00033257" w:rsidRDefault="00EC4C05" w:rsidP="00164004">
      <w:pPr>
        <w:pStyle w:val="texto"/>
        <w:spacing w:after="0"/>
        <w:rPr>
          <w:color w:val="000000" w:themeColor="text1"/>
        </w:rPr>
      </w:pPr>
    </w:p>
    <w:p w14:paraId="4A0BE280" w14:textId="213AC09D" w:rsidR="002A4BE9" w:rsidRPr="00033257" w:rsidRDefault="002A4BE9" w:rsidP="006F66AB">
      <w:pPr>
        <w:pStyle w:val="atitulo2"/>
        <w:spacing w:after="120"/>
      </w:pPr>
      <w:bookmarkStart w:id="61" w:name="_Toc465686688"/>
      <w:bookmarkStart w:id="62" w:name="_Toc529773882"/>
      <w:bookmarkStart w:id="63" w:name="_Toc24100143"/>
      <w:bookmarkStart w:id="64" w:name="_Toc52348291"/>
      <w:bookmarkStart w:id="65" w:name="_Toc123547407"/>
      <w:bookmarkStart w:id="66" w:name="_Toc151635598"/>
      <w:r>
        <w:t>VI.1 Diru-sarrerak</w:t>
      </w:r>
      <w:bookmarkEnd w:id="61"/>
      <w:bookmarkEnd w:id="62"/>
      <w:bookmarkEnd w:id="63"/>
      <w:bookmarkEnd w:id="64"/>
      <w:bookmarkEnd w:id="65"/>
      <w:bookmarkEnd w:id="66"/>
    </w:p>
    <w:p w14:paraId="107E8185" w14:textId="61B95708" w:rsidR="002A4BE9" w:rsidRPr="00033257" w:rsidRDefault="002A4BE9" w:rsidP="002A4BE9">
      <w:pPr>
        <w:pStyle w:val="texto"/>
        <w:spacing w:before="120" w:after="60"/>
        <w:rPr>
          <w:color w:val="000000" w:themeColor="text1"/>
        </w:rPr>
      </w:pPr>
      <w:r>
        <w:rPr>
          <w:color w:val="000000" w:themeColor="text1"/>
        </w:rPr>
        <w:t>Jarraian, toki-entitateen eta haien EEAAen diru-sarreren aurrekontuaren 2021eko betetzeari buruzko laburpena azaltzen da:</w:t>
      </w:r>
    </w:p>
    <w:p w14:paraId="4C5AE97C" w14:textId="6CBC4628" w:rsidR="002A4BE9" w:rsidRPr="00033257" w:rsidRDefault="00E0306B" w:rsidP="00164004">
      <w:pPr>
        <w:pStyle w:val="texto"/>
        <w:spacing w:after="0"/>
        <w:ind w:right="-1"/>
        <w:jc w:val="right"/>
        <w:rPr>
          <w:rFonts w:ascii="Arial Narrow" w:hAnsi="Arial Narrow"/>
          <w:b/>
          <w:color w:val="000000" w:themeColor="text1"/>
          <w:sz w:val="18"/>
          <w:szCs w:val="18"/>
        </w:rPr>
      </w:pPr>
      <w:r>
        <w:rPr>
          <w:rFonts w:ascii="Arial Narrow" w:hAnsi="Arial Narrow"/>
          <w:color w:val="000000" w:themeColor="text1"/>
          <w:sz w:val="18"/>
        </w:rPr>
        <w:t xml:space="preserve">(milioiak) </w:t>
      </w:r>
    </w:p>
    <w:tbl>
      <w:tblPr>
        <w:tblW w:w="5081" w:type="pct"/>
        <w:jc w:val="center"/>
        <w:tblLayout w:type="fixed"/>
        <w:tblCellMar>
          <w:left w:w="70" w:type="dxa"/>
          <w:right w:w="70" w:type="dxa"/>
        </w:tblCellMar>
        <w:tblLook w:val="04A0" w:firstRow="1" w:lastRow="0" w:firstColumn="1" w:lastColumn="0" w:noHBand="0" w:noVBand="1"/>
      </w:tblPr>
      <w:tblGrid>
        <w:gridCol w:w="1985"/>
        <w:gridCol w:w="994"/>
        <w:gridCol w:w="706"/>
        <w:gridCol w:w="992"/>
        <w:gridCol w:w="970"/>
        <w:gridCol w:w="872"/>
        <w:gridCol w:w="709"/>
        <w:gridCol w:w="852"/>
        <w:gridCol w:w="850"/>
      </w:tblGrid>
      <w:tr w:rsidR="00164004" w:rsidRPr="00164004" w14:paraId="035E8107" w14:textId="77777777" w:rsidTr="00164004">
        <w:trPr>
          <w:trHeight w:val="255"/>
          <w:jc w:val="center"/>
        </w:trPr>
        <w:tc>
          <w:tcPr>
            <w:tcW w:w="1111"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049E919A" w14:textId="77777777" w:rsidR="00A2712A" w:rsidRPr="00164004" w:rsidRDefault="00A2712A" w:rsidP="00164004">
            <w:pPr>
              <w:pStyle w:val="cuadroCabe"/>
              <w:spacing w:line="240" w:lineRule="auto"/>
              <w:rPr>
                <w:rFonts w:cs="Arial"/>
                <w:color w:val="000000" w:themeColor="text1"/>
                <w:sz w:val="16"/>
                <w:szCs w:val="16"/>
              </w:rPr>
            </w:pPr>
            <w:r>
              <w:rPr>
                <w:color w:val="000000" w:themeColor="text1"/>
                <w:sz w:val="16"/>
              </w:rPr>
              <w:t>Kapitulua</w:t>
            </w:r>
          </w:p>
        </w:tc>
        <w:tc>
          <w:tcPr>
            <w:tcW w:w="556" w:type="pct"/>
            <w:tcBorders>
              <w:top w:val="single" w:sz="4" w:space="0" w:color="000000" w:themeColor="text1"/>
              <w:left w:val="nil"/>
              <w:bottom w:val="single" w:sz="4" w:space="0" w:color="000000" w:themeColor="text1"/>
              <w:right w:val="single" w:sz="2" w:space="0" w:color="000000" w:themeColor="text1"/>
            </w:tcBorders>
            <w:shd w:val="clear" w:color="auto" w:fill="FABF8F" w:themeFill="accent6" w:themeFillTint="99"/>
            <w:vAlign w:val="center"/>
            <w:hideMark/>
          </w:tcPr>
          <w:p w14:paraId="232EA6DC" w14:textId="77777777" w:rsidR="00A2712A" w:rsidRPr="00164004" w:rsidRDefault="4867D2E6" w:rsidP="00164004">
            <w:pPr>
              <w:pStyle w:val="cuadroCabe"/>
              <w:tabs>
                <w:tab w:val="clear" w:pos="2835"/>
                <w:tab w:val="right" w:pos="1065"/>
              </w:tabs>
              <w:spacing w:line="240" w:lineRule="auto"/>
              <w:ind w:left="67" w:hanging="67"/>
              <w:jc w:val="right"/>
              <w:rPr>
                <w:rFonts w:cs="Arial"/>
                <w:color w:val="000000" w:themeColor="text1"/>
                <w:sz w:val="16"/>
                <w:szCs w:val="16"/>
              </w:rPr>
            </w:pPr>
            <w:r>
              <w:rPr>
                <w:color w:val="000000" w:themeColor="text1"/>
                <w:sz w:val="16"/>
              </w:rPr>
              <w:t xml:space="preserve">Behin b. </w:t>
            </w:r>
          </w:p>
          <w:p w14:paraId="50DFBFB6" w14:textId="77777777" w:rsidR="00A2712A" w:rsidRPr="00164004" w:rsidRDefault="4867D2E6" w:rsidP="00164004">
            <w:pPr>
              <w:pStyle w:val="cuadroCabe"/>
              <w:tabs>
                <w:tab w:val="clear" w:pos="2835"/>
                <w:tab w:val="right" w:pos="1065"/>
              </w:tabs>
              <w:spacing w:line="240" w:lineRule="auto"/>
              <w:ind w:left="67" w:hanging="67"/>
              <w:jc w:val="right"/>
              <w:rPr>
                <w:rFonts w:cs="Arial"/>
                <w:color w:val="000000" w:themeColor="text1"/>
                <w:sz w:val="16"/>
                <w:szCs w:val="16"/>
              </w:rPr>
            </w:pPr>
            <w:r>
              <w:rPr>
                <w:color w:val="000000" w:themeColor="text1"/>
                <w:sz w:val="16"/>
              </w:rPr>
              <w:t>aurreikuspenak</w:t>
            </w:r>
          </w:p>
        </w:tc>
        <w:tc>
          <w:tcPr>
            <w:tcW w:w="395" w:type="pct"/>
            <w:tcBorders>
              <w:top w:val="single" w:sz="4" w:space="0" w:color="auto"/>
              <w:left w:val="single" w:sz="2" w:space="0" w:color="000000" w:themeColor="text1"/>
              <w:bottom w:val="single" w:sz="4" w:space="0" w:color="000000" w:themeColor="text1"/>
              <w:right w:val="nil"/>
            </w:tcBorders>
            <w:shd w:val="clear" w:color="auto" w:fill="FABF8F" w:themeFill="accent6" w:themeFillTint="99"/>
            <w:vAlign w:val="center"/>
            <w:hideMark/>
          </w:tcPr>
          <w:p w14:paraId="0881F2B6" w14:textId="77777777" w:rsidR="00A2712A" w:rsidRPr="00164004" w:rsidRDefault="00A2712A" w:rsidP="00164004">
            <w:pPr>
              <w:pStyle w:val="cuadroCabe"/>
              <w:spacing w:line="240" w:lineRule="auto"/>
              <w:jc w:val="right"/>
              <w:rPr>
                <w:rFonts w:cs="Arial"/>
                <w:color w:val="000000" w:themeColor="text1"/>
                <w:sz w:val="16"/>
                <w:szCs w:val="16"/>
              </w:rPr>
            </w:pPr>
            <w:r>
              <w:rPr>
                <w:color w:val="000000" w:themeColor="text1"/>
                <w:sz w:val="16"/>
              </w:rPr>
              <w:t>AEG 2021</w:t>
            </w:r>
          </w:p>
        </w:tc>
        <w:tc>
          <w:tcPr>
            <w:tcW w:w="555" w:type="pct"/>
            <w:tcBorders>
              <w:top w:val="single" w:sz="4" w:space="0" w:color="auto"/>
              <w:left w:val="nil"/>
              <w:bottom w:val="single" w:sz="4" w:space="0" w:color="000000" w:themeColor="text1"/>
              <w:right w:val="nil"/>
            </w:tcBorders>
            <w:shd w:val="clear" w:color="auto" w:fill="FABF8F" w:themeFill="accent6" w:themeFillTint="99"/>
            <w:vAlign w:val="center"/>
            <w:hideMark/>
          </w:tcPr>
          <w:p w14:paraId="188371EB" w14:textId="77777777" w:rsidR="00A2712A" w:rsidRPr="00164004" w:rsidRDefault="00A2712A" w:rsidP="00164004">
            <w:pPr>
              <w:pStyle w:val="cuadroCabe"/>
              <w:spacing w:line="240" w:lineRule="auto"/>
              <w:jc w:val="right"/>
              <w:rPr>
                <w:rFonts w:cs="Arial"/>
                <w:color w:val="000000" w:themeColor="text1"/>
                <w:sz w:val="16"/>
                <w:szCs w:val="16"/>
              </w:rPr>
            </w:pPr>
            <w:r>
              <w:rPr>
                <w:color w:val="000000" w:themeColor="text1"/>
                <w:sz w:val="16"/>
              </w:rPr>
              <w:t xml:space="preserve"> Diru-sarrera guztien gainean (%)</w:t>
            </w:r>
          </w:p>
        </w:tc>
        <w:tc>
          <w:tcPr>
            <w:tcW w:w="543" w:type="pct"/>
            <w:tcBorders>
              <w:top w:val="single" w:sz="4" w:space="0" w:color="auto"/>
              <w:left w:val="nil"/>
              <w:bottom w:val="single" w:sz="4" w:space="0" w:color="000000" w:themeColor="text1"/>
              <w:right w:val="single" w:sz="2" w:space="0" w:color="auto"/>
            </w:tcBorders>
            <w:shd w:val="clear" w:color="auto" w:fill="FABF8F" w:themeFill="accent6" w:themeFillTint="99"/>
            <w:vAlign w:val="center"/>
            <w:hideMark/>
          </w:tcPr>
          <w:p w14:paraId="56A914BF" w14:textId="77777777" w:rsidR="00A2712A" w:rsidRPr="00164004" w:rsidRDefault="00A2712A" w:rsidP="00164004">
            <w:pPr>
              <w:pStyle w:val="cuadroCabe"/>
              <w:spacing w:line="240" w:lineRule="auto"/>
              <w:jc w:val="right"/>
              <w:rPr>
                <w:rFonts w:cs="Arial"/>
                <w:color w:val="000000" w:themeColor="text1"/>
                <w:sz w:val="16"/>
                <w:szCs w:val="16"/>
              </w:rPr>
            </w:pPr>
            <w:r>
              <w:rPr>
                <w:color w:val="000000" w:themeColor="text1"/>
                <w:sz w:val="16"/>
              </w:rPr>
              <w:t>Betearazpena</w:t>
            </w:r>
            <w:r>
              <w:rPr>
                <w:color w:val="000000" w:themeColor="text1"/>
                <w:sz w:val="16"/>
              </w:rPr>
              <w:br/>
              <w:t>(%)</w:t>
            </w:r>
          </w:p>
        </w:tc>
        <w:tc>
          <w:tcPr>
            <w:tcW w:w="488" w:type="pct"/>
            <w:tcBorders>
              <w:top w:val="single" w:sz="4" w:space="0" w:color="auto"/>
              <w:left w:val="single" w:sz="2" w:space="0" w:color="auto"/>
              <w:bottom w:val="single" w:sz="4" w:space="0" w:color="000000" w:themeColor="text1"/>
              <w:right w:val="nil"/>
            </w:tcBorders>
            <w:shd w:val="clear" w:color="auto" w:fill="FABF8F" w:themeFill="accent6" w:themeFillTint="99"/>
            <w:vAlign w:val="center"/>
          </w:tcPr>
          <w:p w14:paraId="536FCDEE" w14:textId="77777777" w:rsidR="00A2712A" w:rsidRPr="00164004" w:rsidRDefault="00A2712A" w:rsidP="00164004">
            <w:pPr>
              <w:pStyle w:val="cuadroCabe"/>
              <w:spacing w:line="240" w:lineRule="auto"/>
              <w:jc w:val="right"/>
              <w:rPr>
                <w:rFonts w:cs="Arial"/>
                <w:color w:val="000000" w:themeColor="text1"/>
                <w:sz w:val="16"/>
                <w:szCs w:val="16"/>
              </w:rPr>
            </w:pPr>
            <w:r>
              <w:rPr>
                <w:color w:val="000000" w:themeColor="text1"/>
                <w:sz w:val="16"/>
              </w:rPr>
              <w:t>AEG 2021/20 aldea</w:t>
            </w:r>
          </w:p>
        </w:tc>
        <w:tc>
          <w:tcPr>
            <w:tcW w:w="397" w:type="pct"/>
            <w:tcBorders>
              <w:top w:val="single" w:sz="4" w:space="0" w:color="auto"/>
              <w:left w:val="nil"/>
              <w:bottom w:val="single" w:sz="4" w:space="0" w:color="000000" w:themeColor="text1"/>
              <w:right w:val="single" w:sz="2" w:space="0" w:color="auto"/>
            </w:tcBorders>
            <w:shd w:val="clear" w:color="auto" w:fill="FABF8F" w:themeFill="accent6" w:themeFillTint="99"/>
            <w:vAlign w:val="center"/>
          </w:tcPr>
          <w:p w14:paraId="2B8FAA59" w14:textId="77777777" w:rsidR="00A2712A" w:rsidRPr="00164004" w:rsidRDefault="00A2712A" w:rsidP="00164004">
            <w:pPr>
              <w:pStyle w:val="cuadroCabe"/>
              <w:spacing w:line="240" w:lineRule="auto"/>
              <w:jc w:val="right"/>
              <w:rPr>
                <w:rFonts w:cs="Arial"/>
                <w:color w:val="000000" w:themeColor="text1"/>
                <w:sz w:val="16"/>
                <w:szCs w:val="16"/>
              </w:rPr>
            </w:pPr>
            <w:r>
              <w:rPr>
                <w:color w:val="000000" w:themeColor="text1"/>
                <w:sz w:val="16"/>
              </w:rPr>
              <w:t>2021/20 aldea (%)</w:t>
            </w:r>
          </w:p>
        </w:tc>
        <w:tc>
          <w:tcPr>
            <w:tcW w:w="477" w:type="pct"/>
            <w:tcBorders>
              <w:top w:val="single" w:sz="4" w:space="0" w:color="000000" w:themeColor="text1"/>
              <w:left w:val="single" w:sz="2" w:space="0" w:color="auto"/>
              <w:bottom w:val="single" w:sz="4" w:space="0" w:color="000000" w:themeColor="text1"/>
              <w:right w:val="nil"/>
            </w:tcBorders>
            <w:shd w:val="clear" w:color="auto" w:fill="FABF8F" w:themeFill="accent6" w:themeFillTint="99"/>
            <w:vAlign w:val="center"/>
          </w:tcPr>
          <w:p w14:paraId="0BCF4A81" w14:textId="77777777" w:rsidR="00A2712A" w:rsidRPr="00164004" w:rsidRDefault="00A2712A" w:rsidP="00164004">
            <w:pPr>
              <w:pStyle w:val="cuadroCabe"/>
              <w:spacing w:line="240" w:lineRule="auto"/>
              <w:jc w:val="right"/>
              <w:rPr>
                <w:rFonts w:cs="Arial"/>
                <w:color w:val="000000" w:themeColor="text1"/>
                <w:sz w:val="16"/>
                <w:szCs w:val="16"/>
              </w:rPr>
            </w:pPr>
            <w:r>
              <w:rPr>
                <w:color w:val="000000" w:themeColor="text1"/>
                <w:sz w:val="16"/>
              </w:rPr>
              <w:t>AEG 2021/19 aldea</w:t>
            </w:r>
          </w:p>
        </w:tc>
        <w:tc>
          <w:tcPr>
            <w:tcW w:w="476"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26A52738" w14:textId="77777777" w:rsidR="00A2712A" w:rsidRPr="00164004" w:rsidRDefault="00A2712A" w:rsidP="00164004">
            <w:pPr>
              <w:pStyle w:val="cuadroCabe"/>
              <w:spacing w:line="240" w:lineRule="auto"/>
              <w:jc w:val="right"/>
              <w:rPr>
                <w:rFonts w:cs="Arial"/>
                <w:color w:val="000000" w:themeColor="text1"/>
                <w:sz w:val="16"/>
                <w:szCs w:val="16"/>
              </w:rPr>
            </w:pPr>
            <w:r>
              <w:rPr>
                <w:color w:val="000000" w:themeColor="text1"/>
                <w:sz w:val="16"/>
              </w:rPr>
              <w:t>2021/19 aldea (%)</w:t>
            </w:r>
          </w:p>
        </w:tc>
      </w:tr>
      <w:tr w:rsidR="00164004" w:rsidRPr="00164004" w14:paraId="5788C9E3" w14:textId="77777777" w:rsidTr="00164004">
        <w:trPr>
          <w:trHeight w:val="255"/>
          <w:jc w:val="center"/>
        </w:trPr>
        <w:tc>
          <w:tcPr>
            <w:tcW w:w="1111" w:type="pct"/>
            <w:tcBorders>
              <w:top w:val="single" w:sz="4" w:space="0" w:color="000000" w:themeColor="text1"/>
              <w:left w:val="nil"/>
              <w:bottom w:val="single" w:sz="2" w:space="0" w:color="000000" w:themeColor="text1"/>
              <w:right w:val="nil"/>
            </w:tcBorders>
            <w:shd w:val="clear" w:color="auto" w:fill="auto"/>
            <w:vAlign w:val="center"/>
            <w:hideMark/>
          </w:tcPr>
          <w:p w14:paraId="5EA698E6"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1. Zuzeneko zergak</w:t>
            </w:r>
          </w:p>
        </w:tc>
        <w:tc>
          <w:tcPr>
            <w:tcW w:w="556" w:type="pct"/>
            <w:tcBorders>
              <w:top w:val="single" w:sz="4" w:space="0" w:color="000000" w:themeColor="text1"/>
              <w:left w:val="nil"/>
              <w:bottom w:val="single" w:sz="2" w:space="0" w:color="000000" w:themeColor="text1"/>
              <w:right w:val="single" w:sz="2" w:space="0" w:color="000000" w:themeColor="text1"/>
            </w:tcBorders>
            <w:shd w:val="clear" w:color="auto" w:fill="auto"/>
            <w:vAlign w:val="center"/>
          </w:tcPr>
          <w:p w14:paraId="2857E49C"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191,29</w:t>
            </w:r>
          </w:p>
        </w:tc>
        <w:tc>
          <w:tcPr>
            <w:tcW w:w="395" w:type="pct"/>
            <w:tcBorders>
              <w:top w:val="single" w:sz="4" w:space="0" w:color="000000" w:themeColor="text1"/>
              <w:left w:val="single" w:sz="2" w:space="0" w:color="000000" w:themeColor="text1"/>
              <w:bottom w:val="single" w:sz="2" w:space="0" w:color="000000" w:themeColor="text1"/>
              <w:right w:val="nil"/>
            </w:tcBorders>
            <w:shd w:val="clear" w:color="auto" w:fill="auto"/>
            <w:vAlign w:val="center"/>
          </w:tcPr>
          <w:p w14:paraId="0EFFDEC7"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193,22</w:t>
            </w:r>
          </w:p>
        </w:tc>
        <w:tc>
          <w:tcPr>
            <w:tcW w:w="555" w:type="pct"/>
            <w:tcBorders>
              <w:top w:val="single" w:sz="4" w:space="0" w:color="000000" w:themeColor="text1"/>
              <w:left w:val="nil"/>
              <w:bottom w:val="single" w:sz="2" w:space="0" w:color="000000" w:themeColor="text1"/>
              <w:right w:val="nil"/>
            </w:tcBorders>
            <w:shd w:val="clear" w:color="auto" w:fill="auto"/>
            <w:vAlign w:val="center"/>
          </w:tcPr>
          <w:p w14:paraId="6214D53D"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22</w:t>
            </w:r>
          </w:p>
        </w:tc>
        <w:tc>
          <w:tcPr>
            <w:tcW w:w="543" w:type="pct"/>
            <w:tcBorders>
              <w:top w:val="single" w:sz="4" w:space="0" w:color="000000" w:themeColor="text1"/>
              <w:left w:val="nil"/>
              <w:bottom w:val="single" w:sz="2" w:space="0" w:color="000000" w:themeColor="text1"/>
              <w:right w:val="single" w:sz="2" w:space="0" w:color="auto"/>
            </w:tcBorders>
            <w:shd w:val="clear" w:color="auto" w:fill="auto"/>
            <w:vAlign w:val="center"/>
          </w:tcPr>
          <w:p w14:paraId="6666C624"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101</w:t>
            </w:r>
          </w:p>
        </w:tc>
        <w:tc>
          <w:tcPr>
            <w:tcW w:w="488" w:type="pct"/>
            <w:tcBorders>
              <w:top w:val="single" w:sz="4" w:space="0" w:color="000000" w:themeColor="text1"/>
              <w:left w:val="single" w:sz="2" w:space="0" w:color="auto"/>
              <w:bottom w:val="single" w:sz="2" w:space="0" w:color="000000" w:themeColor="text1"/>
              <w:right w:val="nil"/>
            </w:tcBorders>
            <w:vAlign w:val="center"/>
          </w:tcPr>
          <w:p w14:paraId="571FDD5E"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-5,03</w:t>
            </w:r>
          </w:p>
        </w:tc>
        <w:tc>
          <w:tcPr>
            <w:tcW w:w="397" w:type="pct"/>
            <w:tcBorders>
              <w:top w:val="single" w:sz="4" w:space="0" w:color="000000" w:themeColor="text1"/>
              <w:left w:val="nil"/>
              <w:bottom w:val="single" w:sz="2" w:space="0" w:color="000000" w:themeColor="text1"/>
              <w:right w:val="single" w:sz="2" w:space="0" w:color="auto"/>
            </w:tcBorders>
            <w:vAlign w:val="center"/>
          </w:tcPr>
          <w:p w14:paraId="0CAE14BB"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-3</w:t>
            </w:r>
          </w:p>
        </w:tc>
        <w:tc>
          <w:tcPr>
            <w:tcW w:w="477" w:type="pct"/>
            <w:tcBorders>
              <w:top w:val="single" w:sz="4" w:space="0" w:color="000000" w:themeColor="text1"/>
              <w:left w:val="single" w:sz="2" w:space="0" w:color="auto"/>
              <w:bottom w:val="single" w:sz="2" w:space="0" w:color="000000" w:themeColor="text1"/>
              <w:right w:val="nil"/>
            </w:tcBorders>
            <w:vAlign w:val="center"/>
          </w:tcPr>
          <w:p w14:paraId="42EAE588"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-6,04</w:t>
            </w:r>
          </w:p>
        </w:tc>
        <w:tc>
          <w:tcPr>
            <w:tcW w:w="476" w:type="pct"/>
            <w:tcBorders>
              <w:top w:val="single" w:sz="4" w:space="0" w:color="000000" w:themeColor="text1"/>
              <w:left w:val="nil"/>
              <w:bottom w:val="single" w:sz="2" w:space="0" w:color="000000" w:themeColor="text1"/>
              <w:right w:val="nil"/>
            </w:tcBorders>
            <w:vAlign w:val="center"/>
          </w:tcPr>
          <w:p w14:paraId="51B95496"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-3</w:t>
            </w:r>
          </w:p>
        </w:tc>
      </w:tr>
      <w:tr w:rsidR="00164004" w:rsidRPr="00164004" w14:paraId="41301959"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174611A3"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2. Zeharkako zergak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18705134"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24,17</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78D54323"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33,48</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7C964D78"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4</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87A6B15"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138</w:t>
            </w:r>
          </w:p>
        </w:tc>
        <w:tc>
          <w:tcPr>
            <w:tcW w:w="488" w:type="pct"/>
            <w:tcBorders>
              <w:top w:val="single" w:sz="2" w:space="0" w:color="000000" w:themeColor="text1"/>
              <w:left w:val="single" w:sz="2" w:space="0" w:color="auto"/>
              <w:bottom w:val="single" w:sz="2" w:space="0" w:color="000000" w:themeColor="text1"/>
              <w:right w:val="nil"/>
            </w:tcBorders>
            <w:vAlign w:val="center"/>
          </w:tcPr>
          <w:p w14:paraId="47108BB8"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11,07</w:t>
            </w:r>
          </w:p>
        </w:tc>
        <w:tc>
          <w:tcPr>
            <w:tcW w:w="397" w:type="pct"/>
            <w:tcBorders>
              <w:top w:val="single" w:sz="2" w:space="0" w:color="000000" w:themeColor="text1"/>
              <w:left w:val="nil"/>
              <w:bottom w:val="single" w:sz="2" w:space="0" w:color="000000" w:themeColor="text1"/>
              <w:right w:val="single" w:sz="2" w:space="0" w:color="auto"/>
            </w:tcBorders>
            <w:vAlign w:val="center"/>
          </w:tcPr>
          <w:p w14:paraId="54368C02"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49</w:t>
            </w:r>
          </w:p>
        </w:tc>
        <w:tc>
          <w:tcPr>
            <w:tcW w:w="477" w:type="pct"/>
            <w:tcBorders>
              <w:top w:val="single" w:sz="2" w:space="0" w:color="000000" w:themeColor="text1"/>
              <w:left w:val="single" w:sz="2" w:space="0" w:color="auto"/>
              <w:bottom w:val="single" w:sz="2" w:space="0" w:color="000000" w:themeColor="text1"/>
              <w:right w:val="nil"/>
            </w:tcBorders>
            <w:vAlign w:val="center"/>
          </w:tcPr>
          <w:p w14:paraId="4B9FC187"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-0,40</w:t>
            </w:r>
          </w:p>
        </w:tc>
        <w:tc>
          <w:tcPr>
            <w:tcW w:w="476" w:type="pct"/>
            <w:tcBorders>
              <w:top w:val="single" w:sz="2" w:space="0" w:color="000000" w:themeColor="text1"/>
              <w:left w:val="nil"/>
              <w:bottom w:val="single" w:sz="2" w:space="0" w:color="000000" w:themeColor="text1"/>
              <w:right w:val="nil"/>
            </w:tcBorders>
            <w:vAlign w:val="center"/>
          </w:tcPr>
          <w:p w14:paraId="156B7C8D"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w:t>
            </w:r>
          </w:p>
        </w:tc>
      </w:tr>
      <w:tr w:rsidR="00164004" w:rsidRPr="00164004" w14:paraId="14E1553B"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3FC6DEBA"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3. Tasak, prezio publikoak eta bestelako diru-sarrerak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44D5FC69"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161,90</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3FD27C4F"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178,04</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5007C906"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20</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C213BED"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110</w:t>
            </w:r>
          </w:p>
        </w:tc>
        <w:tc>
          <w:tcPr>
            <w:tcW w:w="488" w:type="pct"/>
            <w:tcBorders>
              <w:top w:val="single" w:sz="2" w:space="0" w:color="000000" w:themeColor="text1"/>
              <w:left w:val="single" w:sz="2" w:space="0" w:color="auto"/>
              <w:bottom w:val="single" w:sz="2" w:space="0" w:color="000000" w:themeColor="text1"/>
              <w:right w:val="nil"/>
            </w:tcBorders>
            <w:vAlign w:val="center"/>
          </w:tcPr>
          <w:p w14:paraId="2E3DAF2E"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24,22</w:t>
            </w:r>
          </w:p>
        </w:tc>
        <w:tc>
          <w:tcPr>
            <w:tcW w:w="397" w:type="pct"/>
            <w:tcBorders>
              <w:top w:val="single" w:sz="2" w:space="0" w:color="000000" w:themeColor="text1"/>
              <w:left w:val="nil"/>
              <w:bottom w:val="single" w:sz="2" w:space="0" w:color="000000" w:themeColor="text1"/>
              <w:right w:val="single" w:sz="2" w:space="0" w:color="auto"/>
            </w:tcBorders>
            <w:vAlign w:val="center"/>
          </w:tcPr>
          <w:p w14:paraId="0EB5E791"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16</w:t>
            </w:r>
          </w:p>
        </w:tc>
        <w:tc>
          <w:tcPr>
            <w:tcW w:w="477" w:type="pct"/>
            <w:tcBorders>
              <w:top w:val="single" w:sz="2" w:space="0" w:color="000000" w:themeColor="text1"/>
              <w:left w:val="single" w:sz="2" w:space="0" w:color="auto"/>
              <w:bottom w:val="single" w:sz="2" w:space="0" w:color="000000" w:themeColor="text1"/>
              <w:right w:val="nil"/>
            </w:tcBorders>
            <w:vAlign w:val="center"/>
          </w:tcPr>
          <w:p w14:paraId="2077089C"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9,09</w:t>
            </w:r>
          </w:p>
        </w:tc>
        <w:tc>
          <w:tcPr>
            <w:tcW w:w="476" w:type="pct"/>
            <w:tcBorders>
              <w:top w:val="single" w:sz="2" w:space="0" w:color="000000" w:themeColor="text1"/>
              <w:left w:val="nil"/>
              <w:bottom w:val="single" w:sz="2" w:space="0" w:color="000000" w:themeColor="text1"/>
              <w:right w:val="nil"/>
            </w:tcBorders>
            <w:vAlign w:val="center"/>
          </w:tcPr>
          <w:p w14:paraId="44240AAE"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5</w:t>
            </w:r>
          </w:p>
        </w:tc>
      </w:tr>
      <w:tr w:rsidR="00164004" w:rsidRPr="00164004" w14:paraId="028BA56B"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63FD6054"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4. Transferentzia arruntak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42307F1E"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368,24</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6725079C"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374,42</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21C9D991"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42</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9F24933"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102</w:t>
            </w:r>
          </w:p>
        </w:tc>
        <w:tc>
          <w:tcPr>
            <w:tcW w:w="488" w:type="pct"/>
            <w:tcBorders>
              <w:top w:val="single" w:sz="2" w:space="0" w:color="000000" w:themeColor="text1"/>
              <w:left w:val="single" w:sz="2" w:space="0" w:color="auto"/>
              <w:bottom w:val="single" w:sz="2" w:space="0" w:color="000000" w:themeColor="text1"/>
              <w:right w:val="nil"/>
            </w:tcBorders>
            <w:vAlign w:val="center"/>
          </w:tcPr>
          <w:p w14:paraId="2C141398"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1,47</w:t>
            </w:r>
          </w:p>
        </w:tc>
        <w:tc>
          <w:tcPr>
            <w:tcW w:w="397" w:type="pct"/>
            <w:tcBorders>
              <w:top w:val="single" w:sz="2" w:space="0" w:color="000000" w:themeColor="text1"/>
              <w:left w:val="nil"/>
              <w:bottom w:val="single" w:sz="2" w:space="0" w:color="000000" w:themeColor="text1"/>
              <w:right w:val="single" w:sz="2" w:space="0" w:color="auto"/>
            </w:tcBorders>
            <w:vAlign w:val="center"/>
          </w:tcPr>
          <w:p w14:paraId="5531F93F"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0</w:t>
            </w:r>
          </w:p>
        </w:tc>
        <w:tc>
          <w:tcPr>
            <w:tcW w:w="477" w:type="pct"/>
            <w:tcBorders>
              <w:top w:val="single" w:sz="2" w:space="0" w:color="000000" w:themeColor="text1"/>
              <w:left w:val="single" w:sz="2" w:space="0" w:color="auto"/>
              <w:bottom w:val="single" w:sz="2" w:space="0" w:color="000000" w:themeColor="text1"/>
              <w:right w:val="nil"/>
            </w:tcBorders>
            <w:vAlign w:val="center"/>
          </w:tcPr>
          <w:p w14:paraId="3359BFFF"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33,83</w:t>
            </w:r>
          </w:p>
        </w:tc>
        <w:tc>
          <w:tcPr>
            <w:tcW w:w="476" w:type="pct"/>
            <w:tcBorders>
              <w:top w:val="single" w:sz="2" w:space="0" w:color="000000" w:themeColor="text1"/>
              <w:left w:val="nil"/>
              <w:bottom w:val="single" w:sz="2" w:space="0" w:color="000000" w:themeColor="text1"/>
              <w:right w:val="nil"/>
            </w:tcBorders>
            <w:vAlign w:val="center"/>
          </w:tcPr>
          <w:p w14:paraId="3E1FE5D4"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10</w:t>
            </w:r>
          </w:p>
        </w:tc>
      </w:tr>
      <w:tr w:rsidR="00164004" w:rsidRPr="00164004" w14:paraId="7E599CFE"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73362156"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5. Ondare-sarrerak eta herri-aprobetxamenduak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53F22E3F"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53,06</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68CB48BE"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50,41</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1946A7AE"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6</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A9150B4"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95</w:t>
            </w:r>
          </w:p>
        </w:tc>
        <w:tc>
          <w:tcPr>
            <w:tcW w:w="488" w:type="pct"/>
            <w:tcBorders>
              <w:top w:val="single" w:sz="2" w:space="0" w:color="000000" w:themeColor="text1"/>
              <w:left w:val="single" w:sz="2" w:space="0" w:color="auto"/>
              <w:bottom w:val="single" w:sz="2" w:space="0" w:color="000000" w:themeColor="text1"/>
              <w:right w:val="nil"/>
            </w:tcBorders>
            <w:vAlign w:val="center"/>
          </w:tcPr>
          <w:p w14:paraId="31FF4945"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15,81</w:t>
            </w:r>
          </w:p>
        </w:tc>
        <w:tc>
          <w:tcPr>
            <w:tcW w:w="397" w:type="pct"/>
            <w:tcBorders>
              <w:top w:val="single" w:sz="2" w:space="0" w:color="000000" w:themeColor="text1"/>
              <w:left w:val="nil"/>
              <w:bottom w:val="single" w:sz="2" w:space="0" w:color="000000" w:themeColor="text1"/>
              <w:right w:val="single" w:sz="2" w:space="0" w:color="auto"/>
            </w:tcBorders>
            <w:vAlign w:val="center"/>
          </w:tcPr>
          <w:p w14:paraId="00CA47E3"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46</w:t>
            </w:r>
          </w:p>
        </w:tc>
        <w:tc>
          <w:tcPr>
            <w:tcW w:w="477" w:type="pct"/>
            <w:tcBorders>
              <w:top w:val="single" w:sz="2" w:space="0" w:color="000000" w:themeColor="text1"/>
              <w:left w:val="single" w:sz="2" w:space="0" w:color="auto"/>
              <w:bottom w:val="single" w:sz="2" w:space="0" w:color="000000" w:themeColor="text1"/>
              <w:right w:val="nil"/>
            </w:tcBorders>
            <w:vAlign w:val="center"/>
          </w:tcPr>
          <w:p w14:paraId="7BE19501"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1,49</w:t>
            </w:r>
          </w:p>
        </w:tc>
        <w:tc>
          <w:tcPr>
            <w:tcW w:w="476" w:type="pct"/>
            <w:tcBorders>
              <w:top w:val="single" w:sz="2" w:space="0" w:color="000000" w:themeColor="text1"/>
              <w:left w:val="nil"/>
              <w:bottom w:val="single" w:sz="2" w:space="0" w:color="000000" w:themeColor="text1"/>
              <w:right w:val="nil"/>
            </w:tcBorders>
            <w:vAlign w:val="center"/>
          </w:tcPr>
          <w:p w14:paraId="57AB7477"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3</w:t>
            </w:r>
          </w:p>
        </w:tc>
      </w:tr>
      <w:tr w:rsidR="00164004" w:rsidRPr="00164004" w14:paraId="29244A11"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428DC9A8" w14:textId="77777777" w:rsidR="00A2712A" w:rsidRPr="00164004" w:rsidRDefault="00A2712A" w:rsidP="00164004">
            <w:pPr>
              <w:pStyle w:val="cuatexto"/>
              <w:spacing w:line="240" w:lineRule="auto"/>
              <w:rPr>
                <w:b/>
                <w:i/>
                <w:iCs/>
                <w:color w:val="000000" w:themeColor="text1"/>
                <w:sz w:val="16"/>
                <w:szCs w:val="16"/>
              </w:rPr>
            </w:pPr>
            <w:r>
              <w:rPr>
                <w:b/>
                <w:i/>
                <w:color w:val="000000" w:themeColor="text1"/>
                <w:sz w:val="16"/>
              </w:rPr>
              <w:t>Diru-sarrera arruntak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4649DDD1"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798,66</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36B5622B"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829,56</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52205903"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93</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0F3167D2"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104</w:t>
            </w:r>
          </w:p>
        </w:tc>
        <w:tc>
          <w:tcPr>
            <w:tcW w:w="488" w:type="pct"/>
            <w:tcBorders>
              <w:top w:val="single" w:sz="2" w:space="0" w:color="000000" w:themeColor="text1"/>
              <w:left w:val="single" w:sz="2" w:space="0" w:color="auto"/>
              <w:bottom w:val="single" w:sz="2" w:space="0" w:color="000000" w:themeColor="text1"/>
              <w:right w:val="nil"/>
            </w:tcBorders>
            <w:vAlign w:val="center"/>
          </w:tcPr>
          <w:p w14:paraId="5E385A07"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47,54</w:t>
            </w:r>
          </w:p>
        </w:tc>
        <w:tc>
          <w:tcPr>
            <w:tcW w:w="397" w:type="pct"/>
            <w:tcBorders>
              <w:top w:val="single" w:sz="2" w:space="0" w:color="000000" w:themeColor="text1"/>
              <w:left w:val="nil"/>
              <w:bottom w:val="single" w:sz="2" w:space="0" w:color="000000" w:themeColor="text1"/>
              <w:right w:val="single" w:sz="2" w:space="0" w:color="auto"/>
            </w:tcBorders>
            <w:vAlign w:val="center"/>
          </w:tcPr>
          <w:p w14:paraId="6DDB914C"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6</w:t>
            </w:r>
          </w:p>
        </w:tc>
        <w:tc>
          <w:tcPr>
            <w:tcW w:w="477" w:type="pct"/>
            <w:tcBorders>
              <w:top w:val="single" w:sz="2" w:space="0" w:color="000000" w:themeColor="text1"/>
              <w:left w:val="single" w:sz="2" w:space="0" w:color="auto"/>
              <w:bottom w:val="single" w:sz="2" w:space="0" w:color="000000" w:themeColor="text1"/>
              <w:right w:val="nil"/>
            </w:tcBorders>
            <w:vAlign w:val="center"/>
          </w:tcPr>
          <w:p w14:paraId="487FE704"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37,97</w:t>
            </w:r>
          </w:p>
        </w:tc>
        <w:tc>
          <w:tcPr>
            <w:tcW w:w="476" w:type="pct"/>
            <w:tcBorders>
              <w:top w:val="single" w:sz="2" w:space="0" w:color="000000" w:themeColor="text1"/>
              <w:left w:val="nil"/>
              <w:bottom w:val="single" w:sz="2" w:space="0" w:color="000000" w:themeColor="text1"/>
              <w:right w:val="nil"/>
            </w:tcBorders>
            <w:vAlign w:val="center"/>
          </w:tcPr>
          <w:p w14:paraId="76DB90EB"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5</w:t>
            </w:r>
          </w:p>
        </w:tc>
      </w:tr>
      <w:tr w:rsidR="00164004" w:rsidRPr="00164004" w14:paraId="745FB30B"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31A75851"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6. Inbertsio errealen besterentzea</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4F58F897"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20,61</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751BA5AA"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13,29</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065D2414"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33D2821"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64</w:t>
            </w:r>
          </w:p>
        </w:tc>
        <w:tc>
          <w:tcPr>
            <w:tcW w:w="488" w:type="pct"/>
            <w:tcBorders>
              <w:top w:val="single" w:sz="2" w:space="0" w:color="000000" w:themeColor="text1"/>
              <w:left w:val="single" w:sz="2" w:space="0" w:color="auto"/>
              <w:bottom w:val="single" w:sz="2" w:space="0" w:color="000000" w:themeColor="text1"/>
              <w:right w:val="nil"/>
            </w:tcBorders>
            <w:vAlign w:val="center"/>
          </w:tcPr>
          <w:p w14:paraId="3CFF6512"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5,36</w:t>
            </w:r>
          </w:p>
        </w:tc>
        <w:tc>
          <w:tcPr>
            <w:tcW w:w="397" w:type="pct"/>
            <w:tcBorders>
              <w:top w:val="single" w:sz="2" w:space="0" w:color="000000" w:themeColor="text1"/>
              <w:left w:val="nil"/>
              <w:bottom w:val="single" w:sz="2" w:space="0" w:color="000000" w:themeColor="text1"/>
              <w:right w:val="single" w:sz="2" w:space="0" w:color="auto"/>
            </w:tcBorders>
            <w:vAlign w:val="center"/>
          </w:tcPr>
          <w:p w14:paraId="224139B5"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68</w:t>
            </w:r>
          </w:p>
        </w:tc>
        <w:tc>
          <w:tcPr>
            <w:tcW w:w="477" w:type="pct"/>
            <w:tcBorders>
              <w:top w:val="single" w:sz="2" w:space="0" w:color="000000" w:themeColor="text1"/>
              <w:left w:val="single" w:sz="2" w:space="0" w:color="auto"/>
              <w:bottom w:val="single" w:sz="2" w:space="0" w:color="000000" w:themeColor="text1"/>
              <w:right w:val="nil"/>
            </w:tcBorders>
            <w:vAlign w:val="center"/>
          </w:tcPr>
          <w:p w14:paraId="41DAC08E"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2,27</w:t>
            </w:r>
          </w:p>
        </w:tc>
        <w:tc>
          <w:tcPr>
            <w:tcW w:w="476" w:type="pct"/>
            <w:tcBorders>
              <w:top w:val="single" w:sz="2" w:space="0" w:color="000000" w:themeColor="text1"/>
              <w:left w:val="nil"/>
              <w:bottom w:val="single" w:sz="2" w:space="0" w:color="000000" w:themeColor="text1"/>
              <w:right w:val="nil"/>
            </w:tcBorders>
            <w:vAlign w:val="center"/>
          </w:tcPr>
          <w:p w14:paraId="7B568215"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21</w:t>
            </w:r>
          </w:p>
        </w:tc>
      </w:tr>
      <w:tr w:rsidR="00164004" w:rsidRPr="00164004" w14:paraId="1E42CB02"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28D05F68"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7. Kapital-transferentziak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783A2D83"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69,45</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26BB523A"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47,01</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729DE7E4"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5</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D2FAF43"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68</w:t>
            </w:r>
          </w:p>
        </w:tc>
        <w:tc>
          <w:tcPr>
            <w:tcW w:w="488" w:type="pct"/>
            <w:tcBorders>
              <w:top w:val="single" w:sz="2" w:space="0" w:color="000000" w:themeColor="text1"/>
              <w:left w:val="single" w:sz="2" w:space="0" w:color="auto"/>
              <w:bottom w:val="single" w:sz="2" w:space="0" w:color="000000" w:themeColor="text1"/>
              <w:right w:val="nil"/>
            </w:tcBorders>
            <w:vAlign w:val="center"/>
          </w:tcPr>
          <w:p w14:paraId="4C0F3BB2"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-9,59</w:t>
            </w:r>
          </w:p>
        </w:tc>
        <w:tc>
          <w:tcPr>
            <w:tcW w:w="397" w:type="pct"/>
            <w:tcBorders>
              <w:top w:val="single" w:sz="2" w:space="0" w:color="000000" w:themeColor="text1"/>
              <w:left w:val="nil"/>
              <w:bottom w:val="single" w:sz="2" w:space="0" w:color="000000" w:themeColor="text1"/>
              <w:right w:val="single" w:sz="2" w:space="0" w:color="auto"/>
            </w:tcBorders>
            <w:vAlign w:val="center"/>
          </w:tcPr>
          <w:p w14:paraId="106C0672"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-17</w:t>
            </w:r>
          </w:p>
        </w:tc>
        <w:tc>
          <w:tcPr>
            <w:tcW w:w="477" w:type="pct"/>
            <w:tcBorders>
              <w:top w:val="single" w:sz="2" w:space="0" w:color="000000" w:themeColor="text1"/>
              <w:left w:val="single" w:sz="2" w:space="0" w:color="auto"/>
              <w:bottom w:val="single" w:sz="2" w:space="0" w:color="000000" w:themeColor="text1"/>
              <w:right w:val="nil"/>
            </w:tcBorders>
            <w:vAlign w:val="center"/>
          </w:tcPr>
          <w:p w14:paraId="1E4BE2DE"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-36,50</w:t>
            </w:r>
          </w:p>
        </w:tc>
        <w:tc>
          <w:tcPr>
            <w:tcW w:w="476" w:type="pct"/>
            <w:tcBorders>
              <w:top w:val="single" w:sz="2" w:space="0" w:color="000000" w:themeColor="text1"/>
              <w:left w:val="nil"/>
              <w:bottom w:val="single" w:sz="2" w:space="0" w:color="000000" w:themeColor="text1"/>
              <w:right w:val="nil"/>
            </w:tcBorders>
            <w:vAlign w:val="center"/>
          </w:tcPr>
          <w:p w14:paraId="46FB44F7"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-44</w:t>
            </w:r>
          </w:p>
        </w:tc>
      </w:tr>
      <w:tr w:rsidR="00164004" w:rsidRPr="00164004" w14:paraId="2B9A25B1"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315C4527" w14:textId="77777777" w:rsidR="00A2712A" w:rsidRPr="00164004" w:rsidRDefault="00A2712A" w:rsidP="00164004">
            <w:pPr>
              <w:pStyle w:val="cuatexto"/>
              <w:spacing w:line="240" w:lineRule="auto"/>
              <w:rPr>
                <w:b/>
                <w:i/>
                <w:iCs/>
                <w:color w:val="000000" w:themeColor="text1"/>
                <w:sz w:val="16"/>
                <w:szCs w:val="16"/>
              </w:rPr>
            </w:pPr>
            <w:r>
              <w:rPr>
                <w:b/>
                <w:i/>
                <w:color w:val="000000" w:themeColor="text1"/>
                <w:sz w:val="16"/>
              </w:rPr>
              <w:t>Kapitaleko diru-sarrerak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3B2DA1C1"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90,06</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49514902"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60,30</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75697EEC"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7</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CB76B51"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67</w:t>
            </w:r>
          </w:p>
        </w:tc>
        <w:tc>
          <w:tcPr>
            <w:tcW w:w="488" w:type="pct"/>
            <w:tcBorders>
              <w:top w:val="single" w:sz="2" w:space="0" w:color="000000" w:themeColor="text1"/>
              <w:left w:val="single" w:sz="2" w:space="0" w:color="auto"/>
              <w:bottom w:val="single" w:sz="2" w:space="0" w:color="000000" w:themeColor="text1"/>
              <w:right w:val="nil"/>
            </w:tcBorders>
            <w:vAlign w:val="center"/>
          </w:tcPr>
          <w:p w14:paraId="38398583"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-4,22</w:t>
            </w:r>
          </w:p>
        </w:tc>
        <w:tc>
          <w:tcPr>
            <w:tcW w:w="397" w:type="pct"/>
            <w:tcBorders>
              <w:top w:val="single" w:sz="2" w:space="0" w:color="000000" w:themeColor="text1"/>
              <w:left w:val="nil"/>
              <w:bottom w:val="single" w:sz="2" w:space="0" w:color="000000" w:themeColor="text1"/>
              <w:right w:val="single" w:sz="2" w:space="0" w:color="auto"/>
            </w:tcBorders>
            <w:vAlign w:val="center"/>
          </w:tcPr>
          <w:p w14:paraId="46EB5C67"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-7</w:t>
            </w:r>
          </w:p>
        </w:tc>
        <w:tc>
          <w:tcPr>
            <w:tcW w:w="477" w:type="pct"/>
            <w:tcBorders>
              <w:top w:val="single" w:sz="2" w:space="0" w:color="000000" w:themeColor="text1"/>
              <w:left w:val="single" w:sz="2" w:space="0" w:color="auto"/>
              <w:bottom w:val="single" w:sz="2" w:space="0" w:color="000000" w:themeColor="text1"/>
              <w:right w:val="nil"/>
            </w:tcBorders>
            <w:vAlign w:val="center"/>
          </w:tcPr>
          <w:p w14:paraId="73C94BB0"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-34,23</w:t>
            </w:r>
          </w:p>
        </w:tc>
        <w:tc>
          <w:tcPr>
            <w:tcW w:w="476" w:type="pct"/>
            <w:tcBorders>
              <w:top w:val="single" w:sz="2" w:space="0" w:color="000000" w:themeColor="text1"/>
              <w:left w:val="nil"/>
              <w:bottom w:val="single" w:sz="2" w:space="0" w:color="000000" w:themeColor="text1"/>
              <w:right w:val="nil"/>
            </w:tcBorders>
            <w:vAlign w:val="center"/>
          </w:tcPr>
          <w:p w14:paraId="2B1BC48B"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-36</w:t>
            </w:r>
          </w:p>
        </w:tc>
      </w:tr>
      <w:tr w:rsidR="00164004" w:rsidRPr="00164004" w14:paraId="649B03E0"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3B7CF1CF"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8. Finantza-aktiboak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23953C5E"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153,75</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0DFA1FB5"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1,48</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0213FF8E"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0</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2E32D521"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1</w:t>
            </w:r>
          </w:p>
        </w:tc>
        <w:tc>
          <w:tcPr>
            <w:tcW w:w="488" w:type="pct"/>
            <w:tcBorders>
              <w:top w:val="single" w:sz="2" w:space="0" w:color="000000" w:themeColor="text1"/>
              <w:left w:val="single" w:sz="2" w:space="0" w:color="auto"/>
              <w:bottom w:val="single" w:sz="2" w:space="0" w:color="000000" w:themeColor="text1"/>
              <w:right w:val="nil"/>
            </w:tcBorders>
            <w:vAlign w:val="center"/>
          </w:tcPr>
          <w:p w14:paraId="43E30602"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0,09</w:t>
            </w:r>
          </w:p>
        </w:tc>
        <w:tc>
          <w:tcPr>
            <w:tcW w:w="397" w:type="pct"/>
            <w:tcBorders>
              <w:top w:val="single" w:sz="2" w:space="0" w:color="000000" w:themeColor="text1"/>
              <w:left w:val="nil"/>
              <w:bottom w:val="single" w:sz="2" w:space="0" w:color="000000" w:themeColor="text1"/>
              <w:right w:val="single" w:sz="2" w:space="0" w:color="auto"/>
            </w:tcBorders>
            <w:vAlign w:val="center"/>
          </w:tcPr>
          <w:p w14:paraId="109B8484"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7</w:t>
            </w:r>
          </w:p>
        </w:tc>
        <w:tc>
          <w:tcPr>
            <w:tcW w:w="477" w:type="pct"/>
            <w:tcBorders>
              <w:top w:val="single" w:sz="2" w:space="0" w:color="000000" w:themeColor="text1"/>
              <w:left w:val="single" w:sz="2" w:space="0" w:color="auto"/>
              <w:bottom w:val="single" w:sz="2" w:space="0" w:color="000000" w:themeColor="text1"/>
              <w:right w:val="nil"/>
            </w:tcBorders>
            <w:vAlign w:val="center"/>
          </w:tcPr>
          <w:p w14:paraId="7B1C4BC6"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-0,86</w:t>
            </w:r>
          </w:p>
        </w:tc>
        <w:tc>
          <w:tcPr>
            <w:tcW w:w="476" w:type="pct"/>
            <w:tcBorders>
              <w:top w:val="single" w:sz="2" w:space="0" w:color="000000" w:themeColor="text1"/>
              <w:left w:val="nil"/>
              <w:bottom w:val="single" w:sz="2" w:space="0" w:color="000000" w:themeColor="text1"/>
              <w:right w:val="nil"/>
            </w:tcBorders>
            <w:vAlign w:val="center"/>
          </w:tcPr>
          <w:p w14:paraId="459F5820"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-37</w:t>
            </w:r>
          </w:p>
        </w:tc>
      </w:tr>
      <w:tr w:rsidR="00164004" w:rsidRPr="00164004" w14:paraId="64758F91"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59ECB9F6" w14:textId="77777777" w:rsidR="00A2712A" w:rsidRPr="00164004" w:rsidRDefault="00A2712A" w:rsidP="00164004">
            <w:pPr>
              <w:pStyle w:val="cuatexto"/>
              <w:spacing w:line="240" w:lineRule="auto"/>
              <w:rPr>
                <w:color w:val="000000" w:themeColor="text1"/>
                <w:sz w:val="16"/>
                <w:szCs w:val="16"/>
              </w:rPr>
            </w:pPr>
            <w:r>
              <w:rPr>
                <w:color w:val="000000" w:themeColor="text1"/>
                <w:sz w:val="16"/>
              </w:rPr>
              <w:t>9. Finantza-pasiboak</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13901267"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33,63</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5083ECF5"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3,08</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370D6AA5"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0</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4BD2DED"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9</w:t>
            </w:r>
          </w:p>
        </w:tc>
        <w:tc>
          <w:tcPr>
            <w:tcW w:w="488" w:type="pct"/>
            <w:tcBorders>
              <w:top w:val="single" w:sz="2" w:space="0" w:color="000000" w:themeColor="text1"/>
              <w:left w:val="single" w:sz="2" w:space="0" w:color="auto"/>
              <w:bottom w:val="single" w:sz="2" w:space="0" w:color="000000" w:themeColor="text1"/>
              <w:right w:val="nil"/>
            </w:tcBorders>
            <w:vAlign w:val="center"/>
          </w:tcPr>
          <w:p w14:paraId="7492A9DA"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-4,31</w:t>
            </w:r>
          </w:p>
        </w:tc>
        <w:tc>
          <w:tcPr>
            <w:tcW w:w="397" w:type="pct"/>
            <w:tcBorders>
              <w:top w:val="single" w:sz="2" w:space="0" w:color="000000" w:themeColor="text1"/>
              <w:left w:val="nil"/>
              <w:bottom w:val="single" w:sz="2" w:space="0" w:color="000000" w:themeColor="text1"/>
              <w:right w:val="single" w:sz="2" w:space="0" w:color="auto"/>
            </w:tcBorders>
            <w:vAlign w:val="center"/>
          </w:tcPr>
          <w:p w14:paraId="68F476B5"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-58</w:t>
            </w:r>
          </w:p>
        </w:tc>
        <w:tc>
          <w:tcPr>
            <w:tcW w:w="477" w:type="pct"/>
            <w:tcBorders>
              <w:top w:val="single" w:sz="2" w:space="0" w:color="000000" w:themeColor="text1"/>
              <w:left w:val="single" w:sz="2" w:space="0" w:color="auto"/>
              <w:bottom w:val="single" w:sz="2" w:space="0" w:color="000000" w:themeColor="text1"/>
              <w:right w:val="nil"/>
            </w:tcBorders>
            <w:vAlign w:val="center"/>
          </w:tcPr>
          <w:p w14:paraId="29635F91" w14:textId="77777777" w:rsidR="00A2712A" w:rsidRPr="00164004" w:rsidRDefault="00A2712A" w:rsidP="00164004">
            <w:pPr>
              <w:spacing w:after="0"/>
              <w:ind w:firstLine="0"/>
              <w:jc w:val="right"/>
              <w:rPr>
                <w:rFonts w:ascii="Arial Narrow" w:hAnsi="Arial Narrow" w:cs="Calibri"/>
                <w:color w:val="000000"/>
                <w:sz w:val="16"/>
                <w:szCs w:val="16"/>
              </w:rPr>
            </w:pPr>
            <w:r>
              <w:rPr>
                <w:rFonts w:ascii="Arial Narrow" w:hAnsi="Arial Narrow"/>
                <w:color w:val="000000"/>
                <w:sz w:val="16"/>
              </w:rPr>
              <w:t>0,14</w:t>
            </w:r>
          </w:p>
        </w:tc>
        <w:tc>
          <w:tcPr>
            <w:tcW w:w="476" w:type="pct"/>
            <w:tcBorders>
              <w:top w:val="single" w:sz="2" w:space="0" w:color="000000" w:themeColor="text1"/>
              <w:left w:val="nil"/>
              <w:bottom w:val="single" w:sz="2" w:space="0" w:color="000000" w:themeColor="text1"/>
              <w:right w:val="nil"/>
            </w:tcBorders>
            <w:vAlign w:val="center"/>
          </w:tcPr>
          <w:p w14:paraId="1D0ADF7A" w14:textId="77777777" w:rsidR="00A2712A" w:rsidRPr="00164004" w:rsidRDefault="00A2712A" w:rsidP="00164004">
            <w:pPr>
              <w:spacing w:after="0"/>
              <w:ind w:firstLine="0"/>
              <w:jc w:val="right"/>
              <w:rPr>
                <w:rFonts w:ascii="Arial Narrow" w:hAnsi="Arial Narrow" w:cs="Calibri"/>
                <w:sz w:val="16"/>
                <w:szCs w:val="16"/>
              </w:rPr>
            </w:pPr>
            <w:r>
              <w:rPr>
                <w:rFonts w:ascii="Arial Narrow" w:hAnsi="Arial Narrow"/>
                <w:sz w:val="16"/>
              </w:rPr>
              <w:t>5</w:t>
            </w:r>
          </w:p>
        </w:tc>
      </w:tr>
      <w:tr w:rsidR="00164004" w:rsidRPr="00164004" w14:paraId="4DABB9AC" w14:textId="77777777" w:rsidTr="00164004">
        <w:trPr>
          <w:trHeight w:val="255"/>
          <w:jc w:val="center"/>
        </w:trPr>
        <w:tc>
          <w:tcPr>
            <w:tcW w:w="1111" w:type="pct"/>
            <w:tcBorders>
              <w:top w:val="single" w:sz="2" w:space="0" w:color="000000" w:themeColor="text1"/>
              <w:left w:val="nil"/>
              <w:bottom w:val="single" w:sz="4" w:space="0" w:color="000000" w:themeColor="text1"/>
              <w:right w:val="nil"/>
            </w:tcBorders>
            <w:shd w:val="clear" w:color="auto" w:fill="auto"/>
            <w:vAlign w:val="center"/>
            <w:hideMark/>
          </w:tcPr>
          <w:p w14:paraId="19E54D13" w14:textId="77777777" w:rsidR="00A2712A" w:rsidRPr="00164004" w:rsidRDefault="00A2712A" w:rsidP="00164004">
            <w:pPr>
              <w:pStyle w:val="cuatexto"/>
              <w:spacing w:line="240" w:lineRule="auto"/>
              <w:rPr>
                <w:b/>
                <w:i/>
                <w:iCs/>
                <w:color w:val="000000" w:themeColor="text1"/>
                <w:sz w:val="16"/>
                <w:szCs w:val="16"/>
              </w:rPr>
            </w:pPr>
            <w:r>
              <w:rPr>
                <w:b/>
                <w:i/>
                <w:color w:val="000000" w:themeColor="text1"/>
                <w:sz w:val="16"/>
              </w:rPr>
              <w:t>Diru-sarrera finantzarioak</w:t>
            </w:r>
          </w:p>
        </w:tc>
        <w:tc>
          <w:tcPr>
            <w:tcW w:w="556" w:type="pct"/>
            <w:tcBorders>
              <w:top w:val="single" w:sz="2" w:space="0" w:color="000000" w:themeColor="text1"/>
              <w:left w:val="nil"/>
              <w:bottom w:val="single" w:sz="4" w:space="0" w:color="000000" w:themeColor="text1"/>
              <w:right w:val="single" w:sz="2" w:space="0" w:color="000000" w:themeColor="text1"/>
            </w:tcBorders>
            <w:shd w:val="clear" w:color="auto" w:fill="auto"/>
            <w:vAlign w:val="center"/>
          </w:tcPr>
          <w:p w14:paraId="42ABA04A"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187,39</w:t>
            </w:r>
          </w:p>
        </w:tc>
        <w:tc>
          <w:tcPr>
            <w:tcW w:w="395" w:type="pct"/>
            <w:tcBorders>
              <w:top w:val="single" w:sz="2" w:space="0" w:color="000000" w:themeColor="text1"/>
              <w:left w:val="single" w:sz="2" w:space="0" w:color="000000" w:themeColor="text1"/>
              <w:bottom w:val="single" w:sz="4" w:space="0" w:color="000000" w:themeColor="text1"/>
              <w:right w:val="nil"/>
            </w:tcBorders>
            <w:shd w:val="clear" w:color="auto" w:fill="auto"/>
            <w:vAlign w:val="center"/>
          </w:tcPr>
          <w:p w14:paraId="2F8D9746"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4,56</w:t>
            </w:r>
          </w:p>
        </w:tc>
        <w:tc>
          <w:tcPr>
            <w:tcW w:w="555" w:type="pct"/>
            <w:tcBorders>
              <w:top w:val="single" w:sz="2" w:space="0" w:color="000000" w:themeColor="text1"/>
              <w:left w:val="nil"/>
              <w:bottom w:val="single" w:sz="4" w:space="0" w:color="000000" w:themeColor="text1"/>
              <w:right w:val="nil"/>
            </w:tcBorders>
            <w:shd w:val="clear" w:color="auto" w:fill="auto"/>
            <w:vAlign w:val="center"/>
          </w:tcPr>
          <w:p w14:paraId="0C50080F"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1</w:t>
            </w:r>
          </w:p>
        </w:tc>
        <w:tc>
          <w:tcPr>
            <w:tcW w:w="543" w:type="pct"/>
            <w:tcBorders>
              <w:top w:val="single" w:sz="2" w:space="0" w:color="000000" w:themeColor="text1"/>
              <w:left w:val="nil"/>
              <w:bottom w:val="single" w:sz="4" w:space="0" w:color="000000" w:themeColor="text1"/>
              <w:right w:val="single" w:sz="2" w:space="0" w:color="auto"/>
            </w:tcBorders>
            <w:shd w:val="clear" w:color="auto" w:fill="auto"/>
            <w:vAlign w:val="center"/>
          </w:tcPr>
          <w:p w14:paraId="78E884CA"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2</w:t>
            </w:r>
          </w:p>
        </w:tc>
        <w:tc>
          <w:tcPr>
            <w:tcW w:w="488" w:type="pct"/>
            <w:tcBorders>
              <w:top w:val="single" w:sz="2" w:space="0" w:color="000000" w:themeColor="text1"/>
              <w:left w:val="single" w:sz="2" w:space="0" w:color="auto"/>
              <w:bottom w:val="single" w:sz="4" w:space="0" w:color="000000" w:themeColor="text1"/>
              <w:right w:val="nil"/>
            </w:tcBorders>
            <w:vAlign w:val="center"/>
          </w:tcPr>
          <w:p w14:paraId="74EE2A97"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-4,22</w:t>
            </w:r>
          </w:p>
        </w:tc>
        <w:tc>
          <w:tcPr>
            <w:tcW w:w="397" w:type="pct"/>
            <w:tcBorders>
              <w:top w:val="single" w:sz="2" w:space="0" w:color="000000" w:themeColor="text1"/>
              <w:left w:val="nil"/>
              <w:bottom w:val="single" w:sz="4" w:space="0" w:color="000000" w:themeColor="text1"/>
              <w:right w:val="single" w:sz="2" w:space="0" w:color="auto"/>
            </w:tcBorders>
            <w:vAlign w:val="center"/>
          </w:tcPr>
          <w:p w14:paraId="53A88229"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-48</w:t>
            </w:r>
          </w:p>
        </w:tc>
        <w:tc>
          <w:tcPr>
            <w:tcW w:w="477" w:type="pct"/>
            <w:tcBorders>
              <w:top w:val="single" w:sz="2" w:space="0" w:color="000000" w:themeColor="text1"/>
              <w:left w:val="single" w:sz="2" w:space="0" w:color="auto"/>
              <w:bottom w:val="single" w:sz="4" w:space="0" w:color="000000" w:themeColor="text1"/>
              <w:right w:val="nil"/>
            </w:tcBorders>
            <w:vAlign w:val="center"/>
          </w:tcPr>
          <w:p w14:paraId="37D3B55A" w14:textId="77777777" w:rsidR="00A2712A" w:rsidRPr="00164004" w:rsidRDefault="00A2712A" w:rsidP="00164004">
            <w:pPr>
              <w:spacing w:after="0"/>
              <w:ind w:firstLine="0"/>
              <w:jc w:val="right"/>
              <w:rPr>
                <w:rFonts w:ascii="Arial Narrow" w:hAnsi="Arial Narrow" w:cs="Calibri"/>
                <w:b/>
                <w:bCs/>
                <w:i/>
                <w:iCs/>
                <w:color w:val="000000"/>
                <w:sz w:val="16"/>
                <w:szCs w:val="16"/>
              </w:rPr>
            </w:pPr>
            <w:r>
              <w:rPr>
                <w:rFonts w:ascii="Arial Narrow" w:hAnsi="Arial Narrow"/>
                <w:b/>
                <w:i/>
                <w:color w:val="000000"/>
                <w:sz w:val="16"/>
              </w:rPr>
              <w:t>-0,72</w:t>
            </w:r>
          </w:p>
        </w:tc>
        <w:tc>
          <w:tcPr>
            <w:tcW w:w="476" w:type="pct"/>
            <w:tcBorders>
              <w:top w:val="single" w:sz="2" w:space="0" w:color="000000" w:themeColor="text1"/>
              <w:left w:val="nil"/>
              <w:bottom w:val="single" w:sz="4" w:space="0" w:color="000000" w:themeColor="text1"/>
              <w:right w:val="nil"/>
            </w:tcBorders>
            <w:vAlign w:val="center"/>
          </w:tcPr>
          <w:p w14:paraId="4966FB06" w14:textId="77777777" w:rsidR="00A2712A" w:rsidRPr="00164004" w:rsidRDefault="00A2712A" w:rsidP="00164004">
            <w:pPr>
              <w:spacing w:after="0"/>
              <w:ind w:firstLine="0"/>
              <w:jc w:val="right"/>
              <w:rPr>
                <w:rFonts w:ascii="Arial Narrow" w:hAnsi="Arial Narrow" w:cs="Calibri"/>
                <w:b/>
                <w:bCs/>
                <w:i/>
                <w:iCs/>
                <w:sz w:val="16"/>
                <w:szCs w:val="16"/>
              </w:rPr>
            </w:pPr>
            <w:r>
              <w:rPr>
                <w:rFonts w:ascii="Arial Narrow" w:hAnsi="Arial Narrow"/>
                <w:b/>
                <w:i/>
                <w:sz w:val="16"/>
              </w:rPr>
              <w:t>-14</w:t>
            </w:r>
          </w:p>
        </w:tc>
      </w:tr>
      <w:tr w:rsidR="00164004" w:rsidRPr="00164004" w14:paraId="322402EF" w14:textId="77777777" w:rsidTr="00E0306B">
        <w:trPr>
          <w:trHeight w:val="255"/>
          <w:jc w:val="center"/>
        </w:trPr>
        <w:tc>
          <w:tcPr>
            <w:tcW w:w="1111"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038C3EA9" w14:textId="77777777" w:rsidR="00A2712A" w:rsidRPr="00164004" w:rsidRDefault="00A2712A" w:rsidP="00164004">
            <w:pPr>
              <w:pStyle w:val="cuadroCabe"/>
              <w:spacing w:line="240" w:lineRule="auto"/>
              <w:rPr>
                <w:rFonts w:cs="Arial"/>
                <w:sz w:val="16"/>
                <w:szCs w:val="16"/>
              </w:rPr>
            </w:pPr>
            <w:r>
              <w:rPr>
                <w:sz w:val="16"/>
              </w:rPr>
              <w:t xml:space="preserve"> Guztira</w:t>
            </w:r>
          </w:p>
        </w:tc>
        <w:tc>
          <w:tcPr>
            <w:tcW w:w="556" w:type="pct"/>
            <w:tcBorders>
              <w:top w:val="single" w:sz="4" w:space="0" w:color="000000" w:themeColor="text1"/>
              <w:left w:val="nil"/>
              <w:bottom w:val="single" w:sz="4" w:space="0" w:color="000000" w:themeColor="text1"/>
              <w:right w:val="single" w:sz="2" w:space="0" w:color="000000" w:themeColor="text1"/>
            </w:tcBorders>
            <w:shd w:val="clear" w:color="auto" w:fill="FABF8F" w:themeFill="accent6" w:themeFillTint="99"/>
            <w:vAlign w:val="center"/>
          </w:tcPr>
          <w:p w14:paraId="11549868" w14:textId="77777777" w:rsidR="00A2712A" w:rsidRPr="00164004" w:rsidRDefault="00A2712A" w:rsidP="00164004">
            <w:pPr>
              <w:spacing w:after="0"/>
              <w:ind w:firstLine="0"/>
              <w:jc w:val="right"/>
              <w:rPr>
                <w:rFonts w:ascii="Arial" w:hAnsi="Arial" w:cs="Arial"/>
                <w:color w:val="000000"/>
                <w:sz w:val="16"/>
                <w:szCs w:val="16"/>
              </w:rPr>
            </w:pPr>
            <w:r>
              <w:rPr>
                <w:rFonts w:ascii="Arial" w:hAnsi="Arial"/>
                <w:color w:val="000000"/>
                <w:sz w:val="16"/>
              </w:rPr>
              <w:t>1.076,10</w:t>
            </w:r>
          </w:p>
        </w:tc>
        <w:tc>
          <w:tcPr>
            <w:tcW w:w="395" w:type="pct"/>
            <w:tcBorders>
              <w:top w:val="single" w:sz="4" w:space="0" w:color="000000" w:themeColor="text1"/>
              <w:left w:val="single" w:sz="2" w:space="0" w:color="000000" w:themeColor="text1"/>
              <w:bottom w:val="single" w:sz="4" w:space="0" w:color="auto"/>
              <w:right w:val="nil"/>
            </w:tcBorders>
            <w:shd w:val="clear" w:color="auto" w:fill="FABF8F" w:themeFill="accent6" w:themeFillTint="99"/>
            <w:vAlign w:val="center"/>
          </w:tcPr>
          <w:p w14:paraId="71ABBF99" w14:textId="77777777" w:rsidR="00A2712A" w:rsidRPr="00164004" w:rsidRDefault="00A2712A" w:rsidP="00164004">
            <w:pPr>
              <w:spacing w:after="0"/>
              <w:ind w:firstLine="0"/>
              <w:jc w:val="right"/>
              <w:rPr>
                <w:rFonts w:ascii="Arial" w:hAnsi="Arial" w:cs="Arial"/>
                <w:color w:val="000000"/>
                <w:sz w:val="16"/>
                <w:szCs w:val="16"/>
              </w:rPr>
            </w:pPr>
            <w:r>
              <w:rPr>
                <w:rFonts w:ascii="Arial" w:hAnsi="Arial"/>
                <w:color w:val="000000"/>
                <w:sz w:val="16"/>
              </w:rPr>
              <w:t>894,42</w:t>
            </w:r>
          </w:p>
        </w:tc>
        <w:tc>
          <w:tcPr>
            <w:tcW w:w="555" w:type="pct"/>
            <w:tcBorders>
              <w:top w:val="single" w:sz="4" w:space="0" w:color="000000" w:themeColor="text1"/>
              <w:left w:val="nil"/>
              <w:bottom w:val="single" w:sz="4" w:space="0" w:color="auto"/>
              <w:right w:val="nil"/>
            </w:tcBorders>
            <w:shd w:val="clear" w:color="auto" w:fill="FABF8F" w:themeFill="accent6" w:themeFillTint="99"/>
            <w:vAlign w:val="center"/>
          </w:tcPr>
          <w:p w14:paraId="7863B65F" w14:textId="77777777" w:rsidR="00A2712A" w:rsidRPr="00164004" w:rsidRDefault="00A2712A" w:rsidP="00164004">
            <w:pPr>
              <w:spacing w:after="0"/>
              <w:ind w:firstLine="0"/>
              <w:jc w:val="right"/>
              <w:rPr>
                <w:rFonts w:ascii="Arial" w:hAnsi="Arial" w:cs="Arial"/>
                <w:sz w:val="16"/>
                <w:szCs w:val="16"/>
              </w:rPr>
            </w:pPr>
            <w:r>
              <w:rPr>
                <w:rFonts w:ascii="Arial" w:hAnsi="Arial"/>
                <w:sz w:val="16"/>
              </w:rPr>
              <w:t>100</w:t>
            </w:r>
          </w:p>
        </w:tc>
        <w:tc>
          <w:tcPr>
            <w:tcW w:w="543" w:type="pct"/>
            <w:tcBorders>
              <w:top w:val="single" w:sz="4" w:space="0" w:color="000000" w:themeColor="text1"/>
              <w:left w:val="nil"/>
              <w:bottom w:val="single" w:sz="4" w:space="0" w:color="auto"/>
              <w:right w:val="single" w:sz="2" w:space="0" w:color="auto"/>
            </w:tcBorders>
            <w:shd w:val="clear" w:color="auto" w:fill="FABF8F" w:themeFill="accent6" w:themeFillTint="99"/>
            <w:vAlign w:val="center"/>
          </w:tcPr>
          <w:p w14:paraId="702436C1" w14:textId="77777777" w:rsidR="00A2712A" w:rsidRPr="00164004" w:rsidRDefault="00A2712A" w:rsidP="00164004">
            <w:pPr>
              <w:spacing w:after="0"/>
              <w:ind w:firstLine="0"/>
              <w:jc w:val="right"/>
              <w:rPr>
                <w:rFonts w:ascii="Arial" w:hAnsi="Arial" w:cs="Arial"/>
                <w:sz w:val="16"/>
                <w:szCs w:val="16"/>
              </w:rPr>
            </w:pPr>
            <w:r>
              <w:rPr>
                <w:rFonts w:ascii="Arial" w:hAnsi="Arial"/>
                <w:sz w:val="16"/>
              </w:rPr>
              <w:t>83</w:t>
            </w:r>
          </w:p>
        </w:tc>
        <w:tc>
          <w:tcPr>
            <w:tcW w:w="488" w:type="pct"/>
            <w:tcBorders>
              <w:top w:val="single" w:sz="4" w:space="0" w:color="000000" w:themeColor="text1"/>
              <w:left w:val="single" w:sz="2" w:space="0" w:color="auto"/>
              <w:bottom w:val="single" w:sz="4" w:space="0" w:color="auto"/>
              <w:right w:val="nil"/>
            </w:tcBorders>
            <w:shd w:val="clear" w:color="auto" w:fill="FABF8F" w:themeFill="accent6" w:themeFillTint="99"/>
            <w:vAlign w:val="center"/>
          </w:tcPr>
          <w:p w14:paraId="2DD55921" w14:textId="77777777" w:rsidR="00A2712A" w:rsidRPr="00164004" w:rsidRDefault="00A2712A" w:rsidP="00164004">
            <w:pPr>
              <w:spacing w:after="0"/>
              <w:ind w:firstLine="0"/>
              <w:jc w:val="right"/>
              <w:rPr>
                <w:rFonts w:ascii="Arial" w:hAnsi="Arial" w:cs="Arial"/>
                <w:color w:val="000000"/>
                <w:sz w:val="16"/>
                <w:szCs w:val="16"/>
              </w:rPr>
            </w:pPr>
            <w:r>
              <w:rPr>
                <w:rFonts w:ascii="Arial" w:hAnsi="Arial"/>
                <w:color w:val="000000"/>
                <w:sz w:val="16"/>
              </w:rPr>
              <w:t>39,10</w:t>
            </w:r>
          </w:p>
        </w:tc>
        <w:tc>
          <w:tcPr>
            <w:tcW w:w="397" w:type="pct"/>
            <w:tcBorders>
              <w:top w:val="single" w:sz="4" w:space="0" w:color="000000" w:themeColor="text1"/>
              <w:left w:val="nil"/>
              <w:bottom w:val="single" w:sz="4" w:space="0" w:color="auto"/>
              <w:right w:val="single" w:sz="2" w:space="0" w:color="auto"/>
            </w:tcBorders>
            <w:shd w:val="clear" w:color="auto" w:fill="FABF8F" w:themeFill="accent6" w:themeFillTint="99"/>
            <w:vAlign w:val="center"/>
          </w:tcPr>
          <w:p w14:paraId="14648C29" w14:textId="77777777" w:rsidR="00A2712A" w:rsidRPr="00164004" w:rsidRDefault="00A2712A" w:rsidP="00164004">
            <w:pPr>
              <w:spacing w:after="0"/>
              <w:ind w:firstLine="0"/>
              <w:jc w:val="right"/>
              <w:rPr>
                <w:rFonts w:ascii="Arial" w:hAnsi="Arial" w:cs="Arial"/>
                <w:sz w:val="16"/>
                <w:szCs w:val="16"/>
              </w:rPr>
            </w:pPr>
            <w:r>
              <w:rPr>
                <w:rFonts w:ascii="Arial" w:hAnsi="Arial"/>
                <w:sz w:val="16"/>
              </w:rPr>
              <w:t>5</w:t>
            </w:r>
          </w:p>
        </w:tc>
        <w:tc>
          <w:tcPr>
            <w:tcW w:w="477" w:type="pct"/>
            <w:tcBorders>
              <w:top w:val="single" w:sz="4" w:space="0" w:color="000000" w:themeColor="text1"/>
              <w:left w:val="single" w:sz="2" w:space="0" w:color="auto"/>
              <w:bottom w:val="single" w:sz="4" w:space="0" w:color="000000" w:themeColor="text1"/>
              <w:right w:val="nil"/>
            </w:tcBorders>
            <w:shd w:val="clear" w:color="auto" w:fill="FABF8F" w:themeFill="accent6" w:themeFillTint="99"/>
            <w:vAlign w:val="center"/>
          </w:tcPr>
          <w:p w14:paraId="0C5304C8" w14:textId="77777777" w:rsidR="00A2712A" w:rsidRPr="00164004" w:rsidRDefault="00A2712A" w:rsidP="00164004">
            <w:pPr>
              <w:spacing w:after="0"/>
              <w:ind w:firstLine="0"/>
              <w:jc w:val="right"/>
              <w:rPr>
                <w:rFonts w:ascii="Arial" w:hAnsi="Arial" w:cs="Arial"/>
                <w:color w:val="000000"/>
                <w:sz w:val="16"/>
                <w:szCs w:val="16"/>
              </w:rPr>
            </w:pPr>
            <w:r>
              <w:rPr>
                <w:rFonts w:ascii="Arial" w:hAnsi="Arial"/>
                <w:color w:val="000000"/>
                <w:sz w:val="16"/>
              </w:rPr>
              <w:t>3,02</w:t>
            </w:r>
          </w:p>
        </w:tc>
        <w:tc>
          <w:tcPr>
            <w:tcW w:w="476"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05F7728E" w14:textId="77777777" w:rsidR="00A2712A" w:rsidRPr="00164004" w:rsidRDefault="00A2712A" w:rsidP="00164004">
            <w:pPr>
              <w:spacing w:after="0"/>
              <w:ind w:firstLine="0"/>
              <w:jc w:val="right"/>
              <w:rPr>
                <w:rFonts w:ascii="Arial" w:hAnsi="Arial" w:cs="Arial"/>
                <w:sz w:val="16"/>
                <w:szCs w:val="16"/>
              </w:rPr>
            </w:pPr>
            <w:r>
              <w:rPr>
                <w:rFonts w:ascii="Arial" w:hAnsi="Arial"/>
                <w:sz w:val="16"/>
              </w:rPr>
              <w:t>0</w:t>
            </w:r>
          </w:p>
        </w:tc>
      </w:tr>
    </w:tbl>
    <w:p w14:paraId="40EB918F" w14:textId="77777777" w:rsidR="002A4BE9" w:rsidRPr="00033257" w:rsidRDefault="002A4BE9" w:rsidP="00A2712A">
      <w:pPr>
        <w:pStyle w:val="texto"/>
        <w:spacing w:before="60" w:after="40"/>
        <w:ind w:firstLine="0"/>
        <w:rPr>
          <w:rFonts w:ascii="Arial" w:hAnsi="Arial" w:cs="Arial"/>
          <w:color w:val="000000" w:themeColor="text1"/>
          <w:sz w:val="14"/>
          <w:szCs w:val="14"/>
        </w:rPr>
      </w:pPr>
      <w:r>
        <w:rPr>
          <w:rFonts w:ascii="Arial" w:hAnsi="Arial"/>
          <w:color w:val="000000" w:themeColor="text1"/>
          <w:sz w:val="14"/>
        </w:rPr>
        <w:t>(*) Toki-entitateak eta haien menpeko EEAAk sartu dira, baina ez sozietate publikoak, fundazio publikoak eta partzuergoak.</w:t>
      </w:r>
    </w:p>
    <w:p w14:paraId="0B46B582" w14:textId="77777777" w:rsidR="002A4BE9" w:rsidRPr="00033257" w:rsidRDefault="002A4BE9" w:rsidP="006F66AB">
      <w:pPr>
        <w:pStyle w:val="texto"/>
        <w:spacing w:before="240"/>
        <w:rPr>
          <w:color w:val="000000" w:themeColor="text1"/>
        </w:rPr>
      </w:pPr>
      <w:r>
        <w:rPr>
          <w:color w:val="000000" w:themeColor="text1"/>
        </w:rPr>
        <w:t xml:space="preserve">Diru-sarreren 2021erako behin betiko aurreikuspenek 1.076,10 milioi euro egin zuten, eta ehuneko 83ko betetze maila dute. Diru-sarrera arrunten betetze </w:t>
      </w:r>
      <w:r>
        <w:rPr>
          <w:color w:val="000000" w:themeColor="text1"/>
        </w:rPr>
        <w:lastRenderedPageBreak/>
        <w:t xml:space="preserve">maila ehuneko 104koa da, eta kapitaleko diru-sarrerena ehuneko 67koa. Bestalde, diru-sarrera finantzarioen betetze maila ehuneko bikoa izan zen. </w:t>
      </w:r>
    </w:p>
    <w:p w14:paraId="739493C4" w14:textId="77777777" w:rsidR="002A4BE9" w:rsidRPr="001333CC" w:rsidRDefault="002A4BE9" w:rsidP="002A4BE9">
      <w:pPr>
        <w:pStyle w:val="texto"/>
        <w:rPr>
          <w:color w:val="000000" w:themeColor="text1"/>
          <w:spacing w:val="2"/>
        </w:rPr>
      </w:pPr>
      <w:r>
        <w:rPr>
          <w:color w:val="000000" w:themeColor="text1"/>
        </w:rPr>
        <w:t>Aitortutako eskubide garbiek (AEG) 894,42 milioi egin zuten. Horietatik ehuneko 93 diru-sarrera arruntak izan ziren (gehienbat transferentziak eta tributuak), eta kapitaleko diru-sarrerak guztizkoaren ehuneko zazpi izan ziren.</w:t>
      </w:r>
    </w:p>
    <w:p w14:paraId="0AA60CD8" w14:textId="77777777" w:rsidR="00EC4C05" w:rsidRPr="00033257" w:rsidRDefault="002A4BE9" w:rsidP="001D06C1">
      <w:pPr>
        <w:pStyle w:val="texto"/>
        <w:rPr>
          <w:color w:val="000000" w:themeColor="text1"/>
        </w:rPr>
      </w:pPr>
      <w:r>
        <w:rPr>
          <w:color w:val="000000" w:themeColor="text1"/>
        </w:rPr>
        <w:t xml:space="preserve">2021eko guztizko diru-sarrerak ehuneko bost igo ziren aurreko ekitaldiarekin alderatuta, eta, beraz, 2019koaren antzeko mailan daude. Diru-sarrera arruntek ehuneko seiko igoera izan dute 2020arekin alderatuta, tasa eta prezio publikoen eta ondare-sarreren eta zeharkako zergen ondoriozko diru-sarrerak igo direlako. </w:t>
      </w:r>
    </w:p>
    <w:p w14:paraId="3D4835DB" w14:textId="77777777" w:rsidR="00F419E5" w:rsidRPr="00033257" w:rsidRDefault="6A28BBB8" w:rsidP="001D06C1">
      <w:pPr>
        <w:pStyle w:val="texto"/>
        <w:rPr>
          <w:color w:val="000000" w:themeColor="text1"/>
        </w:rPr>
      </w:pPr>
      <w:r>
        <w:rPr>
          <w:color w:val="000000" w:themeColor="text1"/>
        </w:rPr>
        <w:t xml:space="preserve">Bestalde, transferentzia arruntak 2020koaren antzeko mailan mantendu ziren, nahiz eta urte horretako kopurua bereziki handia izan pandemiaren ondorioz. </w:t>
      </w:r>
    </w:p>
    <w:p w14:paraId="7F8DAE6D" w14:textId="7D2F53DE" w:rsidR="002A4BE9" w:rsidRPr="00033257" w:rsidRDefault="6A28BBB8" w:rsidP="3710BB4A">
      <w:pPr>
        <w:pStyle w:val="texto"/>
        <w:rPr>
          <w:color w:val="000000" w:themeColor="text1"/>
        </w:rPr>
      </w:pPr>
      <w:r>
        <w:rPr>
          <w:color w:val="000000" w:themeColor="text1"/>
        </w:rPr>
        <w:t>Kapitaleko diru-sarrerek ehuneko zazpi egin dute behera 2020. urtearekin alderatuta, eta ehuneko 36 2019. urtearekin alderatuta. Beherakada handi hori kapital transferentzien bilakaerari zor zaio, ehuneko 44 jaitsi baitira 2019arekin alderatuta (ekitaldi horretan ohiz baino gehiago izan ziren, 2017-2019ko Toki Inbertsioen Planerako hasieran ezarritako indarraldiko azken urtea zelako), bai eta urriaren 10eko 19/2018 Foru Legearen bidez onetsitako Inbertsio Finantzarioki Jasangarriei buruzko Planaren betearazpenari ere.</w:t>
      </w:r>
    </w:p>
    <w:p w14:paraId="7084ECE4" w14:textId="24A1B2BB" w:rsidR="002A4BE9" w:rsidRPr="00033257" w:rsidRDefault="34CD8A04" w:rsidP="00F419E5">
      <w:pPr>
        <w:pStyle w:val="texto"/>
        <w:rPr>
          <w:color w:val="000000" w:themeColor="text1"/>
        </w:rPr>
      </w:pPr>
      <w:r>
        <w:rPr>
          <w:color w:val="000000" w:themeColor="text1"/>
        </w:rPr>
        <w:t>Guztizko diru-sarreretatik, ehuneko 83 udalei dagokie, ehuneko 15 mankomunitate eta batasunei eta gainerako ehuneko bia kontzejuei. Banaketa hori aurreko ekitaldikoaren antzekoa da.</w:t>
      </w:r>
    </w:p>
    <w:p w14:paraId="583A2BCF" w14:textId="1E0A6254" w:rsidR="002A4BE9" w:rsidRPr="00033257" w:rsidRDefault="4FD77996" w:rsidP="00427D24">
      <w:pPr>
        <w:pStyle w:val="texto"/>
        <w:spacing w:after="120"/>
        <w:rPr>
          <w:color w:val="000000" w:themeColor="text1"/>
        </w:rPr>
      </w:pPr>
      <w:r>
        <w:rPr>
          <w:color w:val="000000" w:themeColor="text1"/>
        </w:rPr>
        <w:t>Toki sektore publikoak 2021ean gorago aipatutako hiru sozietateekin bateratutako guztizko diru-sarrerak honako hauek dira:</w:t>
      </w:r>
    </w:p>
    <w:p w14:paraId="24857FCE" w14:textId="5085D105" w:rsidR="00F419E5" w:rsidRPr="00D71C47" w:rsidRDefault="00F419E5" w:rsidP="00F419E5">
      <w:pPr>
        <w:pStyle w:val="texto"/>
        <w:spacing w:after="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5002" w:type="pct"/>
        <w:jc w:val="center"/>
        <w:tblLayout w:type="fixed"/>
        <w:tblCellMar>
          <w:left w:w="70" w:type="dxa"/>
          <w:right w:w="70" w:type="dxa"/>
        </w:tblCellMar>
        <w:tblLook w:val="04A0" w:firstRow="1" w:lastRow="0" w:firstColumn="1" w:lastColumn="0" w:noHBand="0" w:noVBand="1"/>
      </w:tblPr>
      <w:tblGrid>
        <w:gridCol w:w="2552"/>
        <w:gridCol w:w="1277"/>
        <w:gridCol w:w="993"/>
        <w:gridCol w:w="993"/>
        <w:gridCol w:w="993"/>
        <w:gridCol w:w="1154"/>
        <w:gridCol w:w="830"/>
      </w:tblGrid>
      <w:tr w:rsidR="002A4BE9" w:rsidRPr="001333CC" w14:paraId="3495D0DC" w14:textId="77777777" w:rsidTr="001333CC">
        <w:trPr>
          <w:trHeight w:val="170"/>
          <w:jc w:val="center"/>
        </w:trPr>
        <w:tc>
          <w:tcPr>
            <w:tcW w:w="1451" w:type="pct"/>
            <w:vMerge w:val="restart"/>
            <w:tcBorders>
              <w:top w:val="single" w:sz="4" w:space="0" w:color="000000" w:themeColor="text1"/>
              <w:left w:val="nil"/>
              <w:right w:val="nil"/>
            </w:tcBorders>
            <w:shd w:val="clear" w:color="auto" w:fill="FABF8F" w:themeFill="accent6" w:themeFillTint="99"/>
            <w:vAlign w:val="center"/>
          </w:tcPr>
          <w:p w14:paraId="0BED4604" w14:textId="77777777" w:rsidR="002A4BE9" w:rsidRPr="001333CC" w:rsidRDefault="002A4BE9" w:rsidP="00164004">
            <w:pPr>
              <w:pStyle w:val="cuadroCabe"/>
              <w:spacing w:line="240" w:lineRule="auto"/>
              <w:rPr>
                <w:rFonts w:cs="Arial"/>
                <w:color w:val="000000" w:themeColor="text1"/>
                <w:sz w:val="16"/>
                <w:szCs w:val="16"/>
              </w:rPr>
            </w:pPr>
            <w:r>
              <w:rPr>
                <w:color w:val="000000" w:themeColor="text1"/>
                <w:sz w:val="16"/>
              </w:rPr>
              <w:t>Kapitulua</w:t>
            </w:r>
          </w:p>
        </w:tc>
        <w:tc>
          <w:tcPr>
            <w:tcW w:w="726" w:type="pct"/>
            <w:tcBorders>
              <w:top w:val="single" w:sz="4" w:space="0" w:color="000000" w:themeColor="text1"/>
              <w:left w:val="nil"/>
              <w:right w:val="nil"/>
            </w:tcBorders>
            <w:shd w:val="clear" w:color="auto" w:fill="FABF8F" w:themeFill="accent6" w:themeFillTint="99"/>
            <w:vAlign w:val="center"/>
          </w:tcPr>
          <w:p w14:paraId="0AD9C6F4" w14:textId="77777777" w:rsidR="002A4BE9" w:rsidRPr="001333CC" w:rsidRDefault="002A4BE9" w:rsidP="00164004">
            <w:pPr>
              <w:pStyle w:val="cuadroCabe"/>
              <w:tabs>
                <w:tab w:val="right" w:pos="1065"/>
              </w:tabs>
              <w:spacing w:line="240" w:lineRule="auto"/>
              <w:ind w:left="67" w:hanging="67"/>
              <w:jc w:val="right"/>
              <w:rPr>
                <w:rFonts w:cs="Arial"/>
                <w:color w:val="000000" w:themeColor="text1"/>
                <w:sz w:val="16"/>
                <w:szCs w:val="16"/>
                <w:lang w:val="es-ES" w:eastAsia="es-ES"/>
              </w:rPr>
            </w:pPr>
          </w:p>
        </w:tc>
        <w:tc>
          <w:tcPr>
            <w:tcW w:w="565" w:type="pct"/>
            <w:tcBorders>
              <w:top w:val="single" w:sz="4" w:space="0" w:color="000000" w:themeColor="text1"/>
              <w:left w:val="nil"/>
              <w:right w:val="nil"/>
            </w:tcBorders>
            <w:shd w:val="clear" w:color="auto" w:fill="FABF8F" w:themeFill="accent6" w:themeFillTint="99"/>
            <w:vAlign w:val="center"/>
          </w:tcPr>
          <w:p w14:paraId="4B1F511A" w14:textId="77777777" w:rsidR="002A4BE9" w:rsidRPr="001333CC" w:rsidRDefault="002A4BE9" w:rsidP="00164004">
            <w:pPr>
              <w:pStyle w:val="cuadroCabe"/>
              <w:spacing w:line="240" w:lineRule="auto"/>
              <w:jc w:val="right"/>
              <w:rPr>
                <w:rFonts w:cs="Arial"/>
                <w:color w:val="000000" w:themeColor="text1"/>
                <w:sz w:val="16"/>
                <w:szCs w:val="16"/>
                <w:lang w:val="es-ES" w:eastAsia="es-ES"/>
              </w:rPr>
            </w:pPr>
          </w:p>
        </w:tc>
        <w:tc>
          <w:tcPr>
            <w:tcW w:w="2257" w:type="pct"/>
            <w:gridSpan w:val="4"/>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09D38CE" w14:textId="77777777" w:rsidR="002A4BE9" w:rsidRPr="001333CC" w:rsidRDefault="002A4BE9" w:rsidP="00164004">
            <w:pPr>
              <w:pStyle w:val="cuadroCabe"/>
              <w:spacing w:line="240" w:lineRule="auto"/>
              <w:jc w:val="center"/>
              <w:rPr>
                <w:rFonts w:cs="Arial"/>
                <w:color w:val="000000" w:themeColor="text1"/>
                <w:sz w:val="16"/>
                <w:szCs w:val="16"/>
              </w:rPr>
            </w:pPr>
            <w:r>
              <w:rPr>
                <w:color w:val="000000" w:themeColor="text1"/>
                <w:sz w:val="16"/>
              </w:rPr>
              <w:t>Hiru sozietaterekin bateratuta</w:t>
            </w:r>
          </w:p>
        </w:tc>
      </w:tr>
      <w:tr w:rsidR="00F419E5" w:rsidRPr="001333CC" w14:paraId="3DE4ADDF" w14:textId="77777777" w:rsidTr="001333CC">
        <w:trPr>
          <w:trHeight w:val="227"/>
          <w:jc w:val="center"/>
        </w:trPr>
        <w:tc>
          <w:tcPr>
            <w:tcW w:w="1451" w:type="pct"/>
            <w:vMerge/>
            <w:vAlign w:val="center"/>
            <w:hideMark/>
          </w:tcPr>
          <w:p w14:paraId="65F9C3DC" w14:textId="77777777" w:rsidR="002A4BE9" w:rsidRPr="001333CC" w:rsidRDefault="002A4BE9" w:rsidP="00164004">
            <w:pPr>
              <w:pStyle w:val="cuadroCabe"/>
              <w:spacing w:line="240" w:lineRule="auto"/>
              <w:rPr>
                <w:rFonts w:cs="Arial"/>
                <w:color w:val="000000" w:themeColor="text1"/>
                <w:sz w:val="16"/>
                <w:szCs w:val="16"/>
                <w:lang w:val="es-ES" w:eastAsia="es-ES"/>
              </w:rPr>
            </w:pPr>
          </w:p>
        </w:tc>
        <w:tc>
          <w:tcPr>
            <w:tcW w:w="726" w:type="pct"/>
            <w:tcBorders>
              <w:left w:val="nil"/>
              <w:bottom w:val="single" w:sz="4" w:space="0" w:color="000000" w:themeColor="text1"/>
              <w:right w:val="nil"/>
            </w:tcBorders>
            <w:shd w:val="clear" w:color="auto" w:fill="FABF8F" w:themeFill="accent6" w:themeFillTint="99"/>
            <w:vAlign w:val="center"/>
          </w:tcPr>
          <w:p w14:paraId="7D51176A" w14:textId="77777777" w:rsidR="002A4BE9" w:rsidRPr="001333CC" w:rsidRDefault="002A4BE9" w:rsidP="00164004">
            <w:pPr>
              <w:pStyle w:val="cuadroCabe"/>
              <w:tabs>
                <w:tab w:val="right" w:pos="1065"/>
              </w:tabs>
              <w:spacing w:line="240" w:lineRule="auto"/>
              <w:ind w:left="67" w:hanging="67"/>
              <w:jc w:val="right"/>
              <w:rPr>
                <w:rFonts w:cs="Arial"/>
                <w:color w:val="000000" w:themeColor="text1"/>
                <w:sz w:val="16"/>
                <w:szCs w:val="16"/>
              </w:rPr>
            </w:pPr>
            <w:r>
              <w:rPr>
                <w:color w:val="000000" w:themeColor="text1"/>
                <w:sz w:val="16"/>
              </w:rPr>
              <w:t>Sozietateekin bateratu gabe</w:t>
            </w:r>
          </w:p>
        </w:tc>
        <w:tc>
          <w:tcPr>
            <w:tcW w:w="565" w:type="pct"/>
            <w:tcBorders>
              <w:left w:val="nil"/>
              <w:bottom w:val="single" w:sz="4" w:space="0" w:color="000000" w:themeColor="text1"/>
              <w:right w:val="nil"/>
            </w:tcBorders>
            <w:shd w:val="clear" w:color="auto" w:fill="FABF8F" w:themeFill="accent6" w:themeFillTint="99"/>
            <w:vAlign w:val="center"/>
            <w:hideMark/>
          </w:tcPr>
          <w:p w14:paraId="684F171B" w14:textId="77777777" w:rsidR="002A4BE9" w:rsidRPr="001333CC" w:rsidRDefault="002A4BE9" w:rsidP="00164004">
            <w:pPr>
              <w:pStyle w:val="cuadroCabe"/>
              <w:spacing w:line="240" w:lineRule="auto"/>
              <w:jc w:val="right"/>
              <w:rPr>
                <w:rFonts w:cs="Arial"/>
                <w:color w:val="000000" w:themeColor="text1"/>
                <w:sz w:val="16"/>
                <w:szCs w:val="16"/>
              </w:rPr>
            </w:pPr>
            <w:r>
              <w:rPr>
                <w:color w:val="000000" w:themeColor="text1"/>
                <w:sz w:val="16"/>
              </w:rPr>
              <w:t>Finkatze</w:t>
            </w:r>
          </w:p>
          <w:p w14:paraId="4C117CA7" w14:textId="3B8B4577" w:rsidR="002A4BE9" w:rsidRPr="001333CC" w:rsidRDefault="001333CC" w:rsidP="001333CC">
            <w:pPr>
              <w:pStyle w:val="cuadroCabe"/>
              <w:spacing w:line="240" w:lineRule="auto"/>
              <w:jc w:val="right"/>
              <w:rPr>
                <w:rFonts w:cs="Arial"/>
                <w:color w:val="000000" w:themeColor="text1"/>
                <w:sz w:val="16"/>
                <w:szCs w:val="16"/>
              </w:rPr>
            </w:pPr>
            <w:r>
              <w:rPr>
                <w:color w:val="000000" w:themeColor="text1"/>
                <w:sz w:val="16"/>
              </w:rPr>
              <w:t>efektua</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0EE74622" w14:textId="77777777" w:rsidR="002A4BE9" w:rsidRPr="001333CC" w:rsidRDefault="002A4BE9" w:rsidP="00164004">
            <w:pPr>
              <w:pStyle w:val="cuadroCabe"/>
              <w:spacing w:line="240" w:lineRule="auto"/>
              <w:jc w:val="right"/>
              <w:rPr>
                <w:rFonts w:cs="Arial"/>
                <w:color w:val="000000" w:themeColor="text1"/>
                <w:sz w:val="16"/>
                <w:szCs w:val="16"/>
              </w:rPr>
            </w:pPr>
            <w:r>
              <w:rPr>
                <w:color w:val="000000" w:themeColor="text1"/>
                <w:sz w:val="16"/>
              </w:rPr>
              <w:t>Diru-sarrerak</w:t>
            </w:r>
          </w:p>
          <w:p w14:paraId="6EC9CF6B" w14:textId="77777777" w:rsidR="00FB172D" w:rsidRPr="001333CC" w:rsidRDefault="00FB172D" w:rsidP="00164004">
            <w:pPr>
              <w:pStyle w:val="cuadroCabe"/>
              <w:spacing w:line="240" w:lineRule="auto"/>
              <w:jc w:val="right"/>
              <w:rPr>
                <w:rFonts w:cs="Arial"/>
                <w:color w:val="000000" w:themeColor="text1"/>
                <w:sz w:val="16"/>
                <w:szCs w:val="16"/>
              </w:rPr>
            </w:pPr>
            <w:r>
              <w:rPr>
                <w:color w:val="000000" w:themeColor="text1"/>
                <w:sz w:val="16"/>
              </w:rPr>
              <w:t>2021</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00B7760F" w14:textId="77777777" w:rsidR="002A4BE9" w:rsidRPr="001333CC" w:rsidRDefault="002A4BE9" w:rsidP="00164004">
            <w:pPr>
              <w:pStyle w:val="cuadroCabe"/>
              <w:spacing w:line="240" w:lineRule="auto"/>
              <w:jc w:val="right"/>
              <w:rPr>
                <w:rFonts w:cs="Arial"/>
                <w:color w:val="000000" w:themeColor="text1"/>
                <w:sz w:val="16"/>
                <w:szCs w:val="16"/>
              </w:rPr>
            </w:pPr>
            <w:r>
              <w:rPr>
                <w:color w:val="000000" w:themeColor="text1"/>
                <w:sz w:val="16"/>
              </w:rPr>
              <w:t>%, diru-sar. guzt. gainean</w:t>
            </w:r>
          </w:p>
        </w:tc>
        <w:tc>
          <w:tcPr>
            <w:tcW w:w="656"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7552C0BF" w14:textId="77777777" w:rsidR="002A4BE9" w:rsidRPr="001333CC" w:rsidRDefault="002A4BE9" w:rsidP="00164004">
            <w:pPr>
              <w:pStyle w:val="cuadroCabe"/>
              <w:spacing w:line="240" w:lineRule="auto"/>
              <w:jc w:val="right"/>
              <w:rPr>
                <w:rFonts w:cs="Arial"/>
                <w:color w:val="000000" w:themeColor="text1"/>
                <w:sz w:val="16"/>
                <w:szCs w:val="16"/>
              </w:rPr>
            </w:pPr>
            <w:r>
              <w:rPr>
                <w:color w:val="000000" w:themeColor="text1"/>
                <w:sz w:val="16"/>
              </w:rPr>
              <w:t>Ald. abs. vs. 2020</w:t>
            </w:r>
          </w:p>
        </w:tc>
        <w:tc>
          <w:tcPr>
            <w:tcW w:w="472"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4F2ED093" w14:textId="77777777" w:rsidR="001333CC" w:rsidRDefault="002A4BE9" w:rsidP="00164004">
            <w:pPr>
              <w:pStyle w:val="cuadroCabe"/>
              <w:spacing w:line="240" w:lineRule="auto"/>
              <w:jc w:val="right"/>
              <w:rPr>
                <w:rFonts w:cs="Arial"/>
                <w:color w:val="000000" w:themeColor="text1"/>
                <w:sz w:val="16"/>
                <w:szCs w:val="16"/>
              </w:rPr>
            </w:pPr>
            <w:r>
              <w:rPr>
                <w:color w:val="000000" w:themeColor="text1"/>
                <w:sz w:val="16"/>
              </w:rPr>
              <w:t xml:space="preserve">2021eko ald. % </w:t>
            </w:r>
          </w:p>
          <w:p w14:paraId="09C6316E" w14:textId="65036B0D" w:rsidR="002A4BE9" w:rsidRPr="001333CC" w:rsidRDefault="002A4BE9" w:rsidP="00164004">
            <w:pPr>
              <w:pStyle w:val="cuadroCabe"/>
              <w:spacing w:line="240" w:lineRule="auto"/>
              <w:jc w:val="right"/>
              <w:rPr>
                <w:rFonts w:cs="Arial"/>
                <w:color w:val="000000" w:themeColor="text1"/>
                <w:sz w:val="16"/>
                <w:szCs w:val="16"/>
              </w:rPr>
            </w:pPr>
            <w:r>
              <w:rPr>
                <w:color w:val="000000" w:themeColor="text1"/>
                <w:sz w:val="16"/>
              </w:rPr>
              <w:t>vs 2020</w:t>
            </w:r>
          </w:p>
        </w:tc>
      </w:tr>
      <w:tr w:rsidR="00F419E5" w:rsidRPr="001333CC" w14:paraId="74FC867F" w14:textId="77777777" w:rsidTr="00427D24">
        <w:trPr>
          <w:trHeight w:val="227"/>
          <w:jc w:val="center"/>
        </w:trPr>
        <w:tc>
          <w:tcPr>
            <w:tcW w:w="1451" w:type="pct"/>
            <w:tcBorders>
              <w:top w:val="single" w:sz="4" w:space="0" w:color="000000" w:themeColor="text1"/>
              <w:left w:val="nil"/>
              <w:bottom w:val="single" w:sz="2" w:space="0" w:color="000000" w:themeColor="text1"/>
              <w:right w:val="nil"/>
            </w:tcBorders>
            <w:shd w:val="clear" w:color="auto" w:fill="auto"/>
            <w:vAlign w:val="center"/>
            <w:hideMark/>
          </w:tcPr>
          <w:p w14:paraId="140D9B60" w14:textId="77777777" w:rsidR="002A4BE9" w:rsidRPr="001333CC" w:rsidRDefault="002A4BE9" w:rsidP="001333CC">
            <w:pPr>
              <w:pStyle w:val="cuatexto"/>
              <w:spacing w:line="240" w:lineRule="auto"/>
              <w:jc w:val="left"/>
              <w:rPr>
                <w:color w:val="000000" w:themeColor="text1"/>
                <w:szCs w:val="20"/>
              </w:rPr>
            </w:pPr>
            <w:r>
              <w:rPr>
                <w:color w:val="000000" w:themeColor="text1"/>
              </w:rPr>
              <w:t>1. Zuzeneko zergak</w:t>
            </w:r>
          </w:p>
        </w:tc>
        <w:tc>
          <w:tcPr>
            <w:tcW w:w="726" w:type="pct"/>
            <w:tcBorders>
              <w:top w:val="single" w:sz="4" w:space="0" w:color="000000" w:themeColor="text1"/>
              <w:left w:val="nil"/>
              <w:bottom w:val="single" w:sz="2" w:space="0" w:color="000000" w:themeColor="text1"/>
              <w:right w:val="nil"/>
            </w:tcBorders>
            <w:shd w:val="clear" w:color="auto" w:fill="auto"/>
            <w:vAlign w:val="center"/>
            <w:hideMark/>
          </w:tcPr>
          <w:p w14:paraId="7F15DDF2" w14:textId="77777777" w:rsidR="002A4BE9" w:rsidRPr="001333CC" w:rsidRDefault="002A4BE9" w:rsidP="00164004">
            <w:pPr>
              <w:pStyle w:val="cuadroCabe"/>
              <w:tabs>
                <w:tab w:val="clear" w:pos="2835"/>
                <w:tab w:val="right" w:pos="1065"/>
              </w:tabs>
              <w:spacing w:line="240" w:lineRule="auto"/>
              <w:ind w:left="67" w:hanging="67"/>
              <w:jc w:val="right"/>
              <w:rPr>
                <w:rFonts w:ascii="Arial Narrow" w:hAnsi="Arial Narrow"/>
                <w:color w:val="000000" w:themeColor="text1"/>
                <w:sz w:val="20"/>
                <w:szCs w:val="20"/>
              </w:rPr>
            </w:pPr>
            <w:r>
              <w:rPr>
                <w:rFonts w:ascii="Arial Narrow" w:hAnsi="Arial Narrow"/>
                <w:color w:val="000000" w:themeColor="text1"/>
                <w:sz w:val="20"/>
              </w:rPr>
              <w:t>193,22</w:t>
            </w:r>
          </w:p>
        </w:tc>
        <w:tc>
          <w:tcPr>
            <w:tcW w:w="565" w:type="pct"/>
            <w:tcBorders>
              <w:top w:val="single" w:sz="4" w:space="0" w:color="000000" w:themeColor="text1"/>
              <w:left w:val="nil"/>
              <w:bottom w:val="single" w:sz="2" w:space="0" w:color="000000" w:themeColor="text1"/>
              <w:right w:val="nil"/>
            </w:tcBorders>
            <w:shd w:val="clear" w:color="auto" w:fill="auto"/>
            <w:vAlign w:val="center"/>
          </w:tcPr>
          <w:p w14:paraId="3D22F59A"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w:t>
            </w:r>
          </w:p>
        </w:tc>
        <w:tc>
          <w:tcPr>
            <w:tcW w:w="565" w:type="pct"/>
            <w:tcBorders>
              <w:top w:val="single" w:sz="4" w:space="0" w:color="000000" w:themeColor="text1"/>
              <w:left w:val="nil"/>
              <w:bottom w:val="single" w:sz="2" w:space="0" w:color="000000" w:themeColor="text1"/>
              <w:right w:val="nil"/>
            </w:tcBorders>
            <w:vAlign w:val="center"/>
          </w:tcPr>
          <w:p w14:paraId="276DD4B6"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193,22</w:t>
            </w:r>
          </w:p>
        </w:tc>
        <w:tc>
          <w:tcPr>
            <w:tcW w:w="565" w:type="pct"/>
            <w:tcBorders>
              <w:top w:val="single" w:sz="4" w:space="0" w:color="000000" w:themeColor="text1"/>
              <w:left w:val="nil"/>
              <w:bottom w:val="single" w:sz="2" w:space="0" w:color="000000" w:themeColor="text1"/>
              <w:right w:val="nil"/>
            </w:tcBorders>
            <w:vAlign w:val="center"/>
          </w:tcPr>
          <w:p w14:paraId="17B77096"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19,8</w:t>
            </w:r>
          </w:p>
        </w:tc>
        <w:tc>
          <w:tcPr>
            <w:tcW w:w="656" w:type="pct"/>
            <w:tcBorders>
              <w:top w:val="single" w:sz="4" w:space="0" w:color="000000" w:themeColor="text1"/>
              <w:left w:val="nil"/>
              <w:bottom w:val="single" w:sz="2" w:space="0" w:color="000000" w:themeColor="text1"/>
              <w:right w:val="nil"/>
            </w:tcBorders>
            <w:vAlign w:val="center"/>
          </w:tcPr>
          <w:p w14:paraId="0D80389E"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- 5,03 </w:t>
            </w:r>
          </w:p>
        </w:tc>
        <w:tc>
          <w:tcPr>
            <w:tcW w:w="472" w:type="pct"/>
            <w:tcBorders>
              <w:top w:val="single" w:sz="4" w:space="0" w:color="000000" w:themeColor="text1"/>
              <w:left w:val="nil"/>
              <w:bottom w:val="single" w:sz="2" w:space="0" w:color="000000" w:themeColor="text1"/>
              <w:right w:val="nil"/>
            </w:tcBorders>
            <w:vAlign w:val="center"/>
          </w:tcPr>
          <w:p w14:paraId="207C28E8"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w:t>
            </w:r>
          </w:p>
        </w:tc>
      </w:tr>
      <w:tr w:rsidR="00F419E5" w:rsidRPr="001333CC" w14:paraId="6544463F"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3F9992E6" w14:textId="77777777" w:rsidR="002A4BE9" w:rsidRPr="001333CC" w:rsidRDefault="34CD8A04" w:rsidP="001333CC">
            <w:pPr>
              <w:pStyle w:val="cuatexto"/>
              <w:spacing w:line="240" w:lineRule="auto"/>
              <w:jc w:val="left"/>
              <w:rPr>
                <w:color w:val="000000" w:themeColor="text1"/>
                <w:szCs w:val="20"/>
              </w:rPr>
            </w:pPr>
            <w:r>
              <w:t>2. Zeharkako zergak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499A55FA"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33,48</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56C62623"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w:t>
            </w:r>
          </w:p>
        </w:tc>
        <w:tc>
          <w:tcPr>
            <w:tcW w:w="565" w:type="pct"/>
            <w:tcBorders>
              <w:top w:val="single" w:sz="2" w:space="0" w:color="000000" w:themeColor="text1"/>
              <w:left w:val="nil"/>
              <w:bottom w:val="single" w:sz="2" w:space="0" w:color="000000" w:themeColor="text1"/>
              <w:right w:val="nil"/>
            </w:tcBorders>
            <w:vAlign w:val="center"/>
          </w:tcPr>
          <w:p w14:paraId="32B7A4F6"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33,48</w:t>
            </w:r>
          </w:p>
        </w:tc>
        <w:tc>
          <w:tcPr>
            <w:tcW w:w="565" w:type="pct"/>
            <w:tcBorders>
              <w:top w:val="single" w:sz="2" w:space="0" w:color="000000" w:themeColor="text1"/>
              <w:left w:val="nil"/>
              <w:bottom w:val="single" w:sz="2" w:space="0" w:color="000000" w:themeColor="text1"/>
              <w:right w:val="nil"/>
            </w:tcBorders>
            <w:vAlign w:val="center"/>
          </w:tcPr>
          <w:p w14:paraId="4DDA7960"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3,4</w:t>
            </w:r>
          </w:p>
        </w:tc>
        <w:tc>
          <w:tcPr>
            <w:tcW w:w="656" w:type="pct"/>
            <w:tcBorders>
              <w:top w:val="single" w:sz="2" w:space="0" w:color="000000" w:themeColor="text1"/>
              <w:left w:val="nil"/>
              <w:bottom w:val="single" w:sz="2" w:space="0" w:color="000000" w:themeColor="text1"/>
              <w:right w:val="nil"/>
            </w:tcBorders>
            <w:vAlign w:val="center"/>
          </w:tcPr>
          <w:p w14:paraId="5710A75F"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11,08 </w:t>
            </w:r>
          </w:p>
        </w:tc>
        <w:tc>
          <w:tcPr>
            <w:tcW w:w="472" w:type="pct"/>
            <w:tcBorders>
              <w:top w:val="single" w:sz="2" w:space="0" w:color="000000" w:themeColor="text1"/>
              <w:left w:val="nil"/>
              <w:bottom w:val="single" w:sz="2" w:space="0" w:color="000000" w:themeColor="text1"/>
              <w:right w:val="nil"/>
            </w:tcBorders>
            <w:vAlign w:val="center"/>
          </w:tcPr>
          <w:p w14:paraId="732838AD"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49</w:t>
            </w:r>
          </w:p>
        </w:tc>
      </w:tr>
      <w:tr w:rsidR="00F419E5" w:rsidRPr="001333CC" w14:paraId="0E63C05D"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38AC2B3E" w14:textId="77777777" w:rsidR="002A4BE9" w:rsidRPr="001333CC" w:rsidRDefault="002A4BE9" w:rsidP="001333CC">
            <w:pPr>
              <w:pStyle w:val="cuatexto"/>
              <w:spacing w:line="240" w:lineRule="auto"/>
              <w:jc w:val="left"/>
              <w:rPr>
                <w:color w:val="000000" w:themeColor="text1"/>
                <w:szCs w:val="20"/>
              </w:rPr>
            </w:pPr>
            <w:r>
              <w:rPr>
                <w:color w:val="000000" w:themeColor="text1"/>
              </w:rPr>
              <w:t>3. Tasak, prezio publikoak eta bestelako diru-sarrerak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363146D5"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178,04</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56D80B99"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70,61</w:t>
            </w:r>
          </w:p>
        </w:tc>
        <w:tc>
          <w:tcPr>
            <w:tcW w:w="565" w:type="pct"/>
            <w:tcBorders>
              <w:top w:val="single" w:sz="2" w:space="0" w:color="000000" w:themeColor="text1"/>
              <w:left w:val="nil"/>
              <w:bottom w:val="single" w:sz="2" w:space="0" w:color="000000" w:themeColor="text1"/>
              <w:right w:val="nil"/>
            </w:tcBorders>
            <w:vAlign w:val="center"/>
          </w:tcPr>
          <w:p w14:paraId="25FE860D"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248,65</w:t>
            </w:r>
          </w:p>
        </w:tc>
        <w:tc>
          <w:tcPr>
            <w:tcW w:w="565" w:type="pct"/>
            <w:tcBorders>
              <w:top w:val="single" w:sz="2" w:space="0" w:color="000000" w:themeColor="text1"/>
              <w:left w:val="nil"/>
              <w:bottom w:val="single" w:sz="2" w:space="0" w:color="000000" w:themeColor="text1"/>
              <w:right w:val="nil"/>
            </w:tcBorders>
            <w:vAlign w:val="center"/>
          </w:tcPr>
          <w:p w14:paraId="32F1D914"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25,4</w:t>
            </w:r>
          </w:p>
        </w:tc>
        <w:tc>
          <w:tcPr>
            <w:tcW w:w="656" w:type="pct"/>
            <w:tcBorders>
              <w:top w:val="single" w:sz="2" w:space="0" w:color="000000" w:themeColor="text1"/>
              <w:left w:val="nil"/>
              <w:bottom w:val="single" w:sz="2" w:space="0" w:color="000000" w:themeColor="text1"/>
              <w:right w:val="nil"/>
            </w:tcBorders>
            <w:vAlign w:val="center"/>
          </w:tcPr>
          <w:p w14:paraId="71FAE060"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30,56 </w:t>
            </w:r>
          </w:p>
        </w:tc>
        <w:tc>
          <w:tcPr>
            <w:tcW w:w="472" w:type="pct"/>
            <w:tcBorders>
              <w:top w:val="single" w:sz="2" w:space="0" w:color="000000" w:themeColor="text1"/>
              <w:left w:val="nil"/>
              <w:bottom w:val="single" w:sz="2" w:space="0" w:color="000000" w:themeColor="text1"/>
              <w:right w:val="nil"/>
            </w:tcBorders>
            <w:vAlign w:val="center"/>
          </w:tcPr>
          <w:p w14:paraId="0F953182"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14</w:t>
            </w:r>
          </w:p>
        </w:tc>
      </w:tr>
      <w:tr w:rsidR="00F419E5" w:rsidRPr="001333CC" w14:paraId="387F4DE7"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0B63C712" w14:textId="77777777" w:rsidR="002A4BE9" w:rsidRPr="001333CC" w:rsidRDefault="002A4BE9" w:rsidP="001333CC">
            <w:pPr>
              <w:pStyle w:val="cuatexto"/>
              <w:spacing w:line="240" w:lineRule="auto"/>
              <w:jc w:val="left"/>
              <w:rPr>
                <w:color w:val="000000" w:themeColor="text1"/>
                <w:szCs w:val="20"/>
              </w:rPr>
            </w:pPr>
            <w:r>
              <w:rPr>
                <w:color w:val="000000" w:themeColor="text1"/>
              </w:rPr>
              <w:t>4. Transferentzia arruntak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03D6A6E7"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374,42</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15F17548"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7,69</w:t>
            </w:r>
          </w:p>
        </w:tc>
        <w:tc>
          <w:tcPr>
            <w:tcW w:w="565" w:type="pct"/>
            <w:tcBorders>
              <w:top w:val="single" w:sz="2" w:space="0" w:color="000000" w:themeColor="text1"/>
              <w:left w:val="nil"/>
              <w:bottom w:val="single" w:sz="2" w:space="0" w:color="000000" w:themeColor="text1"/>
              <w:right w:val="nil"/>
            </w:tcBorders>
            <w:vAlign w:val="center"/>
          </w:tcPr>
          <w:p w14:paraId="54C88661"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382,11</w:t>
            </w:r>
          </w:p>
        </w:tc>
        <w:tc>
          <w:tcPr>
            <w:tcW w:w="565" w:type="pct"/>
            <w:tcBorders>
              <w:top w:val="single" w:sz="2" w:space="0" w:color="000000" w:themeColor="text1"/>
              <w:left w:val="nil"/>
              <w:bottom w:val="single" w:sz="2" w:space="0" w:color="000000" w:themeColor="text1"/>
              <w:right w:val="nil"/>
            </w:tcBorders>
            <w:vAlign w:val="center"/>
          </w:tcPr>
          <w:p w14:paraId="1A6E9FEA"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39,1</w:t>
            </w:r>
          </w:p>
        </w:tc>
        <w:tc>
          <w:tcPr>
            <w:tcW w:w="656" w:type="pct"/>
            <w:tcBorders>
              <w:top w:val="single" w:sz="2" w:space="0" w:color="000000" w:themeColor="text1"/>
              <w:left w:val="nil"/>
              <w:bottom w:val="single" w:sz="2" w:space="0" w:color="000000" w:themeColor="text1"/>
              <w:right w:val="nil"/>
            </w:tcBorders>
            <w:vAlign w:val="center"/>
          </w:tcPr>
          <w:p w14:paraId="601371B4"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1,65 </w:t>
            </w:r>
          </w:p>
        </w:tc>
        <w:tc>
          <w:tcPr>
            <w:tcW w:w="472" w:type="pct"/>
            <w:tcBorders>
              <w:top w:val="single" w:sz="2" w:space="0" w:color="000000" w:themeColor="text1"/>
              <w:left w:val="nil"/>
              <w:bottom w:val="single" w:sz="2" w:space="0" w:color="000000" w:themeColor="text1"/>
              <w:right w:val="nil"/>
            </w:tcBorders>
            <w:vAlign w:val="center"/>
          </w:tcPr>
          <w:p w14:paraId="7A06C686"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w:t>
            </w:r>
          </w:p>
        </w:tc>
      </w:tr>
      <w:tr w:rsidR="00F419E5" w:rsidRPr="001333CC" w14:paraId="2F838599"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35D8FE4A" w14:textId="77777777" w:rsidR="002A4BE9" w:rsidRPr="001333CC" w:rsidRDefault="002A4BE9" w:rsidP="001333CC">
            <w:pPr>
              <w:pStyle w:val="cuatexto"/>
              <w:spacing w:line="240" w:lineRule="auto"/>
              <w:jc w:val="left"/>
              <w:rPr>
                <w:color w:val="000000" w:themeColor="text1"/>
                <w:szCs w:val="20"/>
              </w:rPr>
            </w:pPr>
            <w:r>
              <w:rPr>
                <w:color w:val="000000" w:themeColor="text1"/>
              </w:rPr>
              <w:t>5. Ondarearen bidezko diru-sarrerak eta herri-aprobetxamenduak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76491D8D"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50,41</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4CB2A581"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0,07</w:t>
            </w:r>
          </w:p>
        </w:tc>
        <w:tc>
          <w:tcPr>
            <w:tcW w:w="565" w:type="pct"/>
            <w:tcBorders>
              <w:top w:val="single" w:sz="2" w:space="0" w:color="000000" w:themeColor="text1"/>
              <w:left w:val="nil"/>
              <w:bottom w:val="single" w:sz="2" w:space="0" w:color="000000" w:themeColor="text1"/>
              <w:right w:val="nil"/>
            </w:tcBorders>
            <w:vAlign w:val="center"/>
          </w:tcPr>
          <w:p w14:paraId="7575160E"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50,48</w:t>
            </w:r>
          </w:p>
        </w:tc>
        <w:tc>
          <w:tcPr>
            <w:tcW w:w="565" w:type="pct"/>
            <w:tcBorders>
              <w:top w:val="single" w:sz="2" w:space="0" w:color="000000" w:themeColor="text1"/>
              <w:left w:val="nil"/>
              <w:bottom w:val="single" w:sz="2" w:space="0" w:color="000000" w:themeColor="text1"/>
              <w:right w:val="nil"/>
            </w:tcBorders>
            <w:vAlign w:val="center"/>
          </w:tcPr>
          <w:p w14:paraId="693046A3"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5,2</w:t>
            </w:r>
          </w:p>
        </w:tc>
        <w:tc>
          <w:tcPr>
            <w:tcW w:w="656" w:type="pct"/>
            <w:tcBorders>
              <w:top w:val="single" w:sz="2" w:space="0" w:color="000000" w:themeColor="text1"/>
              <w:left w:val="nil"/>
              <w:bottom w:val="single" w:sz="2" w:space="0" w:color="000000" w:themeColor="text1"/>
              <w:right w:val="nil"/>
            </w:tcBorders>
            <w:vAlign w:val="center"/>
          </w:tcPr>
          <w:p w14:paraId="26BAEF42"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15,87 </w:t>
            </w:r>
          </w:p>
        </w:tc>
        <w:tc>
          <w:tcPr>
            <w:tcW w:w="472" w:type="pct"/>
            <w:tcBorders>
              <w:top w:val="single" w:sz="2" w:space="0" w:color="000000" w:themeColor="text1"/>
              <w:left w:val="nil"/>
              <w:bottom w:val="single" w:sz="2" w:space="0" w:color="000000" w:themeColor="text1"/>
              <w:right w:val="nil"/>
            </w:tcBorders>
            <w:vAlign w:val="center"/>
          </w:tcPr>
          <w:p w14:paraId="3BBCF047"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46</w:t>
            </w:r>
          </w:p>
        </w:tc>
      </w:tr>
      <w:tr w:rsidR="00F419E5" w:rsidRPr="001333CC" w14:paraId="12AFB9EF"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16078433" w14:textId="77777777" w:rsidR="002A4BE9" w:rsidRPr="001333CC" w:rsidRDefault="002A4BE9" w:rsidP="001333CC">
            <w:pPr>
              <w:pStyle w:val="cuatexto"/>
              <w:spacing w:line="240" w:lineRule="auto"/>
              <w:jc w:val="left"/>
              <w:rPr>
                <w:b/>
                <w:i/>
                <w:iCs/>
                <w:color w:val="000000" w:themeColor="text1"/>
                <w:szCs w:val="20"/>
              </w:rPr>
            </w:pPr>
            <w:r>
              <w:rPr>
                <w:b/>
                <w:i/>
                <w:color w:val="000000" w:themeColor="text1"/>
              </w:rPr>
              <w:t>Diru-sarrera arruntak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5866E966"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829,56</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74ED0707"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78,37</w:t>
            </w:r>
          </w:p>
        </w:tc>
        <w:tc>
          <w:tcPr>
            <w:tcW w:w="565" w:type="pct"/>
            <w:tcBorders>
              <w:top w:val="single" w:sz="2" w:space="0" w:color="000000" w:themeColor="text1"/>
              <w:left w:val="nil"/>
              <w:bottom w:val="single" w:sz="2" w:space="0" w:color="000000" w:themeColor="text1"/>
              <w:right w:val="nil"/>
            </w:tcBorders>
            <w:vAlign w:val="center"/>
          </w:tcPr>
          <w:p w14:paraId="7B8FDF1B"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907,93</w:t>
            </w:r>
          </w:p>
        </w:tc>
        <w:tc>
          <w:tcPr>
            <w:tcW w:w="565" w:type="pct"/>
            <w:tcBorders>
              <w:top w:val="single" w:sz="2" w:space="0" w:color="000000" w:themeColor="text1"/>
              <w:left w:val="nil"/>
              <w:bottom w:val="single" w:sz="2" w:space="0" w:color="000000" w:themeColor="text1"/>
              <w:right w:val="nil"/>
            </w:tcBorders>
            <w:vAlign w:val="center"/>
          </w:tcPr>
          <w:p w14:paraId="031A262A"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92,9</w:t>
            </w:r>
          </w:p>
        </w:tc>
        <w:tc>
          <w:tcPr>
            <w:tcW w:w="656" w:type="pct"/>
            <w:tcBorders>
              <w:top w:val="single" w:sz="2" w:space="0" w:color="000000" w:themeColor="text1"/>
              <w:left w:val="nil"/>
              <w:bottom w:val="single" w:sz="2" w:space="0" w:color="000000" w:themeColor="text1"/>
              <w:right w:val="nil"/>
            </w:tcBorders>
            <w:vAlign w:val="center"/>
          </w:tcPr>
          <w:p w14:paraId="0C5FBDAF" w14:textId="77777777" w:rsidR="002A4BE9" w:rsidRPr="001333CC" w:rsidRDefault="34CD8A04" w:rsidP="00164004">
            <w:pPr>
              <w:spacing w:after="0"/>
              <w:ind w:firstLine="0"/>
              <w:jc w:val="right"/>
              <w:rPr>
                <w:rFonts w:ascii="Arial Narrow" w:hAnsi="Arial Narrow" w:cs="Calibri"/>
                <w:b/>
                <w:bCs/>
                <w:i/>
                <w:iCs/>
                <w:color w:val="000000"/>
              </w:rPr>
            </w:pPr>
            <w:r>
              <w:rPr>
                <w:rFonts w:ascii="Arial Narrow" w:hAnsi="Arial Narrow"/>
                <w:b/>
                <w:i/>
                <w:color w:val="000000" w:themeColor="text1"/>
              </w:rPr>
              <w:t xml:space="preserve"> 54,12 </w:t>
            </w:r>
          </w:p>
        </w:tc>
        <w:tc>
          <w:tcPr>
            <w:tcW w:w="472" w:type="pct"/>
            <w:tcBorders>
              <w:top w:val="single" w:sz="2" w:space="0" w:color="000000" w:themeColor="text1"/>
              <w:left w:val="nil"/>
              <w:bottom w:val="single" w:sz="2" w:space="0" w:color="000000" w:themeColor="text1"/>
              <w:right w:val="nil"/>
            </w:tcBorders>
            <w:vAlign w:val="center"/>
          </w:tcPr>
          <w:p w14:paraId="5D9A48CF" w14:textId="77777777" w:rsidR="002A4BE9" w:rsidRPr="001333CC" w:rsidRDefault="34CD8A04" w:rsidP="00164004">
            <w:pPr>
              <w:spacing w:after="0"/>
              <w:ind w:firstLine="0"/>
              <w:jc w:val="right"/>
              <w:rPr>
                <w:rFonts w:ascii="Arial Narrow" w:hAnsi="Arial Narrow" w:cs="Calibri"/>
                <w:b/>
                <w:bCs/>
                <w:i/>
                <w:iCs/>
                <w:color w:val="000000"/>
              </w:rPr>
            </w:pPr>
            <w:r>
              <w:rPr>
                <w:rFonts w:ascii="Arial Narrow" w:hAnsi="Arial Narrow"/>
                <w:b/>
                <w:i/>
                <w:color w:val="000000" w:themeColor="text1"/>
              </w:rPr>
              <w:t>6</w:t>
            </w:r>
          </w:p>
        </w:tc>
      </w:tr>
      <w:tr w:rsidR="00F419E5" w:rsidRPr="001333CC" w14:paraId="7885CB9C"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2252695B" w14:textId="1838C37C" w:rsidR="002A4BE9" w:rsidRPr="001333CC" w:rsidRDefault="00F419E5" w:rsidP="001333CC">
            <w:pPr>
              <w:pStyle w:val="cuatexto"/>
              <w:spacing w:line="240" w:lineRule="auto"/>
              <w:jc w:val="left"/>
              <w:rPr>
                <w:color w:val="000000" w:themeColor="text1"/>
                <w:szCs w:val="20"/>
              </w:rPr>
            </w:pPr>
            <w:r>
              <w:rPr>
                <w:color w:val="000000" w:themeColor="text1"/>
              </w:rPr>
              <w:t>6. Inbertsio errealen besterentzea</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5A473813"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13,29</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0677A7D9"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0,04</w:t>
            </w:r>
          </w:p>
        </w:tc>
        <w:tc>
          <w:tcPr>
            <w:tcW w:w="565" w:type="pct"/>
            <w:tcBorders>
              <w:top w:val="single" w:sz="2" w:space="0" w:color="000000" w:themeColor="text1"/>
              <w:left w:val="nil"/>
              <w:bottom w:val="single" w:sz="2" w:space="0" w:color="000000" w:themeColor="text1"/>
              <w:right w:val="nil"/>
            </w:tcBorders>
            <w:vAlign w:val="center"/>
          </w:tcPr>
          <w:p w14:paraId="2A93C839"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13,32</w:t>
            </w:r>
          </w:p>
        </w:tc>
        <w:tc>
          <w:tcPr>
            <w:tcW w:w="565" w:type="pct"/>
            <w:tcBorders>
              <w:top w:val="single" w:sz="2" w:space="0" w:color="000000" w:themeColor="text1"/>
              <w:left w:val="nil"/>
              <w:bottom w:val="single" w:sz="2" w:space="0" w:color="000000" w:themeColor="text1"/>
              <w:right w:val="nil"/>
            </w:tcBorders>
            <w:vAlign w:val="center"/>
          </w:tcPr>
          <w:p w14:paraId="47B5A611"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1,4</w:t>
            </w:r>
          </w:p>
        </w:tc>
        <w:tc>
          <w:tcPr>
            <w:tcW w:w="656" w:type="pct"/>
            <w:tcBorders>
              <w:top w:val="single" w:sz="2" w:space="0" w:color="000000" w:themeColor="text1"/>
              <w:left w:val="nil"/>
              <w:bottom w:val="single" w:sz="2" w:space="0" w:color="000000" w:themeColor="text1"/>
              <w:right w:val="nil"/>
            </w:tcBorders>
            <w:vAlign w:val="center"/>
          </w:tcPr>
          <w:p w14:paraId="166E83D8"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5,36 </w:t>
            </w:r>
          </w:p>
        </w:tc>
        <w:tc>
          <w:tcPr>
            <w:tcW w:w="472" w:type="pct"/>
            <w:tcBorders>
              <w:top w:val="single" w:sz="2" w:space="0" w:color="000000" w:themeColor="text1"/>
              <w:left w:val="nil"/>
              <w:bottom w:val="single" w:sz="2" w:space="0" w:color="000000" w:themeColor="text1"/>
              <w:right w:val="nil"/>
            </w:tcBorders>
            <w:vAlign w:val="center"/>
          </w:tcPr>
          <w:p w14:paraId="068B4C43"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67</w:t>
            </w:r>
          </w:p>
        </w:tc>
      </w:tr>
      <w:tr w:rsidR="00F419E5" w:rsidRPr="001333CC" w14:paraId="520A1211"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30B0FE99" w14:textId="77777777" w:rsidR="002A4BE9" w:rsidRPr="001333CC" w:rsidRDefault="002A4BE9" w:rsidP="001333CC">
            <w:pPr>
              <w:pStyle w:val="cuatexto"/>
              <w:spacing w:line="240" w:lineRule="auto"/>
              <w:jc w:val="left"/>
              <w:rPr>
                <w:color w:val="000000" w:themeColor="text1"/>
                <w:szCs w:val="20"/>
              </w:rPr>
            </w:pPr>
            <w:r>
              <w:rPr>
                <w:color w:val="000000" w:themeColor="text1"/>
              </w:rPr>
              <w:t>7. Kapital-transferentziak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0B34DE88"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47,01</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709FD15E"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4,21</w:t>
            </w:r>
          </w:p>
        </w:tc>
        <w:tc>
          <w:tcPr>
            <w:tcW w:w="565" w:type="pct"/>
            <w:tcBorders>
              <w:top w:val="single" w:sz="2" w:space="0" w:color="000000" w:themeColor="text1"/>
              <w:left w:val="nil"/>
              <w:bottom w:val="single" w:sz="2" w:space="0" w:color="000000" w:themeColor="text1"/>
              <w:right w:val="nil"/>
            </w:tcBorders>
            <w:vAlign w:val="center"/>
          </w:tcPr>
          <w:p w14:paraId="6BEA2D22"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51,22</w:t>
            </w:r>
          </w:p>
        </w:tc>
        <w:tc>
          <w:tcPr>
            <w:tcW w:w="565" w:type="pct"/>
            <w:tcBorders>
              <w:top w:val="single" w:sz="2" w:space="0" w:color="000000" w:themeColor="text1"/>
              <w:left w:val="nil"/>
              <w:bottom w:val="single" w:sz="2" w:space="0" w:color="000000" w:themeColor="text1"/>
              <w:right w:val="nil"/>
            </w:tcBorders>
            <w:vAlign w:val="center"/>
          </w:tcPr>
          <w:p w14:paraId="44B5EF45"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5,2</w:t>
            </w:r>
          </w:p>
        </w:tc>
        <w:tc>
          <w:tcPr>
            <w:tcW w:w="656" w:type="pct"/>
            <w:tcBorders>
              <w:top w:val="single" w:sz="2" w:space="0" w:color="000000" w:themeColor="text1"/>
              <w:left w:val="nil"/>
              <w:bottom w:val="single" w:sz="2" w:space="0" w:color="000000" w:themeColor="text1"/>
              <w:right w:val="nil"/>
            </w:tcBorders>
            <w:vAlign w:val="center"/>
          </w:tcPr>
          <w:p w14:paraId="551BEDE5"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- 9,25 </w:t>
            </w:r>
          </w:p>
        </w:tc>
        <w:tc>
          <w:tcPr>
            <w:tcW w:w="472" w:type="pct"/>
            <w:tcBorders>
              <w:top w:val="single" w:sz="2" w:space="0" w:color="000000" w:themeColor="text1"/>
              <w:left w:val="nil"/>
              <w:bottom w:val="single" w:sz="2" w:space="0" w:color="000000" w:themeColor="text1"/>
              <w:right w:val="nil"/>
            </w:tcBorders>
            <w:vAlign w:val="center"/>
          </w:tcPr>
          <w:p w14:paraId="34CC4626"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-15</w:t>
            </w:r>
          </w:p>
        </w:tc>
      </w:tr>
      <w:tr w:rsidR="00F419E5" w:rsidRPr="001333CC" w14:paraId="73501075"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43F9B294" w14:textId="77777777" w:rsidR="002A4BE9" w:rsidRPr="001333CC" w:rsidRDefault="002A4BE9" w:rsidP="001333CC">
            <w:pPr>
              <w:pStyle w:val="cuatexto"/>
              <w:spacing w:line="240" w:lineRule="auto"/>
              <w:jc w:val="left"/>
              <w:rPr>
                <w:b/>
                <w:i/>
                <w:iCs/>
                <w:color w:val="000000" w:themeColor="text1"/>
                <w:szCs w:val="20"/>
              </w:rPr>
            </w:pPr>
            <w:r>
              <w:rPr>
                <w:b/>
                <w:i/>
                <w:color w:val="000000" w:themeColor="text1"/>
              </w:rPr>
              <w:t>Kapitaleko diru-sarrerak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01035DB1" w14:textId="56C419B8" w:rsidR="002A4BE9" w:rsidRPr="001333CC" w:rsidRDefault="34CD8A04" w:rsidP="00164004">
            <w:pPr>
              <w:spacing w:after="0"/>
              <w:ind w:firstLine="0"/>
              <w:jc w:val="right"/>
              <w:rPr>
                <w:rFonts w:ascii="Arial Narrow" w:hAnsi="Arial Narrow" w:cs="Calibri"/>
                <w:b/>
                <w:bCs/>
                <w:i/>
                <w:iCs/>
                <w:color w:val="000000"/>
              </w:rPr>
            </w:pPr>
            <w:r>
              <w:rPr>
                <w:rFonts w:ascii="Arial Narrow" w:hAnsi="Arial Narrow"/>
                <w:b/>
                <w:i/>
                <w:color w:val="000000" w:themeColor="text1"/>
              </w:rPr>
              <w:t>60,30</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753060CA"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4,24</w:t>
            </w:r>
          </w:p>
        </w:tc>
        <w:tc>
          <w:tcPr>
            <w:tcW w:w="565" w:type="pct"/>
            <w:tcBorders>
              <w:top w:val="single" w:sz="2" w:space="0" w:color="000000" w:themeColor="text1"/>
              <w:left w:val="nil"/>
              <w:bottom w:val="single" w:sz="2" w:space="0" w:color="000000" w:themeColor="text1"/>
              <w:right w:val="nil"/>
            </w:tcBorders>
            <w:vAlign w:val="center"/>
          </w:tcPr>
          <w:p w14:paraId="5A26B52B"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64,54</w:t>
            </w:r>
          </w:p>
        </w:tc>
        <w:tc>
          <w:tcPr>
            <w:tcW w:w="565" w:type="pct"/>
            <w:tcBorders>
              <w:top w:val="single" w:sz="2" w:space="0" w:color="000000" w:themeColor="text1"/>
              <w:left w:val="nil"/>
              <w:bottom w:val="single" w:sz="2" w:space="0" w:color="000000" w:themeColor="text1"/>
              <w:right w:val="nil"/>
            </w:tcBorders>
            <w:vAlign w:val="center"/>
          </w:tcPr>
          <w:p w14:paraId="2F19B866"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6,6</w:t>
            </w:r>
          </w:p>
        </w:tc>
        <w:tc>
          <w:tcPr>
            <w:tcW w:w="656" w:type="pct"/>
            <w:tcBorders>
              <w:top w:val="single" w:sz="2" w:space="0" w:color="000000" w:themeColor="text1"/>
              <w:left w:val="nil"/>
              <w:bottom w:val="single" w:sz="2" w:space="0" w:color="000000" w:themeColor="text1"/>
              <w:right w:val="nil"/>
            </w:tcBorders>
            <w:vAlign w:val="center"/>
          </w:tcPr>
          <w:p w14:paraId="7354A781" w14:textId="77777777" w:rsidR="002A4BE9" w:rsidRPr="001333CC" w:rsidRDefault="34CD8A04" w:rsidP="00164004">
            <w:pPr>
              <w:spacing w:after="0"/>
              <w:ind w:firstLine="0"/>
              <w:jc w:val="right"/>
              <w:rPr>
                <w:rFonts w:ascii="Arial Narrow" w:hAnsi="Arial Narrow" w:cs="Calibri"/>
                <w:b/>
                <w:bCs/>
                <w:i/>
                <w:iCs/>
                <w:color w:val="000000"/>
              </w:rPr>
            </w:pPr>
            <w:r>
              <w:rPr>
                <w:rFonts w:ascii="Arial Narrow" w:hAnsi="Arial Narrow"/>
                <w:b/>
                <w:i/>
                <w:color w:val="000000" w:themeColor="text1"/>
              </w:rPr>
              <w:t xml:space="preserve">- 3,90 </w:t>
            </w:r>
          </w:p>
        </w:tc>
        <w:tc>
          <w:tcPr>
            <w:tcW w:w="472" w:type="pct"/>
            <w:tcBorders>
              <w:top w:val="single" w:sz="2" w:space="0" w:color="000000" w:themeColor="text1"/>
              <w:left w:val="nil"/>
              <w:bottom w:val="single" w:sz="2" w:space="0" w:color="000000" w:themeColor="text1"/>
              <w:right w:val="nil"/>
            </w:tcBorders>
            <w:vAlign w:val="center"/>
          </w:tcPr>
          <w:p w14:paraId="047DBBCF" w14:textId="77777777" w:rsidR="002A4BE9" w:rsidRPr="001333CC" w:rsidRDefault="34CD8A04" w:rsidP="00164004">
            <w:pPr>
              <w:spacing w:after="0"/>
              <w:ind w:firstLine="0"/>
              <w:jc w:val="right"/>
              <w:rPr>
                <w:rFonts w:ascii="Arial Narrow" w:hAnsi="Arial Narrow" w:cs="Calibri"/>
                <w:b/>
                <w:bCs/>
                <w:i/>
                <w:iCs/>
                <w:color w:val="000000"/>
              </w:rPr>
            </w:pPr>
            <w:r>
              <w:rPr>
                <w:rFonts w:ascii="Arial Narrow" w:hAnsi="Arial Narrow"/>
                <w:b/>
                <w:i/>
                <w:color w:val="000000" w:themeColor="text1"/>
              </w:rPr>
              <w:t>-6</w:t>
            </w:r>
          </w:p>
        </w:tc>
      </w:tr>
      <w:tr w:rsidR="00F419E5" w:rsidRPr="001333CC" w14:paraId="01D247D5"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558DE236" w14:textId="77777777" w:rsidR="002A4BE9" w:rsidRPr="001333CC" w:rsidRDefault="002A4BE9" w:rsidP="001333CC">
            <w:pPr>
              <w:pStyle w:val="cuatexto"/>
              <w:spacing w:line="240" w:lineRule="auto"/>
              <w:jc w:val="left"/>
              <w:rPr>
                <w:color w:val="000000" w:themeColor="text1"/>
                <w:szCs w:val="20"/>
              </w:rPr>
            </w:pPr>
            <w:r>
              <w:rPr>
                <w:color w:val="000000" w:themeColor="text1"/>
              </w:rPr>
              <w:t>8. Finantza-aktiboak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6B21D1FB"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1,48</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1574AF32"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w:t>
            </w:r>
          </w:p>
        </w:tc>
        <w:tc>
          <w:tcPr>
            <w:tcW w:w="565" w:type="pct"/>
            <w:tcBorders>
              <w:top w:val="single" w:sz="2" w:space="0" w:color="000000" w:themeColor="text1"/>
              <w:left w:val="nil"/>
              <w:bottom w:val="single" w:sz="2" w:space="0" w:color="000000" w:themeColor="text1"/>
              <w:right w:val="nil"/>
            </w:tcBorders>
            <w:vAlign w:val="center"/>
          </w:tcPr>
          <w:p w14:paraId="1ED77D8A"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1,48</w:t>
            </w:r>
          </w:p>
        </w:tc>
        <w:tc>
          <w:tcPr>
            <w:tcW w:w="565" w:type="pct"/>
            <w:tcBorders>
              <w:top w:val="single" w:sz="2" w:space="0" w:color="000000" w:themeColor="text1"/>
              <w:left w:val="nil"/>
              <w:bottom w:val="single" w:sz="2" w:space="0" w:color="000000" w:themeColor="text1"/>
              <w:right w:val="nil"/>
            </w:tcBorders>
            <w:vAlign w:val="center"/>
          </w:tcPr>
          <w:p w14:paraId="4852D39B"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0,2</w:t>
            </w:r>
          </w:p>
        </w:tc>
        <w:tc>
          <w:tcPr>
            <w:tcW w:w="656" w:type="pct"/>
            <w:tcBorders>
              <w:top w:val="single" w:sz="2" w:space="0" w:color="000000" w:themeColor="text1"/>
              <w:left w:val="nil"/>
              <w:bottom w:val="single" w:sz="2" w:space="0" w:color="000000" w:themeColor="text1"/>
              <w:right w:val="nil"/>
            </w:tcBorders>
            <w:vAlign w:val="center"/>
          </w:tcPr>
          <w:p w14:paraId="7C998A37"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- 2,66 </w:t>
            </w:r>
          </w:p>
        </w:tc>
        <w:tc>
          <w:tcPr>
            <w:tcW w:w="472" w:type="pct"/>
            <w:tcBorders>
              <w:top w:val="single" w:sz="2" w:space="0" w:color="000000" w:themeColor="text1"/>
              <w:left w:val="nil"/>
              <w:bottom w:val="single" w:sz="2" w:space="0" w:color="000000" w:themeColor="text1"/>
              <w:right w:val="nil"/>
            </w:tcBorders>
            <w:vAlign w:val="center"/>
          </w:tcPr>
          <w:p w14:paraId="35DE225B"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-64</w:t>
            </w:r>
          </w:p>
        </w:tc>
      </w:tr>
      <w:tr w:rsidR="00F419E5" w:rsidRPr="001333CC" w14:paraId="3F0A2B78"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010B4FC5" w14:textId="77777777" w:rsidR="002A4BE9" w:rsidRPr="001333CC" w:rsidRDefault="002A4BE9" w:rsidP="001333CC">
            <w:pPr>
              <w:pStyle w:val="cuatexto"/>
              <w:spacing w:line="240" w:lineRule="auto"/>
              <w:jc w:val="left"/>
              <w:rPr>
                <w:color w:val="000000" w:themeColor="text1"/>
                <w:szCs w:val="20"/>
              </w:rPr>
            </w:pPr>
            <w:r>
              <w:rPr>
                <w:color w:val="000000" w:themeColor="text1"/>
              </w:rPr>
              <w:t>9. Finantza-pasiboak</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5CB502B1"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3,08</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0CF44D54"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w:t>
            </w:r>
          </w:p>
        </w:tc>
        <w:tc>
          <w:tcPr>
            <w:tcW w:w="565" w:type="pct"/>
            <w:tcBorders>
              <w:top w:val="single" w:sz="2" w:space="0" w:color="000000" w:themeColor="text1"/>
              <w:left w:val="nil"/>
              <w:bottom w:val="single" w:sz="2" w:space="0" w:color="000000" w:themeColor="text1"/>
              <w:right w:val="nil"/>
            </w:tcBorders>
            <w:vAlign w:val="center"/>
          </w:tcPr>
          <w:p w14:paraId="2DD081F8"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3,08</w:t>
            </w:r>
          </w:p>
        </w:tc>
        <w:tc>
          <w:tcPr>
            <w:tcW w:w="565" w:type="pct"/>
            <w:tcBorders>
              <w:top w:val="single" w:sz="2" w:space="0" w:color="000000" w:themeColor="text1"/>
              <w:left w:val="nil"/>
              <w:bottom w:val="single" w:sz="2" w:space="0" w:color="000000" w:themeColor="text1"/>
              <w:right w:val="nil"/>
            </w:tcBorders>
            <w:vAlign w:val="center"/>
          </w:tcPr>
          <w:p w14:paraId="329596BA"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0,3</w:t>
            </w:r>
          </w:p>
        </w:tc>
        <w:tc>
          <w:tcPr>
            <w:tcW w:w="656" w:type="pct"/>
            <w:tcBorders>
              <w:top w:val="single" w:sz="2" w:space="0" w:color="000000" w:themeColor="text1"/>
              <w:left w:val="nil"/>
              <w:bottom w:val="single" w:sz="2" w:space="0" w:color="000000" w:themeColor="text1"/>
              <w:right w:val="nil"/>
            </w:tcBorders>
            <w:vAlign w:val="center"/>
          </w:tcPr>
          <w:p w14:paraId="2407CA5F"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 xml:space="preserve">- 4,31 </w:t>
            </w:r>
          </w:p>
        </w:tc>
        <w:tc>
          <w:tcPr>
            <w:tcW w:w="472" w:type="pct"/>
            <w:tcBorders>
              <w:top w:val="single" w:sz="2" w:space="0" w:color="000000" w:themeColor="text1"/>
              <w:left w:val="nil"/>
              <w:bottom w:val="single" w:sz="2" w:space="0" w:color="000000" w:themeColor="text1"/>
              <w:right w:val="nil"/>
            </w:tcBorders>
            <w:vAlign w:val="center"/>
          </w:tcPr>
          <w:p w14:paraId="65E6F363" w14:textId="77777777" w:rsidR="002A4BE9" w:rsidRPr="001333CC" w:rsidRDefault="002A4BE9" w:rsidP="00164004">
            <w:pPr>
              <w:spacing w:after="0"/>
              <w:ind w:firstLine="0"/>
              <w:jc w:val="right"/>
              <w:rPr>
                <w:rFonts w:ascii="Arial Narrow" w:hAnsi="Arial Narrow" w:cs="Calibri"/>
                <w:color w:val="000000"/>
              </w:rPr>
            </w:pPr>
            <w:r>
              <w:rPr>
                <w:rFonts w:ascii="Arial Narrow" w:hAnsi="Arial Narrow"/>
                <w:color w:val="000000"/>
              </w:rPr>
              <w:t>-58</w:t>
            </w:r>
          </w:p>
        </w:tc>
      </w:tr>
      <w:tr w:rsidR="00F419E5" w:rsidRPr="001333CC" w14:paraId="5956BFCE" w14:textId="77777777" w:rsidTr="008C4213">
        <w:trPr>
          <w:trHeight w:val="227"/>
          <w:jc w:val="center"/>
        </w:trPr>
        <w:tc>
          <w:tcPr>
            <w:tcW w:w="1451" w:type="pct"/>
            <w:tcBorders>
              <w:top w:val="single" w:sz="2" w:space="0" w:color="000000" w:themeColor="text1"/>
              <w:left w:val="nil"/>
              <w:bottom w:val="single" w:sz="4" w:space="0" w:color="000000" w:themeColor="text1"/>
              <w:right w:val="nil"/>
            </w:tcBorders>
            <w:shd w:val="clear" w:color="auto" w:fill="auto"/>
            <w:vAlign w:val="center"/>
            <w:hideMark/>
          </w:tcPr>
          <w:p w14:paraId="38366CBA" w14:textId="77777777" w:rsidR="002A4BE9" w:rsidRPr="001333CC" w:rsidRDefault="002A4BE9" w:rsidP="001333CC">
            <w:pPr>
              <w:pStyle w:val="cuatexto"/>
              <w:spacing w:line="240" w:lineRule="auto"/>
              <w:jc w:val="left"/>
              <w:rPr>
                <w:b/>
                <w:i/>
                <w:iCs/>
                <w:color w:val="000000" w:themeColor="text1"/>
                <w:szCs w:val="20"/>
              </w:rPr>
            </w:pPr>
            <w:r>
              <w:rPr>
                <w:b/>
                <w:i/>
                <w:color w:val="000000" w:themeColor="text1"/>
              </w:rPr>
              <w:t>Diru-sarrera finantzarioak</w:t>
            </w:r>
          </w:p>
        </w:tc>
        <w:tc>
          <w:tcPr>
            <w:tcW w:w="726" w:type="pct"/>
            <w:tcBorders>
              <w:top w:val="single" w:sz="2" w:space="0" w:color="000000" w:themeColor="text1"/>
              <w:left w:val="nil"/>
              <w:bottom w:val="single" w:sz="4" w:space="0" w:color="000000" w:themeColor="text1"/>
              <w:right w:val="nil"/>
            </w:tcBorders>
            <w:shd w:val="clear" w:color="auto" w:fill="auto"/>
            <w:vAlign w:val="center"/>
            <w:hideMark/>
          </w:tcPr>
          <w:p w14:paraId="366EFD1C"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4,56</w:t>
            </w:r>
          </w:p>
        </w:tc>
        <w:tc>
          <w:tcPr>
            <w:tcW w:w="565" w:type="pct"/>
            <w:tcBorders>
              <w:top w:val="single" w:sz="2" w:space="0" w:color="000000" w:themeColor="text1"/>
              <w:left w:val="nil"/>
              <w:bottom w:val="single" w:sz="4" w:space="0" w:color="000000" w:themeColor="text1"/>
              <w:right w:val="nil"/>
            </w:tcBorders>
            <w:shd w:val="clear" w:color="auto" w:fill="auto"/>
            <w:vAlign w:val="center"/>
          </w:tcPr>
          <w:p w14:paraId="165DCE8A"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0</w:t>
            </w:r>
          </w:p>
        </w:tc>
        <w:tc>
          <w:tcPr>
            <w:tcW w:w="565" w:type="pct"/>
            <w:tcBorders>
              <w:top w:val="single" w:sz="2" w:space="0" w:color="000000" w:themeColor="text1"/>
              <w:left w:val="nil"/>
              <w:bottom w:val="single" w:sz="4" w:space="0" w:color="000000" w:themeColor="text1"/>
              <w:right w:val="nil"/>
            </w:tcBorders>
            <w:vAlign w:val="center"/>
          </w:tcPr>
          <w:p w14:paraId="700E6747"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4,56</w:t>
            </w:r>
          </w:p>
        </w:tc>
        <w:tc>
          <w:tcPr>
            <w:tcW w:w="565" w:type="pct"/>
            <w:tcBorders>
              <w:top w:val="single" w:sz="2" w:space="0" w:color="000000" w:themeColor="text1"/>
              <w:left w:val="nil"/>
              <w:bottom w:val="single" w:sz="4" w:space="0" w:color="000000" w:themeColor="text1"/>
              <w:right w:val="nil"/>
            </w:tcBorders>
            <w:vAlign w:val="center"/>
          </w:tcPr>
          <w:p w14:paraId="091FBB55" w14:textId="77777777" w:rsidR="002A4BE9" w:rsidRPr="001333CC" w:rsidRDefault="002A4BE9" w:rsidP="00164004">
            <w:pPr>
              <w:spacing w:after="0"/>
              <w:ind w:firstLine="0"/>
              <w:jc w:val="right"/>
              <w:rPr>
                <w:rFonts w:ascii="Arial Narrow" w:hAnsi="Arial Narrow" w:cs="Calibri"/>
                <w:b/>
                <w:bCs/>
                <w:i/>
                <w:iCs/>
                <w:color w:val="000000"/>
              </w:rPr>
            </w:pPr>
            <w:r>
              <w:rPr>
                <w:rFonts w:ascii="Arial Narrow" w:hAnsi="Arial Narrow"/>
                <w:b/>
                <w:i/>
                <w:color w:val="000000"/>
              </w:rPr>
              <w:t>0,5</w:t>
            </w:r>
          </w:p>
        </w:tc>
        <w:tc>
          <w:tcPr>
            <w:tcW w:w="656" w:type="pct"/>
            <w:tcBorders>
              <w:top w:val="single" w:sz="2" w:space="0" w:color="000000" w:themeColor="text1"/>
              <w:left w:val="nil"/>
              <w:bottom w:val="single" w:sz="4" w:space="0" w:color="000000" w:themeColor="text1"/>
              <w:right w:val="nil"/>
            </w:tcBorders>
            <w:vAlign w:val="center"/>
          </w:tcPr>
          <w:p w14:paraId="686E10E5" w14:textId="77777777" w:rsidR="002A4BE9" w:rsidRPr="001333CC" w:rsidRDefault="34CD8A04" w:rsidP="00164004">
            <w:pPr>
              <w:spacing w:after="0"/>
              <w:ind w:firstLine="0"/>
              <w:jc w:val="right"/>
              <w:rPr>
                <w:rFonts w:ascii="Arial Narrow" w:hAnsi="Arial Narrow" w:cs="Calibri"/>
                <w:b/>
                <w:i/>
                <w:color w:val="000000"/>
              </w:rPr>
            </w:pPr>
            <w:r>
              <w:rPr>
                <w:rFonts w:ascii="Arial Narrow" w:hAnsi="Arial Narrow"/>
                <w:b/>
                <w:i/>
                <w:color w:val="000000" w:themeColor="text1"/>
              </w:rPr>
              <w:t xml:space="preserve">- 6,97 </w:t>
            </w:r>
          </w:p>
        </w:tc>
        <w:tc>
          <w:tcPr>
            <w:tcW w:w="472" w:type="pct"/>
            <w:tcBorders>
              <w:top w:val="single" w:sz="2" w:space="0" w:color="000000" w:themeColor="text1"/>
              <w:left w:val="nil"/>
              <w:bottom w:val="single" w:sz="4" w:space="0" w:color="000000" w:themeColor="text1"/>
              <w:right w:val="nil"/>
            </w:tcBorders>
            <w:vAlign w:val="center"/>
          </w:tcPr>
          <w:p w14:paraId="40BD1AE4" w14:textId="77777777" w:rsidR="002A4BE9" w:rsidRPr="001333CC" w:rsidRDefault="34CD8A04" w:rsidP="00164004">
            <w:pPr>
              <w:spacing w:after="0"/>
              <w:ind w:firstLine="0"/>
              <w:jc w:val="right"/>
              <w:rPr>
                <w:rFonts w:ascii="Arial Narrow" w:hAnsi="Arial Narrow" w:cs="Calibri"/>
                <w:b/>
                <w:i/>
                <w:color w:val="000000"/>
              </w:rPr>
            </w:pPr>
            <w:r>
              <w:rPr>
                <w:rFonts w:ascii="Arial Narrow" w:hAnsi="Arial Narrow"/>
                <w:b/>
                <w:i/>
                <w:color w:val="000000" w:themeColor="text1"/>
              </w:rPr>
              <w:t>-60</w:t>
            </w:r>
          </w:p>
        </w:tc>
      </w:tr>
      <w:tr w:rsidR="00F419E5" w:rsidRPr="001333CC" w14:paraId="61B869BA" w14:textId="77777777" w:rsidTr="008C4213">
        <w:trPr>
          <w:trHeight w:val="227"/>
          <w:jc w:val="center"/>
        </w:trPr>
        <w:tc>
          <w:tcPr>
            <w:tcW w:w="1451"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32BBC23D" w14:textId="77777777" w:rsidR="002A4BE9" w:rsidRPr="001333CC" w:rsidRDefault="002A4BE9" w:rsidP="00164004">
            <w:pPr>
              <w:pStyle w:val="cuadroCabe"/>
              <w:spacing w:line="240" w:lineRule="auto"/>
              <w:rPr>
                <w:rFonts w:cs="Arial"/>
                <w:szCs w:val="18"/>
              </w:rPr>
            </w:pPr>
            <w:r>
              <w:t xml:space="preserve"> Guztira</w:t>
            </w:r>
          </w:p>
        </w:tc>
        <w:tc>
          <w:tcPr>
            <w:tcW w:w="726"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479D4B9E" w14:textId="77777777" w:rsidR="002A4BE9" w:rsidRPr="001333CC" w:rsidRDefault="002A4BE9" w:rsidP="00164004">
            <w:pPr>
              <w:spacing w:after="0"/>
              <w:ind w:firstLine="0"/>
              <w:jc w:val="right"/>
              <w:rPr>
                <w:rFonts w:ascii="Arial" w:hAnsi="Arial" w:cs="Arial"/>
                <w:color w:val="000000"/>
                <w:sz w:val="18"/>
                <w:szCs w:val="18"/>
              </w:rPr>
            </w:pPr>
            <w:r>
              <w:rPr>
                <w:rFonts w:ascii="Arial" w:hAnsi="Arial"/>
                <w:color w:val="000000"/>
                <w:sz w:val="18"/>
              </w:rPr>
              <w:t>894,42</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44386A1B" w14:textId="77777777" w:rsidR="002A4BE9" w:rsidRPr="001333CC" w:rsidRDefault="002A4BE9" w:rsidP="00164004">
            <w:pPr>
              <w:spacing w:after="0"/>
              <w:ind w:firstLine="0"/>
              <w:jc w:val="right"/>
              <w:rPr>
                <w:rFonts w:ascii="Arial" w:hAnsi="Arial" w:cs="Arial"/>
                <w:color w:val="000000"/>
                <w:sz w:val="18"/>
                <w:szCs w:val="18"/>
              </w:rPr>
            </w:pPr>
            <w:r>
              <w:rPr>
                <w:rFonts w:ascii="Arial" w:hAnsi="Arial"/>
                <w:color w:val="000000"/>
                <w:sz w:val="18"/>
              </w:rPr>
              <w:t>82,61</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1894D15" w14:textId="77777777" w:rsidR="002A4BE9" w:rsidRPr="001333CC" w:rsidRDefault="002A4BE9" w:rsidP="00164004">
            <w:pPr>
              <w:spacing w:after="0"/>
              <w:ind w:firstLine="0"/>
              <w:jc w:val="right"/>
              <w:rPr>
                <w:rFonts w:ascii="Arial" w:hAnsi="Arial" w:cs="Arial"/>
                <w:color w:val="000000"/>
                <w:sz w:val="18"/>
                <w:szCs w:val="18"/>
              </w:rPr>
            </w:pPr>
            <w:r>
              <w:rPr>
                <w:rFonts w:ascii="Arial" w:hAnsi="Arial"/>
                <w:color w:val="000000"/>
                <w:sz w:val="18"/>
              </w:rPr>
              <w:t>977,03</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0525613" w14:textId="77777777" w:rsidR="002A4BE9" w:rsidRPr="001333CC" w:rsidRDefault="002A4BE9" w:rsidP="00164004">
            <w:pPr>
              <w:spacing w:after="0"/>
              <w:ind w:firstLine="0"/>
              <w:jc w:val="right"/>
              <w:rPr>
                <w:rFonts w:ascii="Arial" w:hAnsi="Arial" w:cs="Arial"/>
                <w:color w:val="000000"/>
                <w:sz w:val="18"/>
                <w:szCs w:val="18"/>
              </w:rPr>
            </w:pPr>
            <w:r>
              <w:rPr>
                <w:rFonts w:ascii="Arial" w:hAnsi="Arial"/>
                <w:color w:val="000000"/>
                <w:sz w:val="18"/>
              </w:rPr>
              <w:t>100</w:t>
            </w:r>
          </w:p>
        </w:tc>
        <w:tc>
          <w:tcPr>
            <w:tcW w:w="656"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0358A21" w14:textId="77777777" w:rsidR="002A4BE9" w:rsidRPr="001333CC" w:rsidRDefault="002A4BE9" w:rsidP="00164004">
            <w:pPr>
              <w:spacing w:after="0"/>
              <w:ind w:firstLine="0"/>
              <w:jc w:val="right"/>
              <w:rPr>
                <w:rFonts w:ascii="Arial" w:hAnsi="Arial" w:cs="Arial"/>
                <w:color w:val="000000"/>
                <w:sz w:val="18"/>
                <w:szCs w:val="18"/>
              </w:rPr>
            </w:pPr>
            <w:r>
              <w:rPr>
                <w:rFonts w:ascii="Arial" w:hAnsi="Arial"/>
                <w:color w:val="000000"/>
                <w:sz w:val="18"/>
              </w:rPr>
              <w:t xml:space="preserve"> 43,25 </w:t>
            </w:r>
          </w:p>
        </w:tc>
        <w:tc>
          <w:tcPr>
            <w:tcW w:w="472"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34C3CC76" w14:textId="77777777" w:rsidR="002A4BE9" w:rsidRPr="001333CC" w:rsidRDefault="002A4BE9" w:rsidP="00164004">
            <w:pPr>
              <w:spacing w:after="0"/>
              <w:ind w:firstLine="0"/>
              <w:jc w:val="right"/>
              <w:rPr>
                <w:rFonts w:ascii="Arial" w:hAnsi="Arial" w:cs="Arial"/>
                <w:color w:val="000000"/>
                <w:sz w:val="18"/>
                <w:szCs w:val="18"/>
              </w:rPr>
            </w:pPr>
            <w:r>
              <w:rPr>
                <w:rFonts w:ascii="Arial" w:hAnsi="Arial"/>
                <w:color w:val="000000"/>
                <w:sz w:val="18"/>
              </w:rPr>
              <w:t>5</w:t>
            </w:r>
          </w:p>
        </w:tc>
      </w:tr>
    </w:tbl>
    <w:p w14:paraId="173B8FFD" w14:textId="29E66C41" w:rsidR="002A4BE9" w:rsidRPr="00033257" w:rsidRDefault="002A4BE9" w:rsidP="002A4BE9">
      <w:pPr>
        <w:pStyle w:val="texto"/>
        <w:rPr>
          <w:color w:val="000000" w:themeColor="text1"/>
        </w:rPr>
      </w:pPr>
      <w:r>
        <w:rPr>
          <w:color w:val="000000" w:themeColor="text1"/>
        </w:rPr>
        <w:lastRenderedPageBreak/>
        <w:t>Hiru sozietateen bateratzeak 82,61 milioiko diru-sarrera gehigarriak ematen dizkio tokiko sektore publikoari; diru-sarrera horiek 3. kapituluari dagozkio nagusiki (tasak, prezio publikoak eta bestelako diru-sarrerak, 70,61 milioi), horiek osatzen baitute diru-sarrera iturri nagusia.</w:t>
      </w:r>
    </w:p>
    <w:p w14:paraId="42B5F7FF" w14:textId="77777777" w:rsidR="002A4BE9" w:rsidRPr="00033257" w:rsidRDefault="00F419E5" w:rsidP="002A4BE9">
      <w:pPr>
        <w:pStyle w:val="texto"/>
        <w:rPr>
          <w:color w:val="000000" w:themeColor="text1"/>
        </w:rPr>
      </w:pPr>
      <w:r>
        <w:rPr>
          <w:color w:val="000000" w:themeColor="text1"/>
        </w:rPr>
        <w:t xml:space="preserve">Hala, toki sektore publikoaren guztizko diru-sarrerak 977,03 milioi dira 2021ean, aurreko ekitaldian baino ehuneko bost gehiago. Toki sektore publikoaren diru-sarreren ehuneko 44 jasotako transferentzia arruntetatik eta kapital-transferentzietatik dator, eta ehuneko 25, berriz, tasa, prezio publiko eta bestelako diru-sarreretatik. </w:t>
      </w:r>
    </w:p>
    <w:p w14:paraId="333B2E3B" w14:textId="07A44D13" w:rsidR="00F07241" w:rsidRPr="00033257" w:rsidRDefault="56FC82D2" w:rsidP="00F07241">
      <w:pPr>
        <w:pStyle w:val="texto"/>
        <w:spacing w:after="120"/>
        <w:rPr>
          <w:color w:val="000000" w:themeColor="text1"/>
        </w:rPr>
      </w:pPr>
      <w:r>
        <w:rPr>
          <w:color w:val="000000" w:themeColor="text1"/>
        </w:rPr>
        <w:t>Toki sektore publikoak —toki-entitateak, haien EEAAk eta haiek partaidetza osoa duten sozietate guztiak barne— jasotako transferentziengatiko diru-sarrerak, funtsean, Nafarroako Aurrekontu Orokorretatik datoz. 2021ean, 371,10 milioiko gastua suposatu zuten transferentzia arruntek eta kapital-transferentziek.</w:t>
      </w:r>
    </w:p>
    <w:p w14:paraId="429A169F" w14:textId="13D16907" w:rsidR="00F07241" w:rsidRPr="00E0306B" w:rsidRDefault="004A3B35" w:rsidP="004A3B35">
      <w:pPr>
        <w:pStyle w:val="texto"/>
        <w:spacing w:after="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8727" w:type="dxa"/>
        <w:tblCellMar>
          <w:left w:w="70" w:type="dxa"/>
          <w:right w:w="70" w:type="dxa"/>
        </w:tblCellMar>
        <w:tblLook w:val="04A0" w:firstRow="1" w:lastRow="0" w:firstColumn="1" w:lastColumn="0" w:noHBand="0" w:noVBand="1"/>
      </w:tblPr>
      <w:tblGrid>
        <w:gridCol w:w="2552"/>
        <w:gridCol w:w="882"/>
        <w:gridCol w:w="882"/>
        <w:gridCol w:w="882"/>
        <w:gridCol w:w="882"/>
        <w:gridCol w:w="882"/>
        <w:gridCol w:w="882"/>
        <w:gridCol w:w="883"/>
      </w:tblGrid>
      <w:tr w:rsidR="00D52854" w:rsidRPr="00427D24" w14:paraId="3B2D7900" w14:textId="77777777" w:rsidTr="00D52854">
        <w:trPr>
          <w:trHeight w:val="255"/>
        </w:trPr>
        <w:tc>
          <w:tcPr>
            <w:tcW w:w="2552" w:type="dxa"/>
            <w:tcBorders>
              <w:top w:val="single" w:sz="4" w:space="0" w:color="auto"/>
              <w:left w:val="nil"/>
              <w:bottom w:val="single" w:sz="2" w:space="0" w:color="auto"/>
              <w:right w:val="nil"/>
            </w:tcBorders>
            <w:shd w:val="clear" w:color="auto" w:fill="FABF8F" w:themeFill="accent6" w:themeFillTint="99"/>
            <w:vAlign w:val="center"/>
          </w:tcPr>
          <w:p w14:paraId="0C04771B" w14:textId="77777777" w:rsidR="00D52854" w:rsidRPr="0004039F" w:rsidRDefault="00D52854" w:rsidP="00D52854">
            <w:pPr>
              <w:spacing w:after="0"/>
              <w:ind w:firstLine="0"/>
              <w:jc w:val="left"/>
              <w:rPr>
                <w:rFonts w:ascii="Arial" w:hAnsi="Arial" w:cs="Arial"/>
                <w:color w:val="000000"/>
                <w:sz w:val="16"/>
                <w:szCs w:val="16"/>
              </w:rPr>
            </w:pPr>
            <w:r>
              <w:rPr>
                <w:rFonts w:ascii="Arial" w:hAnsi="Arial"/>
                <w:color w:val="000000"/>
                <w:sz w:val="16"/>
              </w:rPr>
              <w:t xml:space="preserve">Naf. Aurr. Orok. kapital-transferentziak </w:t>
            </w:r>
          </w:p>
          <w:p w14:paraId="345B9126" w14:textId="77777777" w:rsidR="00D52854" w:rsidRPr="00427D24" w:rsidRDefault="00D52854" w:rsidP="00D52854">
            <w:pPr>
              <w:spacing w:after="0"/>
              <w:ind w:firstLine="0"/>
              <w:jc w:val="left"/>
              <w:rPr>
                <w:rFonts w:ascii="Arial" w:hAnsi="Arial" w:cs="Arial"/>
                <w:color w:val="000000"/>
                <w:sz w:val="16"/>
                <w:szCs w:val="16"/>
              </w:rPr>
            </w:pPr>
            <w:r>
              <w:rPr>
                <w:rFonts w:ascii="Arial" w:hAnsi="Arial"/>
                <w:color w:val="000000"/>
                <w:sz w:val="16"/>
              </w:rPr>
              <w:t>toki-entitateei</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462BD3EF" w14:textId="20E0ACE8"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2019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7FBFA56E" w14:textId="62691CBB"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2020</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0F366D60" w14:textId="0640D1DC"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2021</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38E0F02D" w14:textId="1A0FB90E" w:rsidR="00D52854" w:rsidRPr="00427D24" w:rsidRDefault="00D52854" w:rsidP="00D52854">
            <w:pPr>
              <w:pStyle w:val="cuadroCabe"/>
              <w:spacing w:line="240" w:lineRule="auto"/>
              <w:jc w:val="right"/>
              <w:rPr>
                <w:rFonts w:cs="Arial"/>
                <w:sz w:val="16"/>
                <w:szCs w:val="16"/>
              </w:rPr>
            </w:pPr>
            <w:r>
              <w:rPr>
                <w:sz w:val="16"/>
              </w:rPr>
              <w:t>Ald. abs. 2021/19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286ABE39" w14:textId="683B2108" w:rsidR="00D52854" w:rsidRPr="00427D24" w:rsidRDefault="00D52854" w:rsidP="00D52854">
            <w:pPr>
              <w:pStyle w:val="cuadroCabe"/>
              <w:spacing w:line="240" w:lineRule="auto"/>
              <w:jc w:val="right"/>
              <w:rPr>
                <w:rFonts w:cs="Arial"/>
                <w:sz w:val="16"/>
                <w:szCs w:val="16"/>
              </w:rPr>
            </w:pPr>
            <w:r>
              <w:rPr>
                <w:sz w:val="16"/>
              </w:rPr>
              <w:t>2021/19 ald. (%)</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469D5543" w14:textId="5AE907E6" w:rsidR="00D52854" w:rsidRPr="00427D24" w:rsidRDefault="00D52854" w:rsidP="00D52854">
            <w:pPr>
              <w:pStyle w:val="cuadroCabe"/>
              <w:spacing w:line="240" w:lineRule="auto"/>
              <w:jc w:val="right"/>
              <w:rPr>
                <w:rFonts w:cs="Arial"/>
                <w:sz w:val="16"/>
                <w:szCs w:val="16"/>
              </w:rPr>
            </w:pPr>
            <w:r>
              <w:rPr>
                <w:sz w:val="16"/>
              </w:rPr>
              <w:t>Ald. abs. 2021/20</w:t>
            </w:r>
          </w:p>
        </w:tc>
        <w:tc>
          <w:tcPr>
            <w:tcW w:w="883" w:type="dxa"/>
            <w:tcBorders>
              <w:top w:val="single" w:sz="4" w:space="0" w:color="auto"/>
              <w:left w:val="nil"/>
              <w:bottom w:val="single" w:sz="2" w:space="0" w:color="auto"/>
              <w:right w:val="nil"/>
            </w:tcBorders>
            <w:shd w:val="clear" w:color="auto" w:fill="FABF8F" w:themeFill="accent6" w:themeFillTint="99"/>
            <w:vAlign w:val="center"/>
          </w:tcPr>
          <w:p w14:paraId="311D92A4" w14:textId="77777777" w:rsidR="00D52854" w:rsidRPr="00427D24" w:rsidRDefault="00D52854" w:rsidP="00D52854">
            <w:pPr>
              <w:pStyle w:val="cuadroCabe"/>
              <w:spacing w:line="240" w:lineRule="auto"/>
              <w:jc w:val="right"/>
              <w:rPr>
                <w:rFonts w:cs="Arial"/>
                <w:sz w:val="16"/>
                <w:szCs w:val="16"/>
              </w:rPr>
            </w:pPr>
            <w:r>
              <w:rPr>
                <w:sz w:val="16"/>
              </w:rPr>
              <w:t>2021/20 ald. (%)</w:t>
            </w:r>
          </w:p>
        </w:tc>
      </w:tr>
      <w:tr w:rsidR="00D52854" w:rsidRPr="00427D24" w14:paraId="5931887B"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0BA9B78E" w14:textId="77777777" w:rsidR="00D52854" w:rsidRPr="00427D24" w:rsidRDefault="00D52854" w:rsidP="00D52854">
            <w:pPr>
              <w:spacing w:after="0"/>
              <w:ind w:firstLine="0"/>
              <w:jc w:val="left"/>
              <w:rPr>
                <w:rFonts w:ascii="Arial Narrow" w:hAnsi="Arial Narrow" w:cs="Calibri"/>
                <w:color w:val="000000"/>
                <w:sz w:val="18"/>
                <w:szCs w:val="18"/>
              </w:rPr>
            </w:pPr>
            <w:r>
              <w:rPr>
                <w:rFonts w:ascii="Arial Narrow" w:hAnsi="Arial Narrow"/>
                <w:color w:val="000000"/>
                <w:sz w:val="18"/>
              </w:rPr>
              <w:t>Arruntak - COVID ez</w:t>
            </w:r>
          </w:p>
        </w:tc>
        <w:tc>
          <w:tcPr>
            <w:tcW w:w="882" w:type="dxa"/>
            <w:tcBorders>
              <w:top w:val="single" w:sz="2" w:space="0" w:color="auto"/>
              <w:left w:val="nil"/>
              <w:bottom w:val="single" w:sz="2" w:space="0" w:color="auto"/>
              <w:right w:val="nil"/>
            </w:tcBorders>
            <w:vAlign w:val="center"/>
          </w:tcPr>
          <w:p w14:paraId="16FD4463" w14:textId="6655F375"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303,40 </w:t>
            </w:r>
          </w:p>
        </w:tc>
        <w:tc>
          <w:tcPr>
            <w:tcW w:w="882" w:type="dxa"/>
            <w:tcBorders>
              <w:top w:val="single" w:sz="2" w:space="0" w:color="auto"/>
              <w:left w:val="nil"/>
              <w:bottom w:val="single" w:sz="2" w:space="0" w:color="auto"/>
              <w:right w:val="nil"/>
            </w:tcBorders>
            <w:vAlign w:val="center"/>
          </w:tcPr>
          <w:p w14:paraId="3CBC7BF0" w14:textId="75802B17"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321,10 </w:t>
            </w:r>
          </w:p>
        </w:tc>
        <w:tc>
          <w:tcPr>
            <w:tcW w:w="882" w:type="dxa"/>
            <w:tcBorders>
              <w:top w:val="single" w:sz="2" w:space="0" w:color="auto"/>
              <w:left w:val="nil"/>
              <w:bottom w:val="single" w:sz="2" w:space="0" w:color="auto"/>
              <w:right w:val="nil"/>
            </w:tcBorders>
            <w:vAlign w:val="center"/>
          </w:tcPr>
          <w:p w14:paraId="43D6138F" w14:textId="763A7C39"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340,09 </w:t>
            </w:r>
          </w:p>
        </w:tc>
        <w:tc>
          <w:tcPr>
            <w:tcW w:w="882" w:type="dxa"/>
            <w:tcBorders>
              <w:top w:val="single" w:sz="2" w:space="0" w:color="auto"/>
              <w:left w:val="nil"/>
              <w:bottom w:val="single" w:sz="2" w:space="0" w:color="auto"/>
              <w:right w:val="nil"/>
            </w:tcBorders>
            <w:vAlign w:val="center"/>
          </w:tcPr>
          <w:p w14:paraId="68B2271A" w14:textId="3F6F0CAB"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36,69 </w:t>
            </w:r>
          </w:p>
        </w:tc>
        <w:tc>
          <w:tcPr>
            <w:tcW w:w="882" w:type="dxa"/>
            <w:tcBorders>
              <w:top w:val="single" w:sz="2" w:space="0" w:color="auto"/>
              <w:left w:val="nil"/>
              <w:bottom w:val="single" w:sz="2" w:space="0" w:color="auto"/>
              <w:right w:val="nil"/>
            </w:tcBorders>
            <w:vAlign w:val="center"/>
          </w:tcPr>
          <w:p w14:paraId="1592F993" w14:textId="2245D104"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12</w:t>
            </w:r>
          </w:p>
        </w:tc>
        <w:tc>
          <w:tcPr>
            <w:tcW w:w="882" w:type="dxa"/>
            <w:tcBorders>
              <w:top w:val="single" w:sz="2" w:space="0" w:color="auto"/>
              <w:left w:val="nil"/>
              <w:bottom w:val="single" w:sz="2" w:space="0" w:color="auto"/>
              <w:right w:val="nil"/>
            </w:tcBorders>
            <w:vAlign w:val="center"/>
          </w:tcPr>
          <w:p w14:paraId="5D5E12F0" w14:textId="22105C50"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18,99 </w:t>
            </w:r>
          </w:p>
        </w:tc>
        <w:tc>
          <w:tcPr>
            <w:tcW w:w="883" w:type="dxa"/>
            <w:tcBorders>
              <w:top w:val="single" w:sz="2" w:space="0" w:color="auto"/>
              <w:left w:val="nil"/>
              <w:bottom w:val="single" w:sz="2" w:space="0" w:color="auto"/>
              <w:right w:val="nil"/>
            </w:tcBorders>
            <w:shd w:val="clear" w:color="auto" w:fill="auto"/>
            <w:vAlign w:val="center"/>
          </w:tcPr>
          <w:p w14:paraId="1AA1B773" w14:textId="77777777"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6</w:t>
            </w:r>
          </w:p>
        </w:tc>
      </w:tr>
      <w:tr w:rsidR="00D52854" w:rsidRPr="00427D24" w14:paraId="4B16751F"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08D64E01" w14:textId="77777777" w:rsidR="00D52854" w:rsidRPr="00427D24" w:rsidRDefault="00D52854" w:rsidP="00D52854">
            <w:pPr>
              <w:spacing w:after="0"/>
              <w:ind w:firstLine="0"/>
              <w:jc w:val="left"/>
              <w:rPr>
                <w:rFonts w:ascii="Arial Narrow" w:hAnsi="Arial Narrow" w:cs="Calibri"/>
                <w:color w:val="000000"/>
                <w:sz w:val="18"/>
                <w:szCs w:val="18"/>
              </w:rPr>
            </w:pPr>
            <w:r>
              <w:rPr>
                <w:rFonts w:ascii="Arial Narrow" w:hAnsi="Arial Narrow"/>
                <w:color w:val="000000"/>
                <w:sz w:val="18"/>
              </w:rPr>
              <w:t>Kapitalekoak - COVID ez</w:t>
            </w:r>
          </w:p>
        </w:tc>
        <w:tc>
          <w:tcPr>
            <w:tcW w:w="882" w:type="dxa"/>
            <w:tcBorders>
              <w:top w:val="single" w:sz="2" w:space="0" w:color="auto"/>
              <w:left w:val="nil"/>
              <w:bottom w:val="single" w:sz="2" w:space="0" w:color="auto"/>
              <w:right w:val="nil"/>
            </w:tcBorders>
            <w:vAlign w:val="center"/>
          </w:tcPr>
          <w:p w14:paraId="50743359" w14:textId="0A69ABAB"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76,72 </w:t>
            </w:r>
          </w:p>
        </w:tc>
        <w:tc>
          <w:tcPr>
            <w:tcW w:w="882" w:type="dxa"/>
            <w:tcBorders>
              <w:top w:val="single" w:sz="2" w:space="0" w:color="auto"/>
              <w:left w:val="nil"/>
              <w:bottom w:val="single" w:sz="2" w:space="0" w:color="auto"/>
              <w:right w:val="nil"/>
            </w:tcBorders>
            <w:vAlign w:val="center"/>
          </w:tcPr>
          <w:p w14:paraId="5326060C" w14:textId="5102068B"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49,28 </w:t>
            </w:r>
          </w:p>
        </w:tc>
        <w:tc>
          <w:tcPr>
            <w:tcW w:w="882" w:type="dxa"/>
            <w:tcBorders>
              <w:top w:val="single" w:sz="2" w:space="0" w:color="auto"/>
              <w:left w:val="nil"/>
              <w:bottom w:val="single" w:sz="2" w:space="0" w:color="auto"/>
              <w:right w:val="nil"/>
            </w:tcBorders>
            <w:vAlign w:val="center"/>
          </w:tcPr>
          <w:p w14:paraId="15B7825A" w14:textId="25EB68F3"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30,26 </w:t>
            </w:r>
          </w:p>
        </w:tc>
        <w:tc>
          <w:tcPr>
            <w:tcW w:w="882" w:type="dxa"/>
            <w:tcBorders>
              <w:top w:val="single" w:sz="2" w:space="0" w:color="auto"/>
              <w:left w:val="nil"/>
              <w:bottom w:val="single" w:sz="2" w:space="0" w:color="auto"/>
              <w:right w:val="nil"/>
            </w:tcBorders>
            <w:vAlign w:val="center"/>
          </w:tcPr>
          <w:p w14:paraId="56B9C6E2" w14:textId="6B705892"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-46,45</w:t>
            </w:r>
          </w:p>
        </w:tc>
        <w:tc>
          <w:tcPr>
            <w:tcW w:w="882" w:type="dxa"/>
            <w:tcBorders>
              <w:top w:val="single" w:sz="2" w:space="0" w:color="auto"/>
              <w:left w:val="nil"/>
              <w:bottom w:val="single" w:sz="2" w:space="0" w:color="auto"/>
              <w:right w:val="nil"/>
            </w:tcBorders>
            <w:vAlign w:val="center"/>
          </w:tcPr>
          <w:p w14:paraId="300FC064" w14:textId="5002DC3D"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-61</w:t>
            </w:r>
          </w:p>
        </w:tc>
        <w:tc>
          <w:tcPr>
            <w:tcW w:w="882" w:type="dxa"/>
            <w:tcBorders>
              <w:top w:val="single" w:sz="2" w:space="0" w:color="auto"/>
              <w:left w:val="nil"/>
              <w:bottom w:val="single" w:sz="2" w:space="0" w:color="auto"/>
              <w:right w:val="nil"/>
            </w:tcBorders>
            <w:vAlign w:val="center"/>
          </w:tcPr>
          <w:p w14:paraId="0830CDC8" w14:textId="427D29CF"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-19,02</w:t>
            </w:r>
          </w:p>
        </w:tc>
        <w:tc>
          <w:tcPr>
            <w:tcW w:w="883" w:type="dxa"/>
            <w:tcBorders>
              <w:top w:val="single" w:sz="2" w:space="0" w:color="auto"/>
              <w:left w:val="nil"/>
              <w:bottom w:val="single" w:sz="2" w:space="0" w:color="auto"/>
              <w:right w:val="nil"/>
            </w:tcBorders>
            <w:shd w:val="clear" w:color="auto" w:fill="auto"/>
            <w:vAlign w:val="center"/>
          </w:tcPr>
          <w:p w14:paraId="58A687C0" w14:textId="77777777"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-39</w:t>
            </w:r>
          </w:p>
        </w:tc>
      </w:tr>
      <w:tr w:rsidR="00D52854" w:rsidRPr="00427D24" w14:paraId="6C873F1C"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4728A1CE" w14:textId="77777777" w:rsidR="00D52854" w:rsidRPr="00427D24" w:rsidRDefault="00D52854" w:rsidP="00D52854">
            <w:pPr>
              <w:spacing w:after="0"/>
              <w:ind w:firstLine="0"/>
              <w:jc w:val="left"/>
              <w:rPr>
                <w:rFonts w:ascii="Arial Narrow" w:hAnsi="Arial Narrow" w:cs="Calibri"/>
                <w:b/>
                <w:bCs/>
                <w:i/>
                <w:color w:val="000000"/>
                <w:sz w:val="18"/>
                <w:szCs w:val="18"/>
              </w:rPr>
            </w:pPr>
            <w:r>
              <w:rPr>
                <w:rFonts w:ascii="Arial Narrow" w:hAnsi="Arial Narrow"/>
                <w:b/>
                <w:i/>
                <w:color w:val="000000"/>
                <w:sz w:val="18"/>
              </w:rPr>
              <w:t>Transferentziak, guztira (COVID ez)</w:t>
            </w:r>
          </w:p>
        </w:tc>
        <w:tc>
          <w:tcPr>
            <w:tcW w:w="882" w:type="dxa"/>
            <w:tcBorders>
              <w:top w:val="single" w:sz="2" w:space="0" w:color="auto"/>
              <w:left w:val="nil"/>
              <w:bottom w:val="single" w:sz="2" w:space="0" w:color="auto"/>
              <w:right w:val="nil"/>
            </w:tcBorders>
            <w:vAlign w:val="center"/>
          </w:tcPr>
          <w:p w14:paraId="5AECE9E2" w14:textId="12EB82A2" w:rsidR="00D52854" w:rsidRPr="00427D24" w:rsidRDefault="00D52854" w:rsidP="00D52854">
            <w:pPr>
              <w:spacing w:after="0"/>
              <w:ind w:firstLine="0"/>
              <w:jc w:val="right"/>
              <w:rPr>
                <w:rFonts w:ascii="Arial Narrow" w:hAnsi="Arial Narrow" w:cs="Calibri"/>
                <w:b/>
                <w:i/>
                <w:color w:val="000000"/>
                <w:sz w:val="18"/>
                <w:szCs w:val="18"/>
              </w:rPr>
            </w:pPr>
            <w:r>
              <w:rPr>
                <w:rFonts w:ascii="Arial Narrow" w:hAnsi="Arial Narrow"/>
                <w:b/>
                <w:i/>
                <w:color w:val="000000"/>
                <w:sz w:val="18"/>
              </w:rPr>
              <w:t xml:space="preserve">380,12 </w:t>
            </w:r>
          </w:p>
        </w:tc>
        <w:tc>
          <w:tcPr>
            <w:tcW w:w="882" w:type="dxa"/>
            <w:tcBorders>
              <w:top w:val="single" w:sz="2" w:space="0" w:color="auto"/>
              <w:left w:val="nil"/>
              <w:bottom w:val="single" w:sz="2" w:space="0" w:color="auto"/>
              <w:right w:val="nil"/>
            </w:tcBorders>
            <w:vAlign w:val="center"/>
          </w:tcPr>
          <w:p w14:paraId="71C0B548" w14:textId="55C1DFA2" w:rsidR="00D52854" w:rsidRPr="00427D24" w:rsidRDefault="00D52854" w:rsidP="00D52854">
            <w:pPr>
              <w:spacing w:after="0"/>
              <w:ind w:firstLine="0"/>
              <w:jc w:val="right"/>
              <w:rPr>
                <w:rFonts w:ascii="Arial Narrow" w:hAnsi="Arial Narrow" w:cs="Calibri"/>
                <w:b/>
                <w:i/>
                <w:color w:val="000000"/>
                <w:sz w:val="18"/>
                <w:szCs w:val="18"/>
              </w:rPr>
            </w:pPr>
            <w:r>
              <w:rPr>
                <w:rFonts w:ascii="Arial Narrow" w:hAnsi="Arial Narrow"/>
                <w:b/>
                <w:i/>
                <w:color w:val="000000"/>
                <w:sz w:val="18"/>
              </w:rPr>
              <w:t xml:space="preserve">370,38 </w:t>
            </w:r>
          </w:p>
        </w:tc>
        <w:tc>
          <w:tcPr>
            <w:tcW w:w="882" w:type="dxa"/>
            <w:tcBorders>
              <w:top w:val="single" w:sz="2" w:space="0" w:color="auto"/>
              <w:left w:val="nil"/>
              <w:bottom w:val="single" w:sz="2" w:space="0" w:color="auto"/>
              <w:right w:val="nil"/>
            </w:tcBorders>
            <w:vAlign w:val="center"/>
          </w:tcPr>
          <w:p w14:paraId="09D2F3D1" w14:textId="74C2D70B" w:rsidR="00D52854" w:rsidRPr="00427D24" w:rsidRDefault="00D52854" w:rsidP="00D52854">
            <w:pPr>
              <w:spacing w:after="0"/>
              <w:ind w:firstLine="0"/>
              <w:jc w:val="right"/>
              <w:rPr>
                <w:rFonts w:ascii="Arial Narrow" w:hAnsi="Arial Narrow" w:cs="Calibri"/>
                <w:b/>
                <w:i/>
                <w:color w:val="000000"/>
                <w:sz w:val="18"/>
                <w:szCs w:val="18"/>
              </w:rPr>
            </w:pPr>
            <w:r>
              <w:rPr>
                <w:rFonts w:ascii="Arial Narrow" w:hAnsi="Arial Narrow"/>
                <w:b/>
                <w:i/>
                <w:color w:val="000000"/>
                <w:sz w:val="18"/>
              </w:rPr>
              <w:t xml:space="preserve">370,35 </w:t>
            </w:r>
          </w:p>
        </w:tc>
        <w:tc>
          <w:tcPr>
            <w:tcW w:w="882" w:type="dxa"/>
            <w:tcBorders>
              <w:top w:val="single" w:sz="2" w:space="0" w:color="auto"/>
              <w:left w:val="nil"/>
              <w:bottom w:val="single" w:sz="2" w:space="0" w:color="auto"/>
              <w:right w:val="nil"/>
            </w:tcBorders>
            <w:vAlign w:val="center"/>
          </w:tcPr>
          <w:p w14:paraId="3287C780" w14:textId="18C7EC1A" w:rsidR="00D52854" w:rsidRPr="00427D24" w:rsidRDefault="00D52854" w:rsidP="00D52854">
            <w:pPr>
              <w:spacing w:after="0"/>
              <w:ind w:firstLine="0"/>
              <w:jc w:val="right"/>
              <w:rPr>
                <w:rFonts w:ascii="Arial Narrow" w:hAnsi="Arial Narrow" w:cs="Calibri"/>
                <w:b/>
                <w:i/>
                <w:color w:val="000000"/>
                <w:sz w:val="18"/>
                <w:szCs w:val="18"/>
              </w:rPr>
            </w:pPr>
            <w:r>
              <w:rPr>
                <w:rFonts w:ascii="Arial Narrow" w:hAnsi="Arial Narrow"/>
                <w:b/>
                <w:i/>
                <w:color w:val="000000"/>
                <w:sz w:val="18"/>
              </w:rPr>
              <w:t>-9,76</w:t>
            </w:r>
          </w:p>
        </w:tc>
        <w:tc>
          <w:tcPr>
            <w:tcW w:w="882" w:type="dxa"/>
            <w:tcBorders>
              <w:top w:val="single" w:sz="2" w:space="0" w:color="auto"/>
              <w:left w:val="nil"/>
              <w:bottom w:val="single" w:sz="2" w:space="0" w:color="auto"/>
              <w:right w:val="nil"/>
            </w:tcBorders>
            <w:vAlign w:val="center"/>
          </w:tcPr>
          <w:p w14:paraId="1DFD58E3" w14:textId="48B9500D" w:rsidR="00D52854" w:rsidRPr="00427D24" w:rsidRDefault="00D52854" w:rsidP="00D52854">
            <w:pPr>
              <w:spacing w:after="0"/>
              <w:ind w:firstLine="0"/>
              <w:jc w:val="right"/>
              <w:rPr>
                <w:rFonts w:ascii="Arial Narrow" w:hAnsi="Arial Narrow" w:cs="Calibri"/>
                <w:b/>
                <w:i/>
                <w:color w:val="000000"/>
                <w:sz w:val="18"/>
                <w:szCs w:val="18"/>
              </w:rPr>
            </w:pPr>
            <w:r>
              <w:rPr>
                <w:rFonts w:ascii="Arial Narrow" w:hAnsi="Arial Narrow"/>
                <w:b/>
                <w:i/>
                <w:color w:val="000000"/>
                <w:sz w:val="18"/>
              </w:rPr>
              <w:t>-3</w:t>
            </w:r>
          </w:p>
        </w:tc>
        <w:tc>
          <w:tcPr>
            <w:tcW w:w="882" w:type="dxa"/>
            <w:tcBorders>
              <w:top w:val="single" w:sz="2" w:space="0" w:color="auto"/>
              <w:left w:val="nil"/>
              <w:bottom w:val="single" w:sz="2" w:space="0" w:color="auto"/>
              <w:right w:val="nil"/>
            </w:tcBorders>
            <w:vAlign w:val="center"/>
          </w:tcPr>
          <w:p w14:paraId="5F66FFFF" w14:textId="67549292" w:rsidR="00D52854" w:rsidRPr="00427D24" w:rsidRDefault="00D52854" w:rsidP="00D52854">
            <w:pPr>
              <w:spacing w:after="0"/>
              <w:ind w:firstLine="0"/>
              <w:jc w:val="right"/>
              <w:rPr>
                <w:rFonts w:ascii="Arial Narrow" w:hAnsi="Arial Narrow" w:cs="Calibri"/>
                <w:b/>
                <w:i/>
                <w:color w:val="000000"/>
                <w:sz w:val="18"/>
                <w:szCs w:val="18"/>
              </w:rPr>
            </w:pPr>
            <w:r>
              <w:rPr>
                <w:rFonts w:ascii="Arial Narrow" w:hAnsi="Arial Narrow"/>
                <w:b/>
                <w:i/>
                <w:color w:val="000000"/>
                <w:sz w:val="18"/>
              </w:rPr>
              <w:t>-0,03</w:t>
            </w:r>
          </w:p>
        </w:tc>
        <w:tc>
          <w:tcPr>
            <w:tcW w:w="883" w:type="dxa"/>
            <w:tcBorders>
              <w:top w:val="single" w:sz="2" w:space="0" w:color="auto"/>
              <w:left w:val="nil"/>
              <w:bottom w:val="single" w:sz="2" w:space="0" w:color="auto"/>
              <w:right w:val="nil"/>
            </w:tcBorders>
            <w:shd w:val="clear" w:color="auto" w:fill="auto"/>
            <w:vAlign w:val="center"/>
          </w:tcPr>
          <w:p w14:paraId="7BD0726E" w14:textId="77777777" w:rsidR="00D52854" w:rsidRPr="00427D24" w:rsidRDefault="00D52854" w:rsidP="00D52854">
            <w:pPr>
              <w:spacing w:after="0"/>
              <w:ind w:firstLine="0"/>
              <w:jc w:val="right"/>
              <w:rPr>
                <w:rFonts w:ascii="Arial Narrow" w:hAnsi="Arial Narrow" w:cs="Calibri"/>
                <w:b/>
                <w:bCs/>
                <w:i/>
                <w:color w:val="000000"/>
                <w:sz w:val="18"/>
                <w:szCs w:val="18"/>
              </w:rPr>
            </w:pPr>
            <w:r>
              <w:rPr>
                <w:rFonts w:ascii="Arial Narrow" w:hAnsi="Arial Narrow"/>
                <w:b/>
                <w:i/>
                <w:color w:val="000000"/>
                <w:sz w:val="18"/>
              </w:rPr>
              <w:t>0</w:t>
            </w:r>
          </w:p>
        </w:tc>
      </w:tr>
      <w:tr w:rsidR="00D52854" w:rsidRPr="00427D24" w14:paraId="16706198"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3FDF8D97" w14:textId="77777777" w:rsidR="00D52854" w:rsidRPr="00427D24" w:rsidRDefault="00D52854" w:rsidP="00D52854">
            <w:pPr>
              <w:spacing w:after="0"/>
              <w:ind w:firstLine="0"/>
              <w:jc w:val="left"/>
              <w:rPr>
                <w:rFonts w:ascii="Arial Narrow" w:hAnsi="Arial Narrow" w:cs="Calibri"/>
                <w:color w:val="000000"/>
                <w:sz w:val="18"/>
                <w:szCs w:val="18"/>
              </w:rPr>
            </w:pPr>
            <w:r>
              <w:rPr>
                <w:rFonts w:ascii="Arial Narrow" w:hAnsi="Arial Narrow"/>
                <w:color w:val="000000"/>
                <w:sz w:val="18"/>
              </w:rPr>
              <w:t>Arruntak - COVID</w:t>
            </w:r>
          </w:p>
        </w:tc>
        <w:tc>
          <w:tcPr>
            <w:tcW w:w="882" w:type="dxa"/>
            <w:tcBorders>
              <w:top w:val="single" w:sz="2" w:space="0" w:color="auto"/>
              <w:left w:val="nil"/>
              <w:bottom w:val="single" w:sz="2" w:space="0" w:color="auto"/>
              <w:right w:val="nil"/>
            </w:tcBorders>
            <w:vAlign w:val="center"/>
          </w:tcPr>
          <w:p w14:paraId="11AE096F" w14:textId="6FFF4D93"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0,00 </w:t>
            </w:r>
          </w:p>
        </w:tc>
        <w:tc>
          <w:tcPr>
            <w:tcW w:w="882" w:type="dxa"/>
            <w:tcBorders>
              <w:top w:val="single" w:sz="2" w:space="0" w:color="auto"/>
              <w:left w:val="nil"/>
              <w:bottom w:val="single" w:sz="2" w:space="0" w:color="auto"/>
              <w:right w:val="nil"/>
            </w:tcBorders>
            <w:vAlign w:val="center"/>
          </w:tcPr>
          <w:p w14:paraId="1B202061" w14:textId="09AD1B3A"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13,13 </w:t>
            </w:r>
          </w:p>
        </w:tc>
        <w:tc>
          <w:tcPr>
            <w:tcW w:w="882" w:type="dxa"/>
            <w:tcBorders>
              <w:top w:val="single" w:sz="2" w:space="0" w:color="auto"/>
              <w:left w:val="nil"/>
              <w:bottom w:val="single" w:sz="2" w:space="0" w:color="auto"/>
              <w:right w:val="nil"/>
            </w:tcBorders>
            <w:vAlign w:val="center"/>
          </w:tcPr>
          <w:p w14:paraId="50B27540" w14:textId="08F787C4"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0,75 </w:t>
            </w:r>
          </w:p>
        </w:tc>
        <w:tc>
          <w:tcPr>
            <w:tcW w:w="882" w:type="dxa"/>
            <w:tcBorders>
              <w:top w:val="single" w:sz="2" w:space="0" w:color="auto"/>
              <w:left w:val="nil"/>
              <w:bottom w:val="single" w:sz="2" w:space="0" w:color="auto"/>
              <w:right w:val="nil"/>
            </w:tcBorders>
            <w:vAlign w:val="center"/>
          </w:tcPr>
          <w:p w14:paraId="2985D318" w14:textId="0840DBD1"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0,75 </w:t>
            </w:r>
          </w:p>
        </w:tc>
        <w:tc>
          <w:tcPr>
            <w:tcW w:w="882" w:type="dxa"/>
            <w:tcBorders>
              <w:top w:val="single" w:sz="2" w:space="0" w:color="auto"/>
              <w:left w:val="nil"/>
              <w:bottom w:val="single" w:sz="2" w:space="0" w:color="auto"/>
              <w:right w:val="nil"/>
            </w:tcBorders>
            <w:vAlign w:val="center"/>
          </w:tcPr>
          <w:p w14:paraId="0E00034F" w14:textId="3B3D9347"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w:t>
            </w:r>
          </w:p>
        </w:tc>
        <w:tc>
          <w:tcPr>
            <w:tcW w:w="882" w:type="dxa"/>
            <w:tcBorders>
              <w:top w:val="single" w:sz="2" w:space="0" w:color="auto"/>
              <w:left w:val="nil"/>
              <w:bottom w:val="single" w:sz="2" w:space="0" w:color="auto"/>
              <w:right w:val="nil"/>
            </w:tcBorders>
            <w:vAlign w:val="center"/>
          </w:tcPr>
          <w:p w14:paraId="562EF8DE" w14:textId="1B47B8B6"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-12,38</w:t>
            </w:r>
          </w:p>
        </w:tc>
        <w:tc>
          <w:tcPr>
            <w:tcW w:w="883" w:type="dxa"/>
            <w:tcBorders>
              <w:top w:val="single" w:sz="2" w:space="0" w:color="auto"/>
              <w:left w:val="nil"/>
              <w:bottom w:val="single" w:sz="2" w:space="0" w:color="auto"/>
              <w:right w:val="nil"/>
            </w:tcBorders>
            <w:shd w:val="clear" w:color="auto" w:fill="auto"/>
            <w:vAlign w:val="center"/>
          </w:tcPr>
          <w:p w14:paraId="2FFD39E9" w14:textId="77777777"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-94</w:t>
            </w:r>
          </w:p>
        </w:tc>
      </w:tr>
      <w:tr w:rsidR="00D52854" w:rsidRPr="00427D24" w14:paraId="17ED30F1"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21DDA490" w14:textId="77777777" w:rsidR="00D52854" w:rsidRPr="00427D24" w:rsidRDefault="00D52854" w:rsidP="00D52854">
            <w:pPr>
              <w:spacing w:after="0"/>
              <w:ind w:firstLine="0"/>
              <w:jc w:val="left"/>
              <w:rPr>
                <w:rFonts w:ascii="Arial Narrow" w:hAnsi="Arial Narrow" w:cs="Calibri"/>
                <w:color w:val="000000"/>
                <w:sz w:val="18"/>
                <w:szCs w:val="18"/>
              </w:rPr>
            </w:pPr>
            <w:r>
              <w:rPr>
                <w:rFonts w:ascii="Arial Narrow" w:hAnsi="Arial Narrow"/>
                <w:color w:val="000000"/>
                <w:sz w:val="18"/>
              </w:rPr>
              <w:t>Kapitalekoak - COVID</w:t>
            </w:r>
          </w:p>
        </w:tc>
        <w:tc>
          <w:tcPr>
            <w:tcW w:w="882" w:type="dxa"/>
            <w:tcBorders>
              <w:top w:val="single" w:sz="2" w:space="0" w:color="auto"/>
              <w:left w:val="nil"/>
              <w:bottom w:val="single" w:sz="2" w:space="0" w:color="auto"/>
              <w:right w:val="nil"/>
            </w:tcBorders>
            <w:vAlign w:val="center"/>
          </w:tcPr>
          <w:p w14:paraId="685BF25F" w14:textId="3050009B"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0,00 </w:t>
            </w:r>
          </w:p>
        </w:tc>
        <w:tc>
          <w:tcPr>
            <w:tcW w:w="882" w:type="dxa"/>
            <w:tcBorders>
              <w:top w:val="single" w:sz="2" w:space="0" w:color="auto"/>
              <w:left w:val="nil"/>
              <w:bottom w:val="single" w:sz="2" w:space="0" w:color="auto"/>
              <w:right w:val="nil"/>
            </w:tcBorders>
            <w:vAlign w:val="center"/>
          </w:tcPr>
          <w:p w14:paraId="64AE348E" w14:textId="50FA3D96"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13,50 </w:t>
            </w:r>
          </w:p>
        </w:tc>
        <w:tc>
          <w:tcPr>
            <w:tcW w:w="882" w:type="dxa"/>
            <w:tcBorders>
              <w:top w:val="single" w:sz="2" w:space="0" w:color="auto"/>
              <w:left w:val="nil"/>
              <w:bottom w:val="single" w:sz="2" w:space="0" w:color="auto"/>
              <w:right w:val="nil"/>
            </w:tcBorders>
            <w:vAlign w:val="center"/>
          </w:tcPr>
          <w:p w14:paraId="0829A727" w14:textId="3A86E93A"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0,00 </w:t>
            </w:r>
          </w:p>
        </w:tc>
        <w:tc>
          <w:tcPr>
            <w:tcW w:w="882" w:type="dxa"/>
            <w:tcBorders>
              <w:top w:val="single" w:sz="2" w:space="0" w:color="auto"/>
              <w:left w:val="nil"/>
              <w:bottom w:val="single" w:sz="2" w:space="0" w:color="auto"/>
              <w:right w:val="nil"/>
            </w:tcBorders>
            <w:vAlign w:val="center"/>
          </w:tcPr>
          <w:p w14:paraId="53C757A0" w14:textId="4447E708"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0,00 </w:t>
            </w:r>
          </w:p>
        </w:tc>
        <w:tc>
          <w:tcPr>
            <w:tcW w:w="882" w:type="dxa"/>
            <w:tcBorders>
              <w:top w:val="single" w:sz="2" w:space="0" w:color="auto"/>
              <w:left w:val="nil"/>
              <w:bottom w:val="single" w:sz="2" w:space="0" w:color="auto"/>
              <w:right w:val="nil"/>
            </w:tcBorders>
            <w:vAlign w:val="center"/>
          </w:tcPr>
          <w:p w14:paraId="2179672C" w14:textId="1576E863"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w:t>
            </w:r>
          </w:p>
        </w:tc>
        <w:tc>
          <w:tcPr>
            <w:tcW w:w="882" w:type="dxa"/>
            <w:tcBorders>
              <w:top w:val="single" w:sz="2" w:space="0" w:color="auto"/>
              <w:left w:val="nil"/>
              <w:bottom w:val="single" w:sz="2" w:space="0" w:color="auto"/>
              <w:right w:val="nil"/>
            </w:tcBorders>
            <w:vAlign w:val="center"/>
          </w:tcPr>
          <w:p w14:paraId="5E11783E" w14:textId="318B9B08"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-13,50</w:t>
            </w:r>
          </w:p>
        </w:tc>
        <w:tc>
          <w:tcPr>
            <w:tcW w:w="883" w:type="dxa"/>
            <w:tcBorders>
              <w:top w:val="single" w:sz="2" w:space="0" w:color="auto"/>
              <w:left w:val="nil"/>
              <w:bottom w:val="single" w:sz="2" w:space="0" w:color="auto"/>
              <w:right w:val="nil"/>
            </w:tcBorders>
            <w:shd w:val="clear" w:color="auto" w:fill="auto"/>
            <w:vAlign w:val="center"/>
          </w:tcPr>
          <w:p w14:paraId="29E9CCDB" w14:textId="77777777" w:rsidR="00D52854" w:rsidRPr="00427D24" w:rsidRDefault="00D52854" w:rsidP="00D52854">
            <w:pPr>
              <w:spacing w:after="0"/>
              <w:ind w:firstLine="0"/>
              <w:jc w:val="right"/>
              <w:rPr>
                <w:rFonts w:ascii="Arial Narrow" w:hAnsi="Arial Narrow" w:cs="Calibri"/>
                <w:color w:val="000000"/>
                <w:sz w:val="18"/>
                <w:szCs w:val="18"/>
              </w:rPr>
            </w:pPr>
            <w:r>
              <w:rPr>
                <w:rFonts w:ascii="Arial Narrow" w:hAnsi="Arial Narrow"/>
                <w:color w:val="000000"/>
                <w:sz w:val="18"/>
              </w:rPr>
              <w:t>-100</w:t>
            </w:r>
          </w:p>
        </w:tc>
      </w:tr>
      <w:tr w:rsidR="00D52854" w:rsidRPr="00427D24" w14:paraId="57A93F54"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7F331367" w14:textId="77777777" w:rsidR="00D52854" w:rsidRPr="00427D24" w:rsidRDefault="00D52854" w:rsidP="00D52854">
            <w:pPr>
              <w:spacing w:after="0"/>
              <w:ind w:firstLine="0"/>
              <w:jc w:val="left"/>
              <w:rPr>
                <w:rFonts w:ascii="Arial Narrow" w:hAnsi="Arial Narrow" w:cs="Calibri"/>
                <w:b/>
                <w:bCs/>
                <w:i/>
                <w:color w:val="000000"/>
                <w:sz w:val="18"/>
                <w:szCs w:val="18"/>
              </w:rPr>
            </w:pPr>
            <w:r>
              <w:rPr>
                <w:rFonts w:ascii="Arial Narrow" w:hAnsi="Arial Narrow"/>
                <w:b/>
                <w:i/>
                <w:color w:val="000000"/>
                <w:sz w:val="18"/>
              </w:rPr>
              <w:t>Transferentziak, guztira (COVID)</w:t>
            </w:r>
          </w:p>
        </w:tc>
        <w:tc>
          <w:tcPr>
            <w:tcW w:w="882" w:type="dxa"/>
            <w:tcBorders>
              <w:top w:val="single" w:sz="2" w:space="0" w:color="auto"/>
              <w:left w:val="nil"/>
              <w:bottom w:val="single" w:sz="2" w:space="0" w:color="auto"/>
              <w:right w:val="nil"/>
            </w:tcBorders>
            <w:vAlign w:val="center"/>
          </w:tcPr>
          <w:p w14:paraId="5ABC9B19" w14:textId="08340C0F" w:rsidR="00D52854" w:rsidRPr="00427D24" w:rsidRDefault="00D52854" w:rsidP="00D52854">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0,00 </w:t>
            </w:r>
          </w:p>
        </w:tc>
        <w:tc>
          <w:tcPr>
            <w:tcW w:w="882" w:type="dxa"/>
            <w:tcBorders>
              <w:top w:val="single" w:sz="2" w:space="0" w:color="auto"/>
              <w:left w:val="nil"/>
              <w:bottom w:val="single" w:sz="2" w:space="0" w:color="auto"/>
              <w:right w:val="nil"/>
            </w:tcBorders>
            <w:vAlign w:val="center"/>
          </w:tcPr>
          <w:p w14:paraId="7CDBD508" w14:textId="2B198234" w:rsidR="00D52854" w:rsidRPr="00427D24" w:rsidRDefault="00D52854" w:rsidP="00D52854">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26,63 </w:t>
            </w:r>
          </w:p>
        </w:tc>
        <w:tc>
          <w:tcPr>
            <w:tcW w:w="882" w:type="dxa"/>
            <w:tcBorders>
              <w:top w:val="single" w:sz="2" w:space="0" w:color="auto"/>
              <w:left w:val="nil"/>
              <w:bottom w:val="single" w:sz="2" w:space="0" w:color="auto"/>
              <w:right w:val="nil"/>
            </w:tcBorders>
            <w:vAlign w:val="center"/>
          </w:tcPr>
          <w:p w14:paraId="3A94EB95" w14:textId="0A23074D" w:rsidR="00D52854" w:rsidRPr="00427D24" w:rsidRDefault="00D52854" w:rsidP="00D52854">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0,75 </w:t>
            </w:r>
          </w:p>
        </w:tc>
        <w:tc>
          <w:tcPr>
            <w:tcW w:w="882" w:type="dxa"/>
            <w:tcBorders>
              <w:top w:val="single" w:sz="2" w:space="0" w:color="auto"/>
              <w:left w:val="nil"/>
              <w:bottom w:val="single" w:sz="2" w:space="0" w:color="auto"/>
              <w:right w:val="nil"/>
            </w:tcBorders>
            <w:vAlign w:val="center"/>
          </w:tcPr>
          <w:p w14:paraId="15C7032E" w14:textId="0DBDE693" w:rsidR="00D52854" w:rsidRPr="00427D24" w:rsidRDefault="00D52854" w:rsidP="00D52854">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0,75 </w:t>
            </w:r>
          </w:p>
        </w:tc>
        <w:tc>
          <w:tcPr>
            <w:tcW w:w="882" w:type="dxa"/>
            <w:tcBorders>
              <w:top w:val="single" w:sz="2" w:space="0" w:color="auto"/>
              <w:left w:val="nil"/>
              <w:bottom w:val="single" w:sz="2" w:space="0" w:color="auto"/>
              <w:right w:val="nil"/>
            </w:tcBorders>
            <w:vAlign w:val="center"/>
          </w:tcPr>
          <w:p w14:paraId="0ED1C957" w14:textId="49434941" w:rsidR="00D52854" w:rsidRPr="00427D24" w:rsidRDefault="00D52854" w:rsidP="00D52854">
            <w:pPr>
              <w:spacing w:after="0"/>
              <w:ind w:firstLine="0"/>
              <w:jc w:val="right"/>
              <w:rPr>
                <w:rFonts w:ascii="Arial Narrow" w:hAnsi="Arial Narrow" w:cs="Calibri"/>
                <w:b/>
                <w:bCs/>
                <w:i/>
                <w:color w:val="000000"/>
                <w:sz w:val="18"/>
                <w:szCs w:val="18"/>
              </w:rPr>
            </w:pPr>
            <w:r>
              <w:rPr>
                <w:rFonts w:ascii="Arial Narrow" w:hAnsi="Arial Narrow"/>
                <w:b/>
                <w:i/>
                <w:color w:val="000000"/>
                <w:sz w:val="18"/>
              </w:rPr>
              <w:t>-</w:t>
            </w:r>
          </w:p>
        </w:tc>
        <w:tc>
          <w:tcPr>
            <w:tcW w:w="882" w:type="dxa"/>
            <w:tcBorders>
              <w:top w:val="single" w:sz="2" w:space="0" w:color="auto"/>
              <w:left w:val="nil"/>
              <w:bottom w:val="single" w:sz="2" w:space="0" w:color="auto"/>
              <w:right w:val="nil"/>
            </w:tcBorders>
            <w:vAlign w:val="center"/>
          </w:tcPr>
          <w:p w14:paraId="29C5CAE0" w14:textId="4977D8DA" w:rsidR="00D52854" w:rsidRPr="00427D24" w:rsidRDefault="00D52854" w:rsidP="00D52854">
            <w:pPr>
              <w:spacing w:after="0"/>
              <w:ind w:firstLine="0"/>
              <w:jc w:val="right"/>
              <w:rPr>
                <w:rFonts w:ascii="Arial Narrow" w:hAnsi="Arial Narrow" w:cs="Calibri"/>
                <w:b/>
                <w:bCs/>
                <w:i/>
                <w:color w:val="000000"/>
                <w:sz w:val="18"/>
                <w:szCs w:val="18"/>
              </w:rPr>
            </w:pPr>
            <w:r>
              <w:rPr>
                <w:rFonts w:ascii="Arial Narrow" w:hAnsi="Arial Narrow"/>
                <w:b/>
                <w:i/>
                <w:color w:val="000000"/>
                <w:sz w:val="18"/>
              </w:rPr>
              <w:t>-25,88</w:t>
            </w:r>
          </w:p>
        </w:tc>
        <w:tc>
          <w:tcPr>
            <w:tcW w:w="883" w:type="dxa"/>
            <w:tcBorders>
              <w:top w:val="single" w:sz="2" w:space="0" w:color="auto"/>
              <w:left w:val="nil"/>
              <w:bottom w:val="single" w:sz="2" w:space="0" w:color="auto"/>
              <w:right w:val="nil"/>
            </w:tcBorders>
            <w:shd w:val="clear" w:color="auto" w:fill="auto"/>
            <w:vAlign w:val="center"/>
          </w:tcPr>
          <w:p w14:paraId="7BDE0EB3" w14:textId="77777777" w:rsidR="00D52854" w:rsidRPr="00427D24" w:rsidRDefault="00D52854" w:rsidP="00D52854">
            <w:pPr>
              <w:spacing w:after="0"/>
              <w:ind w:firstLine="0"/>
              <w:jc w:val="right"/>
              <w:rPr>
                <w:rFonts w:ascii="Arial Narrow" w:hAnsi="Arial Narrow" w:cs="Calibri"/>
                <w:b/>
                <w:bCs/>
                <w:i/>
                <w:color w:val="000000"/>
                <w:sz w:val="18"/>
                <w:szCs w:val="18"/>
              </w:rPr>
            </w:pPr>
            <w:r>
              <w:rPr>
                <w:rFonts w:ascii="Arial Narrow" w:hAnsi="Arial Narrow"/>
                <w:b/>
                <w:i/>
                <w:color w:val="000000"/>
                <w:sz w:val="18"/>
              </w:rPr>
              <w:t>-97</w:t>
            </w:r>
          </w:p>
        </w:tc>
      </w:tr>
      <w:tr w:rsidR="00D52854" w:rsidRPr="00427D24" w14:paraId="7C223133" w14:textId="77777777" w:rsidTr="00D52854">
        <w:trPr>
          <w:trHeight w:val="255"/>
        </w:trPr>
        <w:tc>
          <w:tcPr>
            <w:tcW w:w="2552" w:type="dxa"/>
            <w:tcBorders>
              <w:top w:val="single" w:sz="4" w:space="0" w:color="000000"/>
              <w:left w:val="nil"/>
              <w:bottom w:val="single" w:sz="4" w:space="0" w:color="000000"/>
              <w:right w:val="nil"/>
            </w:tcBorders>
            <w:shd w:val="clear" w:color="auto" w:fill="FABF8F" w:themeFill="accent6" w:themeFillTint="99"/>
            <w:vAlign w:val="center"/>
          </w:tcPr>
          <w:p w14:paraId="4AEDBF7E" w14:textId="77777777" w:rsidR="00D52854" w:rsidRPr="00427D24" w:rsidRDefault="00D52854" w:rsidP="00D52854">
            <w:pPr>
              <w:spacing w:after="0"/>
              <w:ind w:firstLine="0"/>
              <w:jc w:val="left"/>
              <w:rPr>
                <w:rFonts w:ascii="Arial" w:hAnsi="Arial" w:cs="Arial"/>
                <w:bCs/>
                <w:color w:val="000000"/>
                <w:sz w:val="16"/>
                <w:szCs w:val="16"/>
              </w:rPr>
            </w:pPr>
            <w:r>
              <w:rPr>
                <w:rFonts w:ascii="Arial" w:hAnsi="Arial"/>
                <w:color w:val="000000"/>
                <w:sz w:val="16"/>
              </w:rPr>
              <w:t xml:space="preserve">Guztira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08323B93" w14:textId="4FBF5571"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 xml:space="preserve">380,12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4C6453F3" w14:textId="0CA4CF26"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 xml:space="preserve">397,01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789AEAE3" w14:textId="18889FBA"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 xml:space="preserve">371,10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419BE567" w14:textId="355E10C4"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-9,02</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14BC7E4E" w14:textId="74B5F3FC"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-2</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4AEDF238" w14:textId="2125C8FA" w:rsidR="00D52854" w:rsidRPr="00427D24" w:rsidRDefault="00D52854" w:rsidP="00D52854">
            <w:pPr>
              <w:spacing w:after="0"/>
              <w:ind w:firstLine="0"/>
              <w:jc w:val="right"/>
              <w:rPr>
                <w:rFonts w:ascii="Arial" w:hAnsi="Arial" w:cs="Arial"/>
                <w:color w:val="000000"/>
                <w:sz w:val="16"/>
                <w:szCs w:val="16"/>
              </w:rPr>
            </w:pPr>
            <w:r>
              <w:rPr>
                <w:rFonts w:ascii="Arial" w:hAnsi="Arial"/>
                <w:color w:val="000000"/>
                <w:sz w:val="16"/>
              </w:rPr>
              <w:t>-25,91</w:t>
            </w:r>
          </w:p>
        </w:tc>
        <w:tc>
          <w:tcPr>
            <w:tcW w:w="883" w:type="dxa"/>
            <w:tcBorders>
              <w:top w:val="single" w:sz="4" w:space="0" w:color="000000"/>
              <w:left w:val="nil"/>
              <w:bottom w:val="single" w:sz="4" w:space="0" w:color="000000"/>
              <w:right w:val="nil"/>
            </w:tcBorders>
            <w:shd w:val="clear" w:color="auto" w:fill="FABF8F" w:themeFill="accent6" w:themeFillTint="99"/>
            <w:vAlign w:val="center"/>
          </w:tcPr>
          <w:p w14:paraId="0C950A35" w14:textId="77777777" w:rsidR="00D52854" w:rsidRPr="00427D24" w:rsidRDefault="00D52854" w:rsidP="00D52854">
            <w:pPr>
              <w:spacing w:after="0"/>
              <w:ind w:firstLine="0"/>
              <w:jc w:val="right"/>
              <w:rPr>
                <w:rFonts w:ascii="Arial" w:hAnsi="Arial" w:cs="Arial"/>
                <w:bCs/>
                <w:color w:val="000000"/>
                <w:sz w:val="16"/>
                <w:szCs w:val="16"/>
              </w:rPr>
            </w:pPr>
            <w:r>
              <w:rPr>
                <w:rFonts w:ascii="Arial" w:hAnsi="Arial"/>
                <w:color w:val="000000"/>
                <w:sz w:val="16"/>
              </w:rPr>
              <w:t>-7</w:t>
            </w:r>
          </w:p>
        </w:tc>
      </w:tr>
    </w:tbl>
    <w:p w14:paraId="1F3B1409" w14:textId="77777777" w:rsidR="00F419E5" w:rsidRPr="00033257" w:rsidRDefault="00F419E5" w:rsidP="004A3B35">
      <w:pPr>
        <w:pStyle w:val="texto"/>
        <w:spacing w:after="120"/>
        <w:rPr>
          <w:color w:val="000000" w:themeColor="text1"/>
        </w:rPr>
      </w:pPr>
    </w:p>
    <w:p w14:paraId="77062955" w14:textId="43C163EF" w:rsidR="00F419E5" w:rsidRPr="00033257" w:rsidRDefault="004A3B35" w:rsidP="00F419E5">
      <w:pPr>
        <w:pStyle w:val="texto"/>
        <w:spacing w:after="120"/>
        <w:rPr>
          <w:color w:val="000000" w:themeColor="text1"/>
        </w:rPr>
      </w:pPr>
      <w:r>
        <w:rPr>
          <w:color w:val="000000" w:themeColor="text1"/>
        </w:rPr>
        <w:t>Toki-entitateei Nafarroako Aurrekontu Orokorren kargura egindako transferentzien guztizkoa ehuneko zazpi murriztu da 2020ko datuekin alderatuta; izan ere, ekitaldi horretan, COVID-19aren pandemiaren ondorioak arintzeko ezohiko transferentziak egin ziren (26,63 milioi euro), eta 2021ean, berriz, laguntza horiek 0,75 milioira murriztu dira.</w:t>
      </w:r>
    </w:p>
    <w:p w14:paraId="0ED49721" w14:textId="724DC03E" w:rsidR="004A3B35" w:rsidRPr="00033257" w:rsidRDefault="00637653" w:rsidP="00F419E5">
      <w:pPr>
        <w:pStyle w:val="texto"/>
        <w:spacing w:after="120"/>
        <w:rPr>
          <w:color w:val="000000" w:themeColor="text1"/>
        </w:rPr>
      </w:pPr>
      <w:r>
        <w:rPr>
          <w:color w:val="000000" w:themeColor="text1"/>
        </w:rPr>
        <w:t>Hain zuzen ere, 2021eko COVID-19ari lotu gabeko transferentzien guztizko zenbatekoa aurreko ekitaldikoaren antzekoa da, baina osaera aldatu da:</w:t>
      </w:r>
    </w:p>
    <w:p w14:paraId="7F83A8B8" w14:textId="3263B680" w:rsidR="004A3B35" w:rsidRPr="00033257" w:rsidRDefault="56FC82D2"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Transferentzia arruntak ehuneko sei igo dira, batez ere toki ogasunek Nafarroako tributuetan duten parte-hartzearen funtsa 16,3 milioi handitu delako. Horietatik, 12,8 milioi toki-entitateei egindako konpentsazioari dagozkio, milioi bat eta 3,7 milioi euro baino gutxiagoko negozio zifra duten subjektu pasiboentzako ekonomia jardueren gaineko zergaren salbuespenaren ondoriozko bilketa galerarengatik, Iruñerriko Mankomunitateari garraio publikorako egindako ekarpenaren gehikuntzari dagokionez.</w:t>
      </w:r>
    </w:p>
    <w:p w14:paraId="6C7A6DB2" w14:textId="42462F13" w:rsidR="004A3B35" w:rsidRPr="00033257" w:rsidRDefault="56FC82D2"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Aldiz, kapital-transferentziak ehuneko 39 jaitsi dira aurreko ekitaldiarekin alderatuta, eta ehuneko 61 2019arekin alderatuta, nagusiki 2021. urtea 2017-</w:t>
      </w:r>
      <w:r>
        <w:rPr>
          <w:color w:val="000000" w:themeColor="text1"/>
        </w:rPr>
        <w:lastRenderedPageBreak/>
        <w:t xml:space="preserve">2019 aldirako Tokiko Inbertsioen Planaren luzapenaren bigarren urtea izan zelako eta 2019an mota horretako transferentzia asko egin zirelako, urriaren 10eko 19/2018 Foru Legearen bidez onetsitako Inbertsio Finantzarioki Jasangarriei buruzko Planaren ondorioz. </w:t>
      </w:r>
    </w:p>
    <w:p w14:paraId="3B7C0659" w14:textId="77777777" w:rsidR="00F07241" w:rsidRPr="00033257" w:rsidRDefault="004A3B35" w:rsidP="004D3E9C">
      <w:pPr>
        <w:pStyle w:val="texto"/>
        <w:spacing w:after="120"/>
        <w:rPr>
          <w:color w:val="000000" w:themeColor="text1"/>
        </w:rPr>
      </w:pPr>
      <w:r>
        <w:rPr>
          <w:color w:val="000000" w:themeColor="text1"/>
        </w:rPr>
        <w:t>Hurrengo taulan, transferentzia arruntengatik eta COVID-19ari lotu gabeko kapital-transferentziengatik Nafarroako Aurrekontu Nagusien kargura aitortutako betebehar garbien (ABG) sailkapen funtzionala erakusten da:</w:t>
      </w:r>
    </w:p>
    <w:p w14:paraId="21255D3D" w14:textId="67202222" w:rsidR="00F419E5" w:rsidRPr="00033257" w:rsidRDefault="001D196E" w:rsidP="00F419E5">
      <w:pPr>
        <w:pStyle w:val="texto"/>
        <w:spacing w:after="0"/>
        <w:jc w:val="right"/>
        <w:rPr>
          <w:rFonts w:ascii="Arial Narrow" w:hAnsi="Arial Narrow"/>
          <w:color w:val="000000" w:themeColor="text1"/>
          <w:sz w:val="18"/>
          <w:szCs w:val="18"/>
        </w:rPr>
      </w:pPr>
      <w:r>
        <w:rPr>
          <w:rFonts w:ascii="Arial Narrow" w:hAnsi="Arial Narrow"/>
          <w:color w:val="000000" w:themeColor="text1"/>
          <w:sz w:val="18"/>
        </w:rPr>
        <w:t>(milioiak)</w:t>
      </w:r>
    </w:p>
    <w:tbl>
      <w:tblPr>
        <w:tblW w:w="8869" w:type="dxa"/>
        <w:tblCellMar>
          <w:left w:w="70" w:type="dxa"/>
          <w:right w:w="70" w:type="dxa"/>
        </w:tblCellMar>
        <w:tblLook w:val="04A0" w:firstRow="1" w:lastRow="0" w:firstColumn="1" w:lastColumn="0" w:noHBand="0" w:noVBand="1"/>
      </w:tblPr>
      <w:tblGrid>
        <w:gridCol w:w="2694"/>
        <w:gridCol w:w="882"/>
        <w:gridCol w:w="882"/>
        <w:gridCol w:w="882"/>
        <w:gridCol w:w="882"/>
        <w:gridCol w:w="882"/>
        <w:gridCol w:w="882"/>
        <w:gridCol w:w="883"/>
      </w:tblGrid>
      <w:tr w:rsidR="009923A5" w:rsidRPr="004D3E9C" w14:paraId="4C5A7E81" w14:textId="77777777" w:rsidTr="009923A5">
        <w:trPr>
          <w:trHeight w:val="255"/>
        </w:trPr>
        <w:tc>
          <w:tcPr>
            <w:tcW w:w="2694" w:type="dxa"/>
            <w:tcBorders>
              <w:top w:val="single" w:sz="4" w:space="0" w:color="auto"/>
              <w:left w:val="nil"/>
              <w:bottom w:val="single" w:sz="2" w:space="0" w:color="auto"/>
              <w:right w:val="nil"/>
            </w:tcBorders>
            <w:shd w:val="clear" w:color="auto" w:fill="FABF8F" w:themeFill="accent6" w:themeFillTint="99"/>
            <w:vAlign w:val="center"/>
          </w:tcPr>
          <w:p w14:paraId="06D93C29" w14:textId="77777777" w:rsidR="009923A5" w:rsidRPr="0004039F" w:rsidRDefault="009923A5" w:rsidP="00D52854">
            <w:pPr>
              <w:spacing w:after="0"/>
              <w:ind w:firstLine="0"/>
              <w:jc w:val="left"/>
              <w:rPr>
                <w:rFonts w:ascii="Arial" w:hAnsi="Arial" w:cs="Arial"/>
                <w:color w:val="000000"/>
                <w:sz w:val="16"/>
                <w:szCs w:val="16"/>
              </w:rPr>
            </w:pPr>
            <w:r>
              <w:rPr>
                <w:rFonts w:ascii="Arial" w:hAnsi="Arial"/>
                <w:color w:val="000000"/>
                <w:sz w:val="16"/>
              </w:rPr>
              <w:t xml:space="preserve">COVID-ari lotu gabeko transferentzien </w:t>
            </w:r>
          </w:p>
          <w:p w14:paraId="65074CF2" w14:textId="77777777" w:rsidR="009923A5" w:rsidRPr="004D3E9C" w:rsidRDefault="009923A5" w:rsidP="00D52854">
            <w:pPr>
              <w:spacing w:after="0"/>
              <w:ind w:firstLine="0"/>
              <w:jc w:val="left"/>
              <w:rPr>
                <w:rFonts w:ascii="Arial" w:hAnsi="Arial" w:cs="Arial"/>
                <w:color w:val="000000"/>
                <w:sz w:val="16"/>
                <w:szCs w:val="16"/>
              </w:rPr>
            </w:pPr>
            <w:r>
              <w:rPr>
                <w:rFonts w:ascii="Arial" w:hAnsi="Arial"/>
                <w:color w:val="000000"/>
                <w:sz w:val="16"/>
              </w:rPr>
              <w:t>sailkapen funtzionala</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24F1F758" w14:textId="4E9E3A3E"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2019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528DBAB5" w14:textId="07C0D271"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2020</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673756FA" w14:textId="7D201334"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2021</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0EB56768" w14:textId="1BD03FE3" w:rsidR="009923A5" w:rsidRPr="004D3E9C" w:rsidRDefault="009923A5" w:rsidP="00D52854">
            <w:pPr>
              <w:pStyle w:val="cuadroCabe"/>
              <w:spacing w:line="240" w:lineRule="auto"/>
              <w:jc w:val="right"/>
              <w:rPr>
                <w:rFonts w:cs="Arial"/>
                <w:sz w:val="16"/>
                <w:szCs w:val="16"/>
              </w:rPr>
            </w:pPr>
            <w:r>
              <w:rPr>
                <w:sz w:val="16"/>
              </w:rPr>
              <w:t>Ald. abs. 2021/19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604CAC76" w14:textId="1F2FB5B1" w:rsidR="009923A5" w:rsidRPr="004D3E9C" w:rsidRDefault="009923A5" w:rsidP="00D52854">
            <w:pPr>
              <w:pStyle w:val="cuadroCabe"/>
              <w:spacing w:line="240" w:lineRule="auto"/>
              <w:jc w:val="right"/>
              <w:rPr>
                <w:rFonts w:cs="Arial"/>
                <w:sz w:val="16"/>
                <w:szCs w:val="16"/>
              </w:rPr>
            </w:pPr>
            <w:r>
              <w:rPr>
                <w:sz w:val="16"/>
              </w:rPr>
              <w:t>2021/19 ald. (%)</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2FBFA879" w14:textId="7DE67F7A" w:rsidR="009923A5" w:rsidRPr="004D3E9C" w:rsidRDefault="009923A5" w:rsidP="00D52854">
            <w:pPr>
              <w:pStyle w:val="cuadroCabe"/>
              <w:spacing w:line="240" w:lineRule="auto"/>
              <w:jc w:val="right"/>
              <w:rPr>
                <w:rFonts w:cs="Arial"/>
                <w:sz w:val="16"/>
                <w:szCs w:val="16"/>
              </w:rPr>
            </w:pPr>
            <w:r>
              <w:rPr>
                <w:sz w:val="16"/>
              </w:rPr>
              <w:t>Ald. abs. 2021/20</w:t>
            </w:r>
          </w:p>
        </w:tc>
        <w:tc>
          <w:tcPr>
            <w:tcW w:w="883" w:type="dxa"/>
            <w:tcBorders>
              <w:top w:val="single" w:sz="4" w:space="0" w:color="auto"/>
              <w:left w:val="nil"/>
              <w:bottom w:val="single" w:sz="2" w:space="0" w:color="auto"/>
              <w:right w:val="nil"/>
            </w:tcBorders>
            <w:shd w:val="clear" w:color="auto" w:fill="FABF8F" w:themeFill="accent6" w:themeFillTint="99"/>
            <w:vAlign w:val="center"/>
          </w:tcPr>
          <w:p w14:paraId="5BD397F3" w14:textId="6FCC4A9E" w:rsidR="009923A5" w:rsidRPr="004D3E9C" w:rsidRDefault="009923A5" w:rsidP="00D52854">
            <w:pPr>
              <w:pStyle w:val="cuadroCabe"/>
              <w:spacing w:line="240" w:lineRule="auto"/>
              <w:jc w:val="right"/>
              <w:rPr>
                <w:rFonts w:cs="Arial"/>
                <w:sz w:val="16"/>
                <w:szCs w:val="16"/>
              </w:rPr>
            </w:pPr>
            <w:r>
              <w:rPr>
                <w:sz w:val="16"/>
              </w:rPr>
              <w:t>2021/20 ald. (%)</w:t>
            </w:r>
          </w:p>
        </w:tc>
      </w:tr>
      <w:tr w:rsidR="009923A5" w:rsidRPr="004D3E9C" w14:paraId="02FC4F4D"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7F647F09" w14:textId="39815FFD" w:rsidR="009923A5" w:rsidRPr="004D3E9C" w:rsidRDefault="009923A5" w:rsidP="00D52854">
            <w:pPr>
              <w:spacing w:after="0"/>
              <w:ind w:firstLine="0"/>
              <w:jc w:val="left"/>
              <w:rPr>
                <w:rFonts w:ascii="Arial Narrow" w:hAnsi="Arial Narrow" w:cs="Calibri"/>
                <w:color w:val="000000"/>
                <w:sz w:val="18"/>
                <w:szCs w:val="18"/>
              </w:rPr>
            </w:pPr>
            <w:r>
              <w:rPr>
                <w:rFonts w:ascii="Arial Narrow" w:hAnsi="Arial Narrow"/>
                <w:color w:val="000000"/>
                <w:sz w:val="18"/>
              </w:rPr>
              <w:t>94. Transferentziak beste adm. batzuei</w:t>
            </w:r>
          </w:p>
        </w:tc>
        <w:tc>
          <w:tcPr>
            <w:tcW w:w="882" w:type="dxa"/>
            <w:tcBorders>
              <w:top w:val="single" w:sz="2" w:space="0" w:color="auto"/>
              <w:left w:val="nil"/>
              <w:bottom w:val="single" w:sz="2" w:space="0" w:color="auto"/>
              <w:right w:val="nil"/>
            </w:tcBorders>
            <w:vAlign w:val="center"/>
          </w:tcPr>
          <w:p w14:paraId="3C47CDA9" w14:textId="272D3038"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244,98 </w:t>
            </w:r>
          </w:p>
        </w:tc>
        <w:tc>
          <w:tcPr>
            <w:tcW w:w="882" w:type="dxa"/>
            <w:tcBorders>
              <w:top w:val="single" w:sz="2" w:space="0" w:color="auto"/>
              <w:left w:val="nil"/>
              <w:bottom w:val="single" w:sz="2" w:space="0" w:color="auto"/>
              <w:right w:val="nil"/>
            </w:tcBorders>
            <w:vAlign w:val="center"/>
          </w:tcPr>
          <w:p w14:paraId="25206AE3" w14:textId="0B55E57D"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254,14 </w:t>
            </w:r>
          </w:p>
        </w:tc>
        <w:tc>
          <w:tcPr>
            <w:tcW w:w="882" w:type="dxa"/>
            <w:tcBorders>
              <w:top w:val="single" w:sz="2" w:space="0" w:color="auto"/>
              <w:left w:val="nil"/>
              <w:bottom w:val="single" w:sz="2" w:space="0" w:color="auto"/>
              <w:right w:val="nil"/>
            </w:tcBorders>
            <w:vAlign w:val="center"/>
          </w:tcPr>
          <w:p w14:paraId="2A8E699D" w14:textId="2240A5AC"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270,55 </w:t>
            </w:r>
          </w:p>
        </w:tc>
        <w:tc>
          <w:tcPr>
            <w:tcW w:w="882" w:type="dxa"/>
            <w:tcBorders>
              <w:top w:val="single" w:sz="2" w:space="0" w:color="auto"/>
              <w:left w:val="nil"/>
              <w:bottom w:val="single" w:sz="2" w:space="0" w:color="auto"/>
              <w:right w:val="nil"/>
            </w:tcBorders>
            <w:vAlign w:val="center"/>
          </w:tcPr>
          <w:p w14:paraId="0DC5CA12" w14:textId="045A130F"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25,57 </w:t>
            </w:r>
          </w:p>
        </w:tc>
        <w:tc>
          <w:tcPr>
            <w:tcW w:w="882" w:type="dxa"/>
            <w:tcBorders>
              <w:top w:val="single" w:sz="2" w:space="0" w:color="auto"/>
              <w:left w:val="nil"/>
              <w:bottom w:val="single" w:sz="2" w:space="0" w:color="auto"/>
              <w:right w:val="nil"/>
            </w:tcBorders>
            <w:vAlign w:val="center"/>
          </w:tcPr>
          <w:p w14:paraId="77E5BBE0" w14:textId="0E99CC11"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10</w:t>
            </w:r>
          </w:p>
        </w:tc>
        <w:tc>
          <w:tcPr>
            <w:tcW w:w="882" w:type="dxa"/>
            <w:tcBorders>
              <w:top w:val="single" w:sz="2" w:space="0" w:color="auto"/>
              <w:left w:val="nil"/>
              <w:bottom w:val="single" w:sz="2" w:space="0" w:color="auto"/>
              <w:right w:val="nil"/>
            </w:tcBorders>
            <w:vAlign w:val="center"/>
          </w:tcPr>
          <w:p w14:paraId="70AFC327" w14:textId="78812718"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16,41 </w:t>
            </w:r>
          </w:p>
        </w:tc>
        <w:tc>
          <w:tcPr>
            <w:tcW w:w="883" w:type="dxa"/>
            <w:tcBorders>
              <w:top w:val="single" w:sz="2" w:space="0" w:color="auto"/>
              <w:left w:val="nil"/>
              <w:bottom w:val="single" w:sz="2" w:space="0" w:color="auto"/>
              <w:right w:val="nil"/>
            </w:tcBorders>
            <w:shd w:val="clear" w:color="auto" w:fill="auto"/>
            <w:vAlign w:val="center"/>
          </w:tcPr>
          <w:p w14:paraId="1D3DECFD" w14:textId="37BFC90B"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6</w:t>
            </w:r>
          </w:p>
        </w:tc>
      </w:tr>
      <w:tr w:rsidR="009923A5" w:rsidRPr="004D3E9C" w14:paraId="40AF0D94"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10196606" w14:textId="77777777" w:rsidR="009923A5" w:rsidRPr="004D3E9C" w:rsidRDefault="009923A5" w:rsidP="00D52854">
            <w:pPr>
              <w:spacing w:after="0"/>
              <w:ind w:firstLine="0"/>
              <w:rPr>
                <w:rFonts w:ascii="Arial Narrow" w:hAnsi="Arial Narrow" w:cs="Calibri"/>
                <w:color w:val="000000"/>
                <w:sz w:val="18"/>
                <w:szCs w:val="18"/>
              </w:rPr>
            </w:pPr>
            <w:r>
              <w:rPr>
                <w:rFonts w:ascii="Arial Narrow" w:hAnsi="Arial Narrow"/>
                <w:color w:val="000000"/>
                <w:sz w:val="18"/>
              </w:rPr>
              <w:t>23. Gizarte zerbitzuak eta sustapena</w:t>
            </w:r>
          </w:p>
        </w:tc>
        <w:tc>
          <w:tcPr>
            <w:tcW w:w="882" w:type="dxa"/>
            <w:tcBorders>
              <w:top w:val="single" w:sz="2" w:space="0" w:color="auto"/>
              <w:left w:val="nil"/>
              <w:bottom w:val="single" w:sz="2" w:space="0" w:color="auto"/>
              <w:right w:val="nil"/>
            </w:tcBorders>
            <w:vAlign w:val="center"/>
          </w:tcPr>
          <w:p w14:paraId="6BB464F8" w14:textId="0B9FAA11"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23,15 </w:t>
            </w:r>
          </w:p>
        </w:tc>
        <w:tc>
          <w:tcPr>
            <w:tcW w:w="882" w:type="dxa"/>
            <w:tcBorders>
              <w:top w:val="single" w:sz="2" w:space="0" w:color="auto"/>
              <w:left w:val="nil"/>
              <w:bottom w:val="single" w:sz="2" w:space="0" w:color="auto"/>
              <w:right w:val="nil"/>
            </w:tcBorders>
            <w:vAlign w:val="center"/>
          </w:tcPr>
          <w:p w14:paraId="1883BC22" w14:textId="795194DE"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26,18 </w:t>
            </w:r>
          </w:p>
        </w:tc>
        <w:tc>
          <w:tcPr>
            <w:tcW w:w="882" w:type="dxa"/>
            <w:tcBorders>
              <w:top w:val="single" w:sz="2" w:space="0" w:color="auto"/>
              <w:left w:val="nil"/>
              <w:bottom w:val="single" w:sz="2" w:space="0" w:color="auto"/>
              <w:right w:val="nil"/>
            </w:tcBorders>
            <w:vAlign w:val="center"/>
          </w:tcPr>
          <w:p w14:paraId="4C408197" w14:textId="67B1512B"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27,21 </w:t>
            </w:r>
          </w:p>
        </w:tc>
        <w:tc>
          <w:tcPr>
            <w:tcW w:w="882" w:type="dxa"/>
            <w:tcBorders>
              <w:top w:val="single" w:sz="2" w:space="0" w:color="auto"/>
              <w:left w:val="nil"/>
              <w:bottom w:val="single" w:sz="2" w:space="0" w:color="auto"/>
              <w:right w:val="nil"/>
            </w:tcBorders>
            <w:vAlign w:val="center"/>
          </w:tcPr>
          <w:p w14:paraId="245689BB" w14:textId="3D3662B2"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4,06 </w:t>
            </w:r>
          </w:p>
        </w:tc>
        <w:tc>
          <w:tcPr>
            <w:tcW w:w="882" w:type="dxa"/>
            <w:tcBorders>
              <w:top w:val="single" w:sz="2" w:space="0" w:color="auto"/>
              <w:left w:val="nil"/>
              <w:bottom w:val="single" w:sz="2" w:space="0" w:color="auto"/>
              <w:right w:val="nil"/>
            </w:tcBorders>
            <w:vAlign w:val="center"/>
          </w:tcPr>
          <w:p w14:paraId="26EE82D5" w14:textId="6A751B2E"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18</w:t>
            </w:r>
          </w:p>
        </w:tc>
        <w:tc>
          <w:tcPr>
            <w:tcW w:w="882" w:type="dxa"/>
            <w:tcBorders>
              <w:top w:val="single" w:sz="2" w:space="0" w:color="auto"/>
              <w:left w:val="nil"/>
              <w:bottom w:val="single" w:sz="2" w:space="0" w:color="auto"/>
              <w:right w:val="nil"/>
            </w:tcBorders>
            <w:vAlign w:val="center"/>
          </w:tcPr>
          <w:p w14:paraId="7D65C8A7" w14:textId="43656813"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1,03 </w:t>
            </w:r>
          </w:p>
        </w:tc>
        <w:tc>
          <w:tcPr>
            <w:tcW w:w="883" w:type="dxa"/>
            <w:tcBorders>
              <w:top w:val="single" w:sz="2" w:space="0" w:color="auto"/>
              <w:left w:val="nil"/>
              <w:bottom w:val="single" w:sz="2" w:space="0" w:color="auto"/>
              <w:right w:val="nil"/>
            </w:tcBorders>
            <w:shd w:val="clear" w:color="auto" w:fill="auto"/>
            <w:vAlign w:val="center"/>
          </w:tcPr>
          <w:p w14:paraId="17310F6F" w14:textId="68258FDB"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4</w:t>
            </w:r>
          </w:p>
        </w:tc>
      </w:tr>
      <w:tr w:rsidR="009923A5" w:rsidRPr="004D3E9C" w14:paraId="529BFFD2"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5FE3E699" w14:textId="77777777" w:rsidR="009923A5" w:rsidRPr="004D3E9C" w:rsidRDefault="009923A5" w:rsidP="00D52854">
            <w:pPr>
              <w:spacing w:after="0"/>
              <w:ind w:firstLine="0"/>
              <w:rPr>
                <w:rFonts w:ascii="Arial Narrow" w:hAnsi="Arial Narrow" w:cs="Calibri"/>
                <w:color w:val="000000"/>
                <w:sz w:val="18"/>
                <w:szCs w:val="18"/>
              </w:rPr>
            </w:pPr>
            <w:r>
              <w:rPr>
                <w:rFonts w:ascii="Arial Narrow" w:hAnsi="Arial Narrow"/>
                <w:color w:val="000000"/>
                <w:sz w:val="18"/>
              </w:rPr>
              <w:t>32. Hezkuntza</w:t>
            </w:r>
          </w:p>
        </w:tc>
        <w:tc>
          <w:tcPr>
            <w:tcW w:w="882" w:type="dxa"/>
            <w:tcBorders>
              <w:top w:val="single" w:sz="2" w:space="0" w:color="auto"/>
              <w:left w:val="nil"/>
              <w:bottom w:val="single" w:sz="2" w:space="0" w:color="auto"/>
              <w:right w:val="nil"/>
            </w:tcBorders>
            <w:vAlign w:val="center"/>
          </w:tcPr>
          <w:p w14:paraId="44862F16" w14:textId="074BF9DD"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27,22 </w:t>
            </w:r>
          </w:p>
        </w:tc>
        <w:tc>
          <w:tcPr>
            <w:tcW w:w="882" w:type="dxa"/>
            <w:tcBorders>
              <w:top w:val="single" w:sz="2" w:space="0" w:color="auto"/>
              <w:left w:val="nil"/>
              <w:bottom w:val="single" w:sz="2" w:space="0" w:color="auto"/>
              <w:right w:val="nil"/>
            </w:tcBorders>
            <w:vAlign w:val="center"/>
          </w:tcPr>
          <w:p w14:paraId="5DF3C42A" w14:textId="49C90C26"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29,61 </w:t>
            </w:r>
          </w:p>
        </w:tc>
        <w:tc>
          <w:tcPr>
            <w:tcW w:w="882" w:type="dxa"/>
            <w:tcBorders>
              <w:top w:val="single" w:sz="2" w:space="0" w:color="auto"/>
              <w:left w:val="nil"/>
              <w:bottom w:val="single" w:sz="2" w:space="0" w:color="auto"/>
              <w:right w:val="nil"/>
            </w:tcBorders>
            <w:vAlign w:val="center"/>
          </w:tcPr>
          <w:p w14:paraId="52344C9C" w14:textId="10D53235"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24,30 </w:t>
            </w:r>
          </w:p>
        </w:tc>
        <w:tc>
          <w:tcPr>
            <w:tcW w:w="882" w:type="dxa"/>
            <w:tcBorders>
              <w:top w:val="single" w:sz="2" w:space="0" w:color="auto"/>
              <w:left w:val="nil"/>
              <w:bottom w:val="single" w:sz="2" w:space="0" w:color="auto"/>
              <w:right w:val="nil"/>
            </w:tcBorders>
            <w:vAlign w:val="center"/>
          </w:tcPr>
          <w:p w14:paraId="41FAB9DD" w14:textId="29A0AFB8"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- 2,92 </w:t>
            </w:r>
          </w:p>
        </w:tc>
        <w:tc>
          <w:tcPr>
            <w:tcW w:w="882" w:type="dxa"/>
            <w:tcBorders>
              <w:top w:val="single" w:sz="2" w:space="0" w:color="auto"/>
              <w:left w:val="nil"/>
              <w:bottom w:val="single" w:sz="2" w:space="0" w:color="auto"/>
              <w:right w:val="nil"/>
            </w:tcBorders>
            <w:vAlign w:val="center"/>
          </w:tcPr>
          <w:p w14:paraId="4AB9379D" w14:textId="1481F0ED"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-11</w:t>
            </w:r>
          </w:p>
        </w:tc>
        <w:tc>
          <w:tcPr>
            <w:tcW w:w="882" w:type="dxa"/>
            <w:tcBorders>
              <w:top w:val="single" w:sz="2" w:space="0" w:color="auto"/>
              <w:left w:val="nil"/>
              <w:bottom w:val="single" w:sz="2" w:space="0" w:color="auto"/>
              <w:right w:val="nil"/>
            </w:tcBorders>
            <w:vAlign w:val="center"/>
          </w:tcPr>
          <w:p w14:paraId="439C9505" w14:textId="271DEC30"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- 5,31 </w:t>
            </w:r>
          </w:p>
        </w:tc>
        <w:tc>
          <w:tcPr>
            <w:tcW w:w="883" w:type="dxa"/>
            <w:tcBorders>
              <w:top w:val="single" w:sz="2" w:space="0" w:color="auto"/>
              <w:left w:val="nil"/>
              <w:bottom w:val="single" w:sz="2" w:space="0" w:color="auto"/>
              <w:right w:val="nil"/>
            </w:tcBorders>
            <w:shd w:val="clear" w:color="auto" w:fill="auto"/>
            <w:vAlign w:val="center"/>
          </w:tcPr>
          <w:p w14:paraId="14CE7D32" w14:textId="74D1CD74"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-18</w:t>
            </w:r>
          </w:p>
        </w:tc>
      </w:tr>
      <w:tr w:rsidR="009923A5" w:rsidRPr="004D3E9C" w14:paraId="05B35580"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1295A82E" w14:textId="77777777" w:rsidR="009923A5" w:rsidRPr="004D3E9C" w:rsidRDefault="009923A5" w:rsidP="00D52854">
            <w:pPr>
              <w:spacing w:after="0"/>
              <w:ind w:firstLine="0"/>
              <w:rPr>
                <w:rFonts w:ascii="Arial Narrow" w:hAnsi="Arial Narrow" w:cs="Calibri"/>
                <w:color w:val="000000"/>
                <w:sz w:val="18"/>
                <w:szCs w:val="18"/>
              </w:rPr>
            </w:pPr>
            <w:r>
              <w:rPr>
                <w:rFonts w:ascii="Arial Narrow" w:hAnsi="Arial Narrow"/>
                <w:color w:val="000000"/>
                <w:sz w:val="18"/>
              </w:rPr>
              <w:t>44. Garraiorako dirulaguntzak</w:t>
            </w:r>
          </w:p>
        </w:tc>
        <w:tc>
          <w:tcPr>
            <w:tcW w:w="882" w:type="dxa"/>
            <w:tcBorders>
              <w:top w:val="single" w:sz="2" w:space="0" w:color="auto"/>
              <w:left w:val="nil"/>
              <w:bottom w:val="single" w:sz="2" w:space="0" w:color="auto"/>
              <w:right w:val="nil"/>
            </w:tcBorders>
            <w:vAlign w:val="center"/>
          </w:tcPr>
          <w:p w14:paraId="456242DF" w14:textId="08BD42CB"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10,23 </w:t>
            </w:r>
          </w:p>
        </w:tc>
        <w:tc>
          <w:tcPr>
            <w:tcW w:w="882" w:type="dxa"/>
            <w:tcBorders>
              <w:top w:val="single" w:sz="2" w:space="0" w:color="auto"/>
              <w:left w:val="nil"/>
              <w:bottom w:val="single" w:sz="2" w:space="0" w:color="auto"/>
              <w:right w:val="nil"/>
            </w:tcBorders>
            <w:vAlign w:val="center"/>
          </w:tcPr>
          <w:p w14:paraId="419E9A1D" w14:textId="40E3DF41"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11,35 </w:t>
            </w:r>
          </w:p>
        </w:tc>
        <w:tc>
          <w:tcPr>
            <w:tcW w:w="882" w:type="dxa"/>
            <w:tcBorders>
              <w:top w:val="single" w:sz="2" w:space="0" w:color="auto"/>
              <w:left w:val="nil"/>
              <w:bottom w:val="single" w:sz="2" w:space="0" w:color="auto"/>
              <w:right w:val="nil"/>
            </w:tcBorders>
            <w:vAlign w:val="center"/>
          </w:tcPr>
          <w:p w14:paraId="2AA2EFDA" w14:textId="6BB95FD7"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15,89 </w:t>
            </w:r>
          </w:p>
        </w:tc>
        <w:tc>
          <w:tcPr>
            <w:tcW w:w="882" w:type="dxa"/>
            <w:tcBorders>
              <w:top w:val="single" w:sz="2" w:space="0" w:color="auto"/>
              <w:left w:val="nil"/>
              <w:bottom w:val="single" w:sz="2" w:space="0" w:color="auto"/>
              <w:right w:val="nil"/>
            </w:tcBorders>
            <w:vAlign w:val="center"/>
          </w:tcPr>
          <w:p w14:paraId="50EB83B1" w14:textId="580467B9"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5,66 </w:t>
            </w:r>
          </w:p>
        </w:tc>
        <w:tc>
          <w:tcPr>
            <w:tcW w:w="882" w:type="dxa"/>
            <w:tcBorders>
              <w:top w:val="single" w:sz="2" w:space="0" w:color="auto"/>
              <w:left w:val="nil"/>
              <w:bottom w:val="single" w:sz="2" w:space="0" w:color="auto"/>
              <w:right w:val="nil"/>
            </w:tcBorders>
            <w:vAlign w:val="center"/>
          </w:tcPr>
          <w:p w14:paraId="7627F99C" w14:textId="3C0C03D1"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55</w:t>
            </w:r>
          </w:p>
        </w:tc>
        <w:tc>
          <w:tcPr>
            <w:tcW w:w="882" w:type="dxa"/>
            <w:tcBorders>
              <w:top w:val="single" w:sz="2" w:space="0" w:color="auto"/>
              <w:left w:val="nil"/>
              <w:bottom w:val="single" w:sz="2" w:space="0" w:color="auto"/>
              <w:right w:val="nil"/>
            </w:tcBorders>
            <w:vAlign w:val="center"/>
          </w:tcPr>
          <w:p w14:paraId="14E9FD3D" w14:textId="3E976431"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4,54 </w:t>
            </w:r>
          </w:p>
        </w:tc>
        <w:tc>
          <w:tcPr>
            <w:tcW w:w="883" w:type="dxa"/>
            <w:tcBorders>
              <w:top w:val="single" w:sz="2" w:space="0" w:color="auto"/>
              <w:left w:val="nil"/>
              <w:bottom w:val="single" w:sz="2" w:space="0" w:color="auto"/>
              <w:right w:val="nil"/>
            </w:tcBorders>
            <w:shd w:val="clear" w:color="auto" w:fill="auto"/>
            <w:vAlign w:val="center"/>
          </w:tcPr>
          <w:p w14:paraId="704A35C2" w14:textId="07A8B1F5"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40</w:t>
            </w:r>
          </w:p>
        </w:tc>
      </w:tr>
      <w:tr w:rsidR="009923A5" w:rsidRPr="004D3E9C" w14:paraId="07F6C3CB"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2EDC7D29" w14:textId="77777777" w:rsidR="009923A5" w:rsidRPr="004D3E9C" w:rsidRDefault="009923A5" w:rsidP="00D52854">
            <w:pPr>
              <w:spacing w:after="0"/>
              <w:ind w:firstLine="0"/>
              <w:rPr>
                <w:rFonts w:ascii="Arial Narrow" w:hAnsi="Arial Narrow" w:cs="Calibri"/>
                <w:color w:val="000000"/>
                <w:sz w:val="18"/>
                <w:szCs w:val="18"/>
              </w:rPr>
            </w:pPr>
            <w:r>
              <w:rPr>
                <w:rFonts w:ascii="Arial Narrow" w:hAnsi="Arial Narrow"/>
                <w:color w:val="000000"/>
                <w:sz w:val="18"/>
              </w:rPr>
              <w:t>45. Azpiegiturak</w:t>
            </w:r>
          </w:p>
        </w:tc>
        <w:tc>
          <w:tcPr>
            <w:tcW w:w="882" w:type="dxa"/>
            <w:tcBorders>
              <w:top w:val="single" w:sz="2" w:space="0" w:color="auto"/>
              <w:left w:val="nil"/>
              <w:bottom w:val="single" w:sz="2" w:space="0" w:color="auto"/>
              <w:right w:val="nil"/>
            </w:tcBorders>
            <w:vAlign w:val="center"/>
          </w:tcPr>
          <w:p w14:paraId="1CABFA98" w14:textId="5FB81F5D"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28,81 </w:t>
            </w:r>
          </w:p>
        </w:tc>
        <w:tc>
          <w:tcPr>
            <w:tcW w:w="882" w:type="dxa"/>
            <w:tcBorders>
              <w:top w:val="single" w:sz="2" w:space="0" w:color="auto"/>
              <w:left w:val="nil"/>
              <w:bottom w:val="single" w:sz="2" w:space="0" w:color="auto"/>
              <w:right w:val="nil"/>
            </w:tcBorders>
            <w:vAlign w:val="center"/>
          </w:tcPr>
          <w:p w14:paraId="02D6B357" w14:textId="00F8851A"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12,55 </w:t>
            </w:r>
          </w:p>
        </w:tc>
        <w:tc>
          <w:tcPr>
            <w:tcW w:w="882" w:type="dxa"/>
            <w:tcBorders>
              <w:top w:val="single" w:sz="2" w:space="0" w:color="auto"/>
              <w:left w:val="nil"/>
              <w:bottom w:val="single" w:sz="2" w:space="0" w:color="auto"/>
              <w:right w:val="nil"/>
            </w:tcBorders>
            <w:vAlign w:val="center"/>
          </w:tcPr>
          <w:p w14:paraId="0EEEB40D" w14:textId="7C8B30A9"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7,85 </w:t>
            </w:r>
          </w:p>
        </w:tc>
        <w:tc>
          <w:tcPr>
            <w:tcW w:w="882" w:type="dxa"/>
            <w:tcBorders>
              <w:top w:val="single" w:sz="2" w:space="0" w:color="auto"/>
              <w:left w:val="nil"/>
              <w:bottom w:val="single" w:sz="2" w:space="0" w:color="auto"/>
              <w:right w:val="nil"/>
            </w:tcBorders>
            <w:vAlign w:val="center"/>
          </w:tcPr>
          <w:p w14:paraId="6B9AD29B" w14:textId="33FB3A13"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- 20,95 </w:t>
            </w:r>
          </w:p>
        </w:tc>
        <w:tc>
          <w:tcPr>
            <w:tcW w:w="882" w:type="dxa"/>
            <w:tcBorders>
              <w:top w:val="single" w:sz="2" w:space="0" w:color="auto"/>
              <w:left w:val="nil"/>
              <w:bottom w:val="single" w:sz="2" w:space="0" w:color="auto"/>
              <w:right w:val="nil"/>
            </w:tcBorders>
            <w:vAlign w:val="center"/>
          </w:tcPr>
          <w:p w14:paraId="2D8E65F1" w14:textId="47EFB9E0"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-73</w:t>
            </w:r>
          </w:p>
        </w:tc>
        <w:tc>
          <w:tcPr>
            <w:tcW w:w="882" w:type="dxa"/>
            <w:tcBorders>
              <w:top w:val="single" w:sz="2" w:space="0" w:color="auto"/>
              <w:left w:val="nil"/>
              <w:bottom w:val="single" w:sz="2" w:space="0" w:color="auto"/>
              <w:right w:val="nil"/>
            </w:tcBorders>
            <w:vAlign w:val="center"/>
          </w:tcPr>
          <w:p w14:paraId="62A562C1" w14:textId="769FCD7B"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- 4,70 </w:t>
            </w:r>
          </w:p>
        </w:tc>
        <w:tc>
          <w:tcPr>
            <w:tcW w:w="883" w:type="dxa"/>
            <w:tcBorders>
              <w:top w:val="single" w:sz="2" w:space="0" w:color="auto"/>
              <w:left w:val="nil"/>
              <w:bottom w:val="single" w:sz="2" w:space="0" w:color="auto"/>
              <w:right w:val="nil"/>
            </w:tcBorders>
            <w:shd w:val="clear" w:color="auto" w:fill="auto"/>
            <w:vAlign w:val="center"/>
          </w:tcPr>
          <w:p w14:paraId="29CDC91E" w14:textId="70C34646"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-37</w:t>
            </w:r>
          </w:p>
        </w:tc>
      </w:tr>
      <w:tr w:rsidR="009923A5" w:rsidRPr="004D3E9C" w14:paraId="02853981"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4F4217FD" w14:textId="77777777" w:rsidR="009923A5" w:rsidRPr="004D3E9C" w:rsidRDefault="009923A5" w:rsidP="00D52854">
            <w:pPr>
              <w:spacing w:after="0"/>
              <w:ind w:firstLine="0"/>
              <w:rPr>
                <w:rFonts w:ascii="Arial Narrow" w:hAnsi="Arial Narrow" w:cs="Calibri"/>
                <w:color w:val="000000"/>
                <w:sz w:val="18"/>
                <w:szCs w:val="18"/>
              </w:rPr>
            </w:pPr>
            <w:r>
              <w:rPr>
                <w:rFonts w:ascii="Arial Narrow" w:hAnsi="Arial Narrow"/>
                <w:color w:val="000000"/>
                <w:sz w:val="18"/>
              </w:rPr>
              <w:t>33. Kultura</w:t>
            </w:r>
          </w:p>
        </w:tc>
        <w:tc>
          <w:tcPr>
            <w:tcW w:w="882" w:type="dxa"/>
            <w:tcBorders>
              <w:top w:val="single" w:sz="2" w:space="0" w:color="auto"/>
              <w:left w:val="nil"/>
              <w:bottom w:val="single" w:sz="2" w:space="0" w:color="auto"/>
              <w:right w:val="nil"/>
            </w:tcBorders>
            <w:vAlign w:val="center"/>
          </w:tcPr>
          <w:p w14:paraId="3C66D2D6" w14:textId="359826C6"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9,28 </w:t>
            </w:r>
          </w:p>
        </w:tc>
        <w:tc>
          <w:tcPr>
            <w:tcW w:w="882" w:type="dxa"/>
            <w:tcBorders>
              <w:top w:val="single" w:sz="2" w:space="0" w:color="auto"/>
              <w:left w:val="nil"/>
              <w:bottom w:val="single" w:sz="2" w:space="0" w:color="auto"/>
              <w:right w:val="nil"/>
            </w:tcBorders>
            <w:vAlign w:val="center"/>
          </w:tcPr>
          <w:p w14:paraId="1159127A" w14:textId="5916EAAB"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6,39 </w:t>
            </w:r>
          </w:p>
        </w:tc>
        <w:tc>
          <w:tcPr>
            <w:tcW w:w="882" w:type="dxa"/>
            <w:tcBorders>
              <w:top w:val="single" w:sz="2" w:space="0" w:color="auto"/>
              <w:left w:val="nil"/>
              <w:bottom w:val="single" w:sz="2" w:space="0" w:color="auto"/>
              <w:right w:val="nil"/>
            </w:tcBorders>
            <w:vAlign w:val="center"/>
          </w:tcPr>
          <w:p w14:paraId="0E7DEDEC" w14:textId="01AAD279"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6,62 </w:t>
            </w:r>
          </w:p>
        </w:tc>
        <w:tc>
          <w:tcPr>
            <w:tcW w:w="882" w:type="dxa"/>
            <w:tcBorders>
              <w:top w:val="single" w:sz="2" w:space="0" w:color="auto"/>
              <w:left w:val="nil"/>
              <w:bottom w:val="single" w:sz="2" w:space="0" w:color="auto"/>
              <w:right w:val="nil"/>
            </w:tcBorders>
            <w:vAlign w:val="center"/>
          </w:tcPr>
          <w:p w14:paraId="7F166B35" w14:textId="52BAB172"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- 2,66 </w:t>
            </w:r>
          </w:p>
        </w:tc>
        <w:tc>
          <w:tcPr>
            <w:tcW w:w="882" w:type="dxa"/>
            <w:tcBorders>
              <w:top w:val="single" w:sz="2" w:space="0" w:color="auto"/>
              <w:left w:val="nil"/>
              <w:bottom w:val="single" w:sz="2" w:space="0" w:color="auto"/>
              <w:right w:val="nil"/>
            </w:tcBorders>
            <w:vAlign w:val="center"/>
          </w:tcPr>
          <w:p w14:paraId="1A1BC153" w14:textId="5F3651E8"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-29</w:t>
            </w:r>
          </w:p>
        </w:tc>
        <w:tc>
          <w:tcPr>
            <w:tcW w:w="882" w:type="dxa"/>
            <w:tcBorders>
              <w:top w:val="single" w:sz="2" w:space="0" w:color="auto"/>
              <w:left w:val="nil"/>
              <w:bottom w:val="single" w:sz="2" w:space="0" w:color="auto"/>
              <w:right w:val="nil"/>
            </w:tcBorders>
            <w:vAlign w:val="center"/>
          </w:tcPr>
          <w:p w14:paraId="0DBF7FC6" w14:textId="4AE99C1A"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0,23 </w:t>
            </w:r>
          </w:p>
        </w:tc>
        <w:tc>
          <w:tcPr>
            <w:tcW w:w="883" w:type="dxa"/>
            <w:tcBorders>
              <w:top w:val="single" w:sz="2" w:space="0" w:color="auto"/>
              <w:left w:val="nil"/>
              <w:bottom w:val="single" w:sz="2" w:space="0" w:color="auto"/>
              <w:right w:val="nil"/>
            </w:tcBorders>
            <w:shd w:val="clear" w:color="auto" w:fill="auto"/>
            <w:vAlign w:val="center"/>
          </w:tcPr>
          <w:p w14:paraId="22C3D751" w14:textId="5A3ED9FF"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4</w:t>
            </w:r>
          </w:p>
        </w:tc>
      </w:tr>
      <w:tr w:rsidR="009923A5" w:rsidRPr="004D3E9C" w14:paraId="55990638"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277F9EB6" w14:textId="77777777" w:rsidR="009923A5" w:rsidRPr="004D3E9C" w:rsidRDefault="009923A5" w:rsidP="00D52854">
            <w:pPr>
              <w:spacing w:after="0"/>
              <w:ind w:firstLine="0"/>
              <w:rPr>
                <w:rFonts w:ascii="Arial Narrow" w:hAnsi="Arial Narrow" w:cs="Calibri"/>
                <w:color w:val="000000"/>
                <w:sz w:val="18"/>
                <w:szCs w:val="18"/>
              </w:rPr>
            </w:pPr>
            <w:r>
              <w:rPr>
                <w:rFonts w:ascii="Arial Narrow" w:hAnsi="Arial Narrow"/>
                <w:color w:val="000000"/>
                <w:sz w:val="18"/>
              </w:rPr>
              <w:t>26. Etxebizitza eskuratzea eta sustatzea</w:t>
            </w:r>
          </w:p>
        </w:tc>
        <w:tc>
          <w:tcPr>
            <w:tcW w:w="882" w:type="dxa"/>
            <w:tcBorders>
              <w:top w:val="single" w:sz="2" w:space="0" w:color="auto"/>
              <w:left w:val="nil"/>
              <w:bottom w:val="single" w:sz="2" w:space="0" w:color="auto"/>
              <w:right w:val="nil"/>
            </w:tcBorders>
            <w:vAlign w:val="center"/>
          </w:tcPr>
          <w:p w14:paraId="27B6F6D7" w14:textId="29145AAA"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24,04 </w:t>
            </w:r>
          </w:p>
        </w:tc>
        <w:tc>
          <w:tcPr>
            <w:tcW w:w="882" w:type="dxa"/>
            <w:tcBorders>
              <w:top w:val="single" w:sz="2" w:space="0" w:color="auto"/>
              <w:left w:val="nil"/>
              <w:bottom w:val="single" w:sz="2" w:space="0" w:color="auto"/>
              <w:right w:val="nil"/>
            </w:tcBorders>
            <w:vAlign w:val="center"/>
          </w:tcPr>
          <w:p w14:paraId="5DB0E940" w14:textId="5F35931D"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13,51 </w:t>
            </w:r>
          </w:p>
        </w:tc>
        <w:tc>
          <w:tcPr>
            <w:tcW w:w="882" w:type="dxa"/>
            <w:tcBorders>
              <w:top w:val="single" w:sz="2" w:space="0" w:color="auto"/>
              <w:left w:val="nil"/>
              <w:bottom w:val="single" w:sz="2" w:space="0" w:color="auto"/>
              <w:right w:val="nil"/>
            </w:tcBorders>
            <w:vAlign w:val="center"/>
          </w:tcPr>
          <w:p w14:paraId="608C0DFE" w14:textId="2126845F"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4,67 </w:t>
            </w:r>
          </w:p>
        </w:tc>
        <w:tc>
          <w:tcPr>
            <w:tcW w:w="882" w:type="dxa"/>
            <w:tcBorders>
              <w:top w:val="single" w:sz="2" w:space="0" w:color="auto"/>
              <w:left w:val="nil"/>
              <w:bottom w:val="single" w:sz="2" w:space="0" w:color="auto"/>
              <w:right w:val="nil"/>
            </w:tcBorders>
            <w:vAlign w:val="center"/>
          </w:tcPr>
          <w:p w14:paraId="2B4FEBB2" w14:textId="41F115E9"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- 19,37 </w:t>
            </w:r>
          </w:p>
        </w:tc>
        <w:tc>
          <w:tcPr>
            <w:tcW w:w="882" w:type="dxa"/>
            <w:tcBorders>
              <w:top w:val="single" w:sz="2" w:space="0" w:color="auto"/>
              <w:left w:val="nil"/>
              <w:bottom w:val="single" w:sz="2" w:space="0" w:color="auto"/>
              <w:right w:val="nil"/>
            </w:tcBorders>
            <w:vAlign w:val="center"/>
          </w:tcPr>
          <w:p w14:paraId="3411D6D1" w14:textId="58E2634F"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-81</w:t>
            </w:r>
          </w:p>
        </w:tc>
        <w:tc>
          <w:tcPr>
            <w:tcW w:w="882" w:type="dxa"/>
            <w:tcBorders>
              <w:top w:val="single" w:sz="2" w:space="0" w:color="auto"/>
              <w:left w:val="nil"/>
              <w:bottom w:val="single" w:sz="2" w:space="0" w:color="auto"/>
              <w:right w:val="nil"/>
            </w:tcBorders>
            <w:vAlign w:val="center"/>
          </w:tcPr>
          <w:p w14:paraId="03E4ED55" w14:textId="35D44460"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- 8,84 </w:t>
            </w:r>
          </w:p>
        </w:tc>
        <w:tc>
          <w:tcPr>
            <w:tcW w:w="883" w:type="dxa"/>
            <w:tcBorders>
              <w:top w:val="single" w:sz="2" w:space="0" w:color="auto"/>
              <w:left w:val="nil"/>
              <w:bottom w:val="single" w:sz="2" w:space="0" w:color="auto"/>
              <w:right w:val="nil"/>
            </w:tcBorders>
            <w:shd w:val="clear" w:color="auto" w:fill="auto"/>
            <w:vAlign w:val="center"/>
          </w:tcPr>
          <w:p w14:paraId="2E5122AC" w14:textId="3DE079B8"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-65</w:t>
            </w:r>
          </w:p>
        </w:tc>
      </w:tr>
      <w:tr w:rsidR="009923A5" w:rsidRPr="004D3E9C" w14:paraId="3F792480"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53521AD8" w14:textId="77777777" w:rsidR="009923A5" w:rsidRPr="004D3E9C" w:rsidRDefault="009923A5" w:rsidP="00D52854">
            <w:pPr>
              <w:spacing w:after="0"/>
              <w:ind w:firstLine="0"/>
              <w:rPr>
                <w:rFonts w:ascii="Arial Narrow" w:hAnsi="Arial Narrow" w:cs="Calibri"/>
                <w:color w:val="000000"/>
                <w:sz w:val="18"/>
                <w:szCs w:val="18"/>
              </w:rPr>
            </w:pPr>
            <w:r>
              <w:rPr>
                <w:rFonts w:ascii="Arial Narrow" w:hAnsi="Arial Narrow"/>
                <w:color w:val="000000"/>
                <w:sz w:val="18"/>
              </w:rPr>
              <w:t xml:space="preserve">Gainerakoak </w:t>
            </w:r>
          </w:p>
        </w:tc>
        <w:tc>
          <w:tcPr>
            <w:tcW w:w="882" w:type="dxa"/>
            <w:tcBorders>
              <w:top w:val="single" w:sz="2" w:space="0" w:color="auto"/>
              <w:left w:val="nil"/>
              <w:bottom w:val="single" w:sz="2" w:space="0" w:color="auto"/>
              <w:right w:val="nil"/>
            </w:tcBorders>
            <w:vAlign w:val="center"/>
          </w:tcPr>
          <w:p w14:paraId="7361D65D" w14:textId="0CE6F258"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12,41 </w:t>
            </w:r>
          </w:p>
        </w:tc>
        <w:tc>
          <w:tcPr>
            <w:tcW w:w="882" w:type="dxa"/>
            <w:tcBorders>
              <w:top w:val="single" w:sz="2" w:space="0" w:color="auto"/>
              <w:left w:val="nil"/>
              <w:bottom w:val="single" w:sz="2" w:space="0" w:color="auto"/>
              <w:right w:val="nil"/>
            </w:tcBorders>
            <w:vAlign w:val="center"/>
          </w:tcPr>
          <w:p w14:paraId="4B9E2E5F" w14:textId="2559A18B"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16,64 </w:t>
            </w:r>
          </w:p>
        </w:tc>
        <w:tc>
          <w:tcPr>
            <w:tcW w:w="882" w:type="dxa"/>
            <w:tcBorders>
              <w:top w:val="single" w:sz="2" w:space="0" w:color="auto"/>
              <w:left w:val="nil"/>
              <w:bottom w:val="single" w:sz="2" w:space="0" w:color="auto"/>
              <w:right w:val="nil"/>
            </w:tcBorders>
            <w:vAlign w:val="center"/>
          </w:tcPr>
          <w:p w14:paraId="2D14772D" w14:textId="66F1217A"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13,27 </w:t>
            </w:r>
          </w:p>
        </w:tc>
        <w:tc>
          <w:tcPr>
            <w:tcW w:w="882" w:type="dxa"/>
            <w:tcBorders>
              <w:top w:val="single" w:sz="2" w:space="0" w:color="auto"/>
              <w:left w:val="nil"/>
              <w:bottom w:val="single" w:sz="2" w:space="0" w:color="auto"/>
              <w:right w:val="nil"/>
            </w:tcBorders>
            <w:vAlign w:val="center"/>
          </w:tcPr>
          <w:p w14:paraId="40A7E997" w14:textId="0008BB79"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0,86 </w:t>
            </w:r>
          </w:p>
        </w:tc>
        <w:tc>
          <w:tcPr>
            <w:tcW w:w="882" w:type="dxa"/>
            <w:tcBorders>
              <w:top w:val="single" w:sz="2" w:space="0" w:color="auto"/>
              <w:left w:val="nil"/>
              <w:bottom w:val="single" w:sz="2" w:space="0" w:color="auto"/>
              <w:right w:val="nil"/>
            </w:tcBorders>
            <w:vAlign w:val="center"/>
          </w:tcPr>
          <w:p w14:paraId="04B91762" w14:textId="6A0CC867"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7</w:t>
            </w:r>
          </w:p>
        </w:tc>
        <w:tc>
          <w:tcPr>
            <w:tcW w:w="882" w:type="dxa"/>
            <w:tcBorders>
              <w:top w:val="single" w:sz="2" w:space="0" w:color="auto"/>
              <w:left w:val="nil"/>
              <w:bottom w:val="single" w:sz="2" w:space="0" w:color="auto"/>
              <w:right w:val="nil"/>
            </w:tcBorders>
            <w:vAlign w:val="center"/>
          </w:tcPr>
          <w:p w14:paraId="66FFFE00" w14:textId="2B6AF0E2"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 xml:space="preserve">- 3,37 </w:t>
            </w:r>
          </w:p>
        </w:tc>
        <w:tc>
          <w:tcPr>
            <w:tcW w:w="883" w:type="dxa"/>
            <w:tcBorders>
              <w:top w:val="single" w:sz="2" w:space="0" w:color="auto"/>
              <w:left w:val="nil"/>
              <w:bottom w:val="single" w:sz="2" w:space="0" w:color="auto"/>
              <w:right w:val="nil"/>
            </w:tcBorders>
            <w:shd w:val="clear" w:color="auto" w:fill="auto"/>
            <w:vAlign w:val="center"/>
          </w:tcPr>
          <w:p w14:paraId="378D7199" w14:textId="0ECB643E" w:rsidR="009923A5" w:rsidRPr="004D3E9C" w:rsidRDefault="009923A5" w:rsidP="00D52854">
            <w:pPr>
              <w:spacing w:after="0"/>
              <w:ind w:firstLine="0"/>
              <w:jc w:val="right"/>
              <w:rPr>
                <w:rFonts w:ascii="Arial Narrow" w:hAnsi="Arial Narrow" w:cs="Calibri"/>
                <w:color w:val="000000"/>
                <w:sz w:val="18"/>
                <w:szCs w:val="18"/>
              </w:rPr>
            </w:pPr>
            <w:r>
              <w:rPr>
                <w:rFonts w:ascii="Arial Narrow" w:hAnsi="Arial Narrow"/>
                <w:color w:val="000000"/>
                <w:sz w:val="18"/>
              </w:rPr>
              <w:t>-20</w:t>
            </w:r>
          </w:p>
        </w:tc>
      </w:tr>
      <w:tr w:rsidR="009923A5" w:rsidRPr="004D3E9C" w14:paraId="12F8986C" w14:textId="77777777" w:rsidTr="009923A5">
        <w:trPr>
          <w:trHeight w:val="255"/>
        </w:trPr>
        <w:tc>
          <w:tcPr>
            <w:tcW w:w="2694" w:type="dxa"/>
            <w:tcBorders>
              <w:top w:val="single" w:sz="4" w:space="0" w:color="000000"/>
              <w:left w:val="nil"/>
              <w:bottom w:val="single" w:sz="4" w:space="0" w:color="000000"/>
              <w:right w:val="nil"/>
            </w:tcBorders>
            <w:shd w:val="clear" w:color="auto" w:fill="FABF8F" w:themeFill="accent6" w:themeFillTint="99"/>
            <w:vAlign w:val="center"/>
          </w:tcPr>
          <w:p w14:paraId="2B9D4B37" w14:textId="77777777" w:rsidR="009923A5" w:rsidRPr="004D3E9C" w:rsidRDefault="009923A5" w:rsidP="00D52854">
            <w:pPr>
              <w:spacing w:after="0"/>
              <w:ind w:firstLine="0"/>
              <w:jc w:val="left"/>
              <w:rPr>
                <w:rFonts w:ascii="Arial" w:hAnsi="Arial" w:cs="Arial"/>
                <w:bCs/>
                <w:color w:val="000000"/>
                <w:sz w:val="16"/>
                <w:szCs w:val="16"/>
              </w:rPr>
            </w:pPr>
            <w:r>
              <w:rPr>
                <w:rFonts w:ascii="Arial" w:hAnsi="Arial"/>
                <w:color w:val="000000"/>
                <w:sz w:val="16"/>
              </w:rPr>
              <w:t>Guztira</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705B939F" w14:textId="12EBD17E"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 xml:space="preserve"> 380,12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706940DE" w14:textId="7A971B72"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 xml:space="preserve"> 370,38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3B77187B" w14:textId="0E65BF51"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 xml:space="preserve"> 370,35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06DAEFC6" w14:textId="07710126"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 xml:space="preserve">- 9,76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182D2393" w14:textId="1545B4DF"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-3</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3FE62AFF" w14:textId="4BC2AFB1"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 xml:space="preserve">- 0,03 </w:t>
            </w:r>
          </w:p>
        </w:tc>
        <w:tc>
          <w:tcPr>
            <w:tcW w:w="883" w:type="dxa"/>
            <w:tcBorders>
              <w:top w:val="single" w:sz="4" w:space="0" w:color="000000"/>
              <w:left w:val="nil"/>
              <w:bottom w:val="single" w:sz="4" w:space="0" w:color="000000"/>
              <w:right w:val="nil"/>
            </w:tcBorders>
            <w:shd w:val="clear" w:color="auto" w:fill="FABF8F" w:themeFill="accent6" w:themeFillTint="99"/>
            <w:vAlign w:val="center"/>
          </w:tcPr>
          <w:p w14:paraId="47F30171" w14:textId="164C924F" w:rsidR="009923A5" w:rsidRPr="004D3E9C" w:rsidRDefault="009923A5" w:rsidP="00D52854">
            <w:pPr>
              <w:spacing w:after="0"/>
              <w:ind w:firstLine="0"/>
              <w:jc w:val="right"/>
              <w:rPr>
                <w:rFonts w:ascii="Arial" w:hAnsi="Arial" w:cs="Arial"/>
                <w:color w:val="000000"/>
                <w:sz w:val="16"/>
                <w:szCs w:val="16"/>
              </w:rPr>
            </w:pPr>
            <w:r>
              <w:rPr>
                <w:rFonts w:ascii="Arial" w:hAnsi="Arial"/>
                <w:color w:val="000000"/>
                <w:sz w:val="16"/>
              </w:rPr>
              <w:t>0</w:t>
            </w:r>
          </w:p>
        </w:tc>
      </w:tr>
    </w:tbl>
    <w:p w14:paraId="562C75D1" w14:textId="77777777" w:rsidR="00F07241" w:rsidRPr="00033257" w:rsidRDefault="00F07241" w:rsidP="00F07241">
      <w:pPr>
        <w:pStyle w:val="texto"/>
        <w:spacing w:after="120"/>
        <w:rPr>
          <w:color w:val="000000" w:themeColor="text1"/>
        </w:rPr>
      </w:pPr>
    </w:p>
    <w:p w14:paraId="26554C8A" w14:textId="77777777" w:rsidR="004A3B35" w:rsidRPr="00033257" w:rsidRDefault="004A3B35" w:rsidP="004D3E9C">
      <w:pPr>
        <w:pStyle w:val="texto"/>
        <w:spacing w:after="0"/>
        <w:rPr>
          <w:color w:val="000000" w:themeColor="text1"/>
        </w:rPr>
      </w:pPr>
      <w:r>
        <w:rPr>
          <w:color w:val="000000" w:themeColor="text1"/>
        </w:rPr>
        <w:t>Transferentzien ehuneko 73 (270,55 milioi) “Transferentziak beste administrazio batzuei” politikari dagozkio. Horrek barne hartzen ditu toki ogasunek Nafarroako tributuetan parte hartzeko duten funtsaren transferentzia arruntak.</w:t>
      </w:r>
    </w:p>
    <w:p w14:paraId="51A5B410" w14:textId="4D47039E" w:rsidR="005F27BE" w:rsidRPr="004D3E9C" w:rsidRDefault="005F27BE" w:rsidP="004D3E9C">
      <w:pPr>
        <w:pStyle w:val="texto"/>
        <w:spacing w:after="0"/>
        <w:rPr>
          <w:color w:val="000000" w:themeColor="text1"/>
        </w:rPr>
      </w:pPr>
      <w:bookmarkStart w:id="67" w:name="_Toc465686689"/>
      <w:bookmarkStart w:id="68" w:name="_Toc529773883"/>
      <w:bookmarkStart w:id="69" w:name="_Toc24100144"/>
      <w:bookmarkStart w:id="70" w:name="_Toc52348292"/>
      <w:bookmarkStart w:id="71" w:name="_Toc123547408"/>
    </w:p>
    <w:p w14:paraId="3AFC60E5" w14:textId="5E050868" w:rsidR="002A4BE9" w:rsidRPr="00033257" w:rsidRDefault="002A4BE9" w:rsidP="00F56DDD">
      <w:pPr>
        <w:pStyle w:val="atitulo2"/>
      </w:pPr>
      <w:bookmarkStart w:id="72" w:name="_Toc151635599"/>
      <w:r>
        <w:t>VI.2 Gastuak</w:t>
      </w:r>
      <w:bookmarkEnd w:id="67"/>
      <w:bookmarkEnd w:id="68"/>
      <w:bookmarkEnd w:id="69"/>
      <w:bookmarkEnd w:id="70"/>
      <w:bookmarkEnd w:id="71"/>
      <w:bookmarkEnd w:id="72"/>
    </w:p>
    <w:p w14:paraId="6874F433" w14:textId="77777777" w:rsidR="004D3E9C" w:rsidRPr="00033257" w:rsidRDefault="004D3E9C" w:rsidP="004D3E9C">
      <w:pPr>
        <w:pStyle w:val="texto"/>
        <w:spacing w:before="120" w:after="60"/>
        <w:rPr>
          <w:color w:val="000000" w:themeColor="text1"/>
        </w:rPr>
      </w:pPr>
      <w:r>
        <w:rPr>
          <w:color w:val="000000" w:themeColor="text1"/>
        </w:rPr>
        <w:t xml:space="preserve">Jarraian, toki-entitateen eta haien EEAAen gastuen aurrekontuaren 2021eko betetzeari buruzko laburpena azaltzen da: </w:t>
      </w:r>
    </w:p>
    <w:p w14:paraId="69C94581" w14:textId="4D24086A" w:rsidR="004D3E9C" w:rsidRPr="00033257" w:rsidRDefault="001D196E" w:rsidP="003C4E24">
      <w:pPr>
        <w:pStyle w:val="texto"/>
        <w:spacing w:after="0"/>
        <w:ind w:right="-1"/>
        <w:jc w:val="right"/>
        <w:rPr>
          <w:rFonts w:ascii="Arial Narrow" w:hAnsi="Arial Narrow"/>
          <w:color w:val="000000" w:themeColor="text1"/>
          <w:sz w:val="18"/>
          <w:szCs w:val="18"/>
        </w:rPr>
      </w:pPr>
      <w:r>
        <w:rPr>
          <w:rFonts w:ascii="Arial Narrow" w:hAnsi="Arial Narrow"/>
          <w:color w:val="000000" w:themeColor="text1"/>
          <w:sz w:val="18"/>
        </w:rPr>
        <w:t>(milioiak)</w:t>
      </w:r>
    </w:p>
    <w:tbl>
      <w:tblPr>
        <w:tblW w:w="5042" w:type="pct"/>
        <w:jc w:val="center"/>
        <w:tblLayout w:type="fixed"/>
        <w:tblCellMar>
          <w:left w:w="70" w:type="dxa"/>
          <w:right w:w="70" w:type="dxa"/>
        </w:tblCellMar>
        <w:tblLook w:val="04A0" w:firstRow="1" w:lastRow="0" w:firstColumn="1" w:lastColumn="0" w:noHBand="0" w:noVBand="1"/>
      </w:tblPr>
      <w:tblGrid>
        <w:gridCol w:w="2094"/>
        <w:gridCol w:w="983"/>
        <w:gridCol w:w="699"/>
        <w:gridCol w:w="980"/>
        <w:gridCol w:w="775"/>
        <w:gridCol w:w="829"/>
        <w:gridCol w:w="785"/>
        <w:gridCol w:w="886"/>
        <w:gridCol w:w="831"/>
      </w:tblGrid>
      <w:tr w:rsidR="004D3E9C" w:rsidRPr="004D3E9C" w14:paraId="16A3AD46" w14:textId="77777777" w:rsidTr="003C4E24">
        <w:trPr>
          <w:trHeight w:val="227"/>
          <w:jc w:val="center"/>
        </w:trPr>
        <w:tc>
          <w:tcPr>
            <w:tcW w:w="1181"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697C652A" w14:textId="77777777" w:rsidR="004D3E9C" w:rsidRPr="004D3E9C" w:rsidRDefault="004D3E9C" w:rsidP="004D3E9C">
            <w:pPr>
              <w:pStyle w:val="cuadroCabe"/>
              <w:spacing w:line="240" w:lineRule="auto"/>
              <w:rPr>
                <w:rFonts w:cs="Arial"/>
                <w:color w:val="000000" w:themeColor="text1"/>
                <w:sz w:val="16"/>
                <w:szCs w:val="16"/>
              </w:rPr>
            </w:pPr>
            <w:r>
              <w:rPr>
                <w:color w:val="000000" w:themeColor="text1"/>
                <w:sz w:val="16"/>
              </w:rPr>
              <w:t>Kapitulua</w:t>
            </w:r>
          </w:p>
        </w:tc>
        <w:tc>
          <w:tcPr>
            <w:tcW w:w="554" w:type="pct"/>
            <w:tcBorders>
              <w:top w:val="single" w:sz="4" w:space="0" w:color="000000" w:themeColor="text1"/>
              <w:left w:val="nil"/>
              <w:bottom w:val="single" w:sz="4" w:space="0" w:color="000000" w:themeColor="text1"/>
              <w:right w:val="single" w:sz="2" w:space="0" w:color="auto"/>
            </w:tcBorders>
            <w:shd w:val="clear" w:color="auto" w:fill="FABF8F" w:themeFill="accent6" w:themeFillTint="99"/>
            <w:vAlign w:val="center"/>
            <w:hideMark/>
          </w:tcPr>
          <w:p w14:paraId="6441ED66" w14:textId="6BAF54B1" w:rsidR="004D3E9C" w:rsidRPr="004D3E9C" w:rsidRDefault="004D3E9C" w:rsidP="003C4E24">
            <w:pPr>
              <w:pStyle w:val="cuadroCabe"/>
              <w:tabs>
                <w:tab w:val="clear" w:pos="2835"/>
                <w:tab w:val="right" w:pos="1065"/>
              </w:tabs>
              <w:spacing w:line="240" w:lineRule="auto"/>
              <w:ind w:left="67" w:hanging="67"/>
              <w:jc w:val="right"/>
              <w:rPr>
                <w:rFonts w:cs="Arial"/>
                <w:color w:val="000000" w:themeColor="text1"/>
                <w:sz w:val="16"/>
                <w:szCs w:val="16"/>
              </w:rPr>
            </w:pPr>
            <w:r>
              <w:rPr>
                <w:color w:val="000000" w:themeColor="text1"/>
                <w:sz w:val="16"/>
              </w:rPr>
              <w:t>Beh. bet. kredituak</w:t>
            </w:r>
          </w:p>
        </w:tc>
        <w:tc>
          <w:tcPr>
            <w:tcW w:w="394" w:type="pct"/>
            <w:tcBorders>
              <w:top w:val="single" w:sz="4" w:space="0" w:color="auto"/>
              <w:left w:val="single" w:sz="2" w:space="0" w:color="auto"/>
              <w:bottom w:val="single" w:sz="4" w:space="0" w:color="000000" w:themeColor="text1"/>
              <w:right w:val="nil"/>
            </w:tcBorders>
            <w:shd w:val="clear" w:color="auto" w:fill="FABF8F" w:themeFill="accent6" w:themeFillTint="99"/>
            <w:vAlign w:val="center"/>
            <w:hideMark/>
          </w:tcPr>
          <w:p w14:paraId="503D4688" w14:textId="77777777" w:rsidR="004D3E9C" w:rsidRPr="004D3E9C" w:rsidRDefault="004D3E9C" w:rsidP="004D3E9C">
            <w:pPr>
              <w:pStyle w:val="cuadroCabe"/>
              <w:spacing w:line="240" w:lineRule="auto"/>
              <w:jc w:val="right"/>
              <w:rPr>
                <w:rFonts w:cs="Arial"/>
                <w:color w:val="000000" w:themeColor="text1"/>
                <w:sz w:val="16"/>
                <w:szCs w:val="16"/>
              </w:rPr>
            </w:pPr>
            <w:r>
              <w:rPr>
                <w:color w:val="000000" w:themeColor="text1"/>
                <w:sz w:val="16"/>
              </w:rPr>
              <w:t>ABG, 2021</w:t>
            </w:r>
          </w:p>
        </w:tc>
        <w:tc>
          <w:tcPr>
            <w:tcW w:w="553" w:type="pct"/>
            <w:tcBorders>
              <w:top w:val="single" w:sz="4" w:space="0" w:color="auto"/>
              <w:left w:val="nil"/>
              <w:bottom w:val="single" w:sz="4" w:space="0" w:color="000000" w:themeColor="text1"/>
              <w:right w:val="nil"/>
            </w:tcBorders>
            <w:shd w:val="clear" w:color="auto" w:fill="FABF8F" w:themeFill="accent6" w:themeFillTint="99"/>
            <w:vAlign w:val="center"/>
            <w:hideMark/>
          </w:tcPr>
          <w:p w14:paraId="59C7BF7F" w14:textId="77777777" w:rsidR="004D3E9C" w:rsidRPr="004D3E9C" w:rsidRDefault="004D3E9C" w:rsidP="004D3E9C">
            <w:pPr>
              <w:pStyle w:val="cuadroCabe"/>
              <w:spacing w:line="240" w:lineRule="auto"/>
              <w:jc w:val="right"/>
              <w:rPr>
                <w:rFonts w:cs="Arial"/>
                <w:color w:val="000000" w:themeColor="text1"/>
                <w:sz w:val="16"/>
                <w:szCs w:val="16"/>
              </w:rPr>
            </w:pPr>
            <w:r>
              <w:rPr>
                <w:color w:val="000000" w:themeColor="text1"/>
                <w:sz w:val="16"/>
              </w:rPr>
              <w:t xml:space="preserve"> Gastu guztien gainean (%)</w:t>
            </w:r>
          </w:p>
        </w:tc>
        <w:tc>
          <w:tcPr>
            <w:tcW w:w="437" w:type="pct"/>
            <w:tcBorders>
              <w:top w:val="single" w:sz="4" w:space="0" w:color="auto"/>
              <w:left w:val="nil"/>
              <w:bottom w:val="single" w:sz="4" w:space="0" w:color="000000" w:themeColor="text1"/>
              <w:right w:val="single" w:sz="2" w:space="0" w:color="auto"/>
            </w:tcBorders>
            <w:shd w:val="clear" w:color="auto" w:fill="FABF8F" w:themeFill="accent6" w:themeFillTint="99"/>
            <w:vAlign w:val="center"/>
            <w:hideMark/>
          </w:tcPr>
          <w:p w14:paraId="5F0A6126" w14:textId="43A35021" w:rsidR="004D3E9C" w:rsidRPr="004D3E9C" w:rsidRDefault="004D3E9C" w:rsidP="004D3E9C">
            <w:pPr>
              <w:pStyle w:val="cuadroCabe"/>
              <w:spacing w:line="240" w:lineRule="auto"/>
              <w:jc w:val="right"/>
              <w:rPr>
                <w:rFonts w:cs="Arial"/>
                <w:color w:val="000000" w:themeColor="text1"/>
                <w:sz w:val="16"/>
                <w:szCs w:val="16"/>
              </w:rPr>
            </w:pPr>
            <w:r>
              <w:rPr>
                <w:color w:val="000000" w:themeColor="text1"/>
                <w:sz w:val="16"/>
              </w:rPr>
              <w:t>Betearazp.</w:t>
            </w:r>
            <w:r>
              <w:rPr>
                <w:color w:val="000000" w:themeColor="text1"/>
                <w:sz w:val="16"/>
              </w:rPr>
              <w:br/>
              <w:t>(%)</w:t>
            </w:r>
          </w:p>
        </w:tc>
        <w:tc>
          <w:tcPr>
            <w:tcW w:w="468" w:type="pct"/>
            <w:tcBorders>
              <w:top w:val="single" w:sz="4" w:space="0" w:color="auto"/>
              <w:left w:val="single" w:sz="2" w:space="0" w:color="auto"/>
              <w:bottom w:val="single" w:sz="4" w:space="0" w:color="000000" w:themeColor="text1"/>
              <w:right w:val="nil"/>
            </w:tcBorders>
            <w:shd w:val="clear" w:color="auto" w:fill="FABF8F" w:themeFill="accent6" w:themeFillTint="99"/>
            <w:vAlign w:val="center"/>
          </w:tcPr>
          <w:p w14:paraId="2C3DCBDE" w14:textId="77777777" w:rsidR="004D3E9C" w:rsidRPr="004D3E9C" w:rsidRDefault="004D3E9C" w:rsidP="004D3E9C">
            <w:pPr>
              <w:pStyle w:val="cuadroCabe"/>
              <w:spacing w:line="240" w:lineRule="auto"/>
              <w:jc w:val="right"/>
              <w:rPr>
                <w:rFonts w:cs="Arial"/>
                <w:color w:val="000000" w:themeColor="text1"/>
                <w:sz w:val="16"/>
                <w:szCs w:val="16"/>
              </w:rPr>
            </w:pPr>
            <w:r>
              <w:rPr>
                <w:color w:val="000000" w:themeColor="text1"/>
                <w:sz w:val="16"/>
              </w:rPr>
              <w:t>AEG 2021/20 ald.</w:t>
            </w:r>
          </w:p>
        </w:tc>
        <w:tc>
          <w:tcPr>
            <w:tcW w:w="443" w:type="pct"/>
            <w:tcBorders>
              <w:top w:val="single" w:sz="4" w:space="0" w:color="auto"/>
              <w:left w:val="nil"/>
              <w:bottom w:val="single" w:sz="4" w:space="0" w:color="000000" w:themeColor="text1"/>
              <w:right w:val="single" w:sz="2" w:space="0" w:color="auto"/>
            </w:tcBorders>
            <w:shd w:val="clear" w:color="auto" w:fill="FABF8F" w:themeFill="accent6" w:themeFillTint="99"/>
            <w:vAlign w:val="center"/>
          </w:tcPr>
          <w:p w14:paraId="59C2CE0D" w14:textId="77777777" w:rsidR="004D3E9C" w:rsidRPr="004D3E9C" w:rsidRDefault="004D3E9C" w:rsidP="004D3E9C">
            <w:pPr>
              <w:pStyle w:val="cuadroCabe"/>
              <w:spacing w:line="240" w:lineRule="auto"/>
              <w:jc w:val="right"/>
              <w:rPr>
                <w:rFonts w:cs="Arial"/>
                <w:color w:val="000000" w:themeColor="text1"/>
                <w:sz w:val="16"/>
                <w:szCs w:val="16"/>
              </w:rPr>
            </w:pPr>
            <w:r>
              <w:rPr>
                <w:color w:val="000000" w:themeColor="text1"/>
                <w:sz w:val="16"/>
              </w:rPr>
              <w:t>2021/20 ald. (%)</w:t>
            </w:r>
          </w:p>
        </w:tc>
        <w:tc>
          <w:tcPr>
            <w:tcW w:w="500" w:type="pct"/>
            <w:tcBorders>
              <w:top w:val="single" w:sz="4" w:space="0" w:color="000000" w:themeColor="text1"/>
              <w:left w:val="single" w:sz="2" w:space="0" w:color="auto"/>
              <w:bottom w:val="single" w:sz="4" w:space="0" w:color="000000" w:themeColor="text1"/>
              <w:right w:val="nil"/>
            </w:tcBorders>
            <w:shd w:val="clear" w:color="auto" w:fill="FABF8F" w:themeFill="accent6" w:themeFillTint="99"/>
            <w:vAlign w:val="center"/>
          </w:tcPr>
          <w:p w14:paraId="2167B0BA" w14:textId="77777777" w:rsidR="004D3E9C" w:rsidRPr="004D3E9C" w:rsidRDefault="004D3E9C" w:rsidP="004D3E9C">
            <w:pPr>
              <w:pStyle w:val="cuadroCabe"/>
              <w:spacing w:line="240" w:lineRule="auto"/>
              <w:jc w:val="right"/>
              <w:rPr>
                <w:rFonts w:cs="Arial"/>
                <w:color w:val="000000" w:themeColor="text1"/>
                <w:sz w:val="16"/>
                <w:szCs w:val="16"/>
              </w:rPr>
            </w:pPr>
            <w:r>
              <w:rPr>
                <w:color w:val="000000" w:themeColor="text1"/>
                <w:sz w:val="16"/>
              </w:rPr>
              <w:t>AEG 2021/19 ald.</w:t>
            </w:r>
          </w:p>
        </w:tc>
        <w:tc>
          <w:tcPr>
            <w:tcW w:w="46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21F3878B" w14:textId="77777777" w:rsidR="004D3E9C" w:rsidRPr="004D3E9C" w:rsidRDefault="004D3E9C" w:rsidP="004D3E9C">
            <w:pPr>
              <w:pStyle w:val="cuadroCabe"/>
              <w:spacing w:line="240" w:lineRule="auto"/>
              <w:jc w:val="right"/>
              <w:rPr>
                <w:rFonts w:cs="Arial"/>
                <w:color w:val="000000" w:themeColor="text1"/>
                <w:sz w:val="16"/>
                <w:szCs w:val="16"/>
              </w:rPr>
            </w:pPr>
            <w:r>
              <w:rPr>
                <w:color w:val="000000" w:themeColor="text1"/>
                <w:sz w:val="16"/>
              </w:rPr>
              <w:t>2021/19 ald. (%)</w:t>
            </w:r>
          </w:p>
        </w:tc>
      </w:tr>
      <w:tr w:rsidR="004D3E9C" w:rsidRPr="004D3E9C" w14:paraId="6C81B6DC" w14:textId="77777777" w:rsidTr="003C4E24">
        <w:trPr>
          <w:trHeight w:val="227"/>
          <w:jc w:val="center"/>
        </w:trPr>
        <w:tc>
          <w:tcPr>
            <w:tcW w:w="1181" w:type="pct"/>
            <w:tcBorders>
              <w:top w:val="single" w:sz="4" w:space="0" w:color="000000" w:themeColor="text1"/>
              <w:left w:val="nil"/>
              <w:bottom w:val="single" w:sz="2" w:space="0" w:color="000000" w:themeColor="text1"/>
              <w:right w:val="nil"/>
            </w:tcBorders>
            <w:shd w:val="clear" w:color="auto" w:fill="auto"/>
            <w:vAlign w:val="center"/>
            <w:hideMark/>
          </w:tcPr>
          <w:p w14:paraId="203B1EBD"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1. Langileak</w:t>
            </w:r>
          </w:p>
        </w:tc>
        <w:tc>
          <w:tcPr>
            <w:tcW w:w="554" w:type="pct"/>
            <w:tcBorders>
              <w:top w:val="single" w:sz="4" w:space="0" w:color="000000" w:themeColor="text1"/>
              <w:left w:val="nil"/>
              <w:bottom w:val="single" w:sz="2" w:space="0" w:color="000000" w:themeColor="text1"/>
              <w:right w:val="single" w:sz="2" w:space="0" w:color="auto"/>
            </w:tcBorders>
            <w:shd w:val="clear" w:color="auto" w:fill="auto"/>
            <w:vAlign w:val="center"/>
          </w:tcPr>
          <w:p w14:paraId="1716F701"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330,80</w:t>
            </w:r>
          </w:p>
        </w:tc>
        <w:tc>
          <w:tcPr>
            <w:tcW w:w="394" w:type="pct"/>
            <w:tcBorders>
              <w:top w:val="single" w:sz="4" w:space="0" w:color="000000" w:themeColor="text1"/>
              <w:left w:val="single" w:sz="2" w:space="0" w:color="auto"/>
              <w:bottom w:val="single" w:sz="2" w:space="0" w:color="000000" w:themeColor="text1"/>
              <w:right w:val="nil"/>
            </w:tcBorders>
            <w:shd w:val="clear" w:color="auto" w:fill="auto"/>
            <w:vAlign w:val="center"/>
          </w:tcPr>
          <w:p w14:paraId="670E99A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317,05</w:t>
            </w:r>
          </w:p>
        </w:tc>
        <w:tc>
          <w:tcPr>
            <w:tcW w:w="553" w:type="pct"/>
            <w:tcBorders>
              <w:top w:val="single" w:sz="4" w:space="0" w:color="000000" w:themeColor="text1"/>
              <w:left w:val="nil"/>
              <w:bottom w:val="single" w:sz="2" w:space="0" w:color="000000" w:themeColor="text1"/>
              <w:right w:val="nil"/>
            </w:tcBorders>
            <w:shd w:val="clear" w:color="auto" w:fill="auto"/>
            <w:vAlign w:val="center"/>
          </w:tcPr>
          <w:p w14:paraId="3628C580"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35,6</w:t>
            </w:r>
          </w:p>
        </w:tc>
        <w:tc>
          <w:tcPr>
            <w:tcW w:w="437" w:type="pct"/>
            <w:tcBorders>
              <w:top w:val="single" w:sz="4" w:space="0" w:color="000000" w:themeColor="text1"/>
              <w:left w:val="nil"/>
              <w:bottom w:val="single" w:sz="2" w:space="0" w:color="000000" w:themeColor="text1"/>
              <w:right w:val="single" w:sz="2" w:space="0" w:color="auto"/>
            </w:tcBorders>
            <w:shd w:val="clear" w:color="auto" w:fill="auto"/>
            <w:vAlign w:val="center"/>
          </w:tcPr>
          <w:p w14:paraId="552D9DAF"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96</w:t>
            </w:r>
          </w:p>
        </w:tc>
        <w:tc>
          <w:tcPr>
            <w:tcW w:w="468" w:type="pct"/>
            <w:tcBorders>
              <w:top w:val="single" w:sz="4" w:space="0" w:color="000000" w:themeColor="text1"/>
              <w:left w:val="single" w:sz="2" w:space="0" w:color="auto"/>
              <w:bottom w:val="single" w:sz="2" w:space="0" w:color="000000" w:themeColor="text1"/>
              <w:right w:val="nil"/>
            </w:tcBorders>
            <w:vAlign w:val="center"/>
          </w:tcPr>
          <w:p w14:paraId="520728C7"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6,10</w:t>
            </w:r>
          </w:p>
        </w:tc>
        <w:tc>
          <w:tcPr>
            <w:tcW w:w="443" w:type="pct"/>
            <w:tcBorders>
              <w:top w:val="single" w:sz="4" w:space="0" w:color="000000" w:themeColor="text1"/>
              <w:left w:val="nil"/>
              <w:bottom w:val="single" w:sz="2" w:space="0" w:color="000000" w:themeColor="text1"/>
              <w:right w:val="single" w:sz="2" w:space="0" w:color="auto"/>
            </w:tcBorders>
            <w:vAlign w:val="center"/>
          </w:tcPr>
          <w:p w14:paraId="77B42AD6"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w:t>
            </w:r>
          </w:p>
        </w:tc>
        <w:tc>
          <w:tcPr>
            <w:tcW w:w="500" w:type="pct"/>
            <w:tcBorders>
              <w:top w:val="single" w:sz="4" w:space="0" w:color="000000" w:themeColor="text1"/>
              <w:left w:val="single" w:sz="2" w:space="0" w:color="auto"/>
              <w:bottom w:val="single" w:sz="2" w:space="0" w:color="000000" w:themeColor="text1"/>
              <w:right w:val="nil"/>
            </w:tcBorders>
            <w:vAlign w:val="center"/>
          </w:tcPr>
          <w:p w14:paraId="55DC5E0F"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17,68</w:t>
            </w:r>
          </w:p>
        </w:tc>
        <w:tc>
          <w:tcPr>
            <w:tcW w:w="469" w:type="pct"/>
            <w:tcBorders>
              <w:top w:val="single" w:sz="4" w:space="0" w:color="000000" w:themeColor="text1"/>
              <w:left w:val="nil"/>
              <w:bottom w:val="single" w:sz="2" w:space="0" w:color="000000" w:themeColor="text1"/>
              <w:right w:val="nil"/>
            </w:tcBorders>
            <w:vAlign w:val="center"/>
          </w:tcPr>
          <w:p w14:paraId="02114B48"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6</w:t>
            </w:r>
          </w:p>
        </w:tc>
      </w:tr>
      <w:tr w:rsidR="004D3E9C" w:rsidRPr="004D3E9C" w14:paraId="3F0D3DBE"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47510E7C"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2. Ondasun arruntak eta zerb.</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0BA57F7F"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318,93</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6718D37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290,76</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3E74B1FA"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32,6</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DDC9D70"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91</w:t>
            </w:r>
          </w:p>
        </w:tc>
        <w:tc>
          <w:tcPr>
            <w:tcW w:w="468" w:type="pct"/>
            <w:tcBorders>
              <w:top w:val="single" w:sz="2" w:space="0" w:color="000000" w:themeColor="text1"/>
              <w:left w:val="single" w:sz="2" w:space="0" w:color="auto"/>
              <w:bottom w:val="single" w:sz="2" w:space="0" w:color="000000" w:themeColor="text1"/>
              <w:right w:val="nil"/>
            </w:tcBorders>
            <w:vAlign w:val="center"/>
          </w:tcPr>
          <w:p w14:paraId="33908E75"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34,98</w:t>
            </w:r>
          </w:p>
        </w:tc>
        <w:tc>
          <w:tcPr>
            <w:tcW w:w="443" w:type="pct"/>
            <w:tcBorders>
              <w:top w:val="single" w:sz="2" w:space="0" w:color="000000" w:themeColor="text1"/>
              <w:left w:val="nil"/>
              <w:bottom w:val="single" w:sz="2" w:space="0" w:color="000000" w:themeColor="text1"/>
              <w:right w:val="single" w:sz="2" w:space="0" w:color="auto"/>
            </w:tcBorders>
            <w:vAlign w:val="center"/>
          </w:tcPr>
          <w:p w14:paraId="4BB5DDE5"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14</w:t>
            </w:r>
          </w:p>
        </w:tc>
        <w:tc>
          <w:tcPr>
            <w:tcW w:w="500" w:type="pct"/>
            <w:tcBorders>
              <w:top w:val="single" w:sz="2" w:space="0" w:color="000000" w:themeColor="text1"/>
              <w:left w:val="single" w:sz="2" w:space="0" w:color="auto"/>
              <w:bottom w:val="single" w:sz="2" w:space="0" w:color="000000" w:themeColor="text1"/>
              <w:right w:val="nil"/>
            </w:tcBorders>
            <w:vAlign w:val="center"/>
          </w:tcPr>
          <w:p w14:paraId="1B0E674C"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8,04</w:t>
            </w:r>
          </w:p>
        </w:tc>
        <w:tc>
          <w:tcPr>
            <w:tcW w:w="469" w:type="pct"/>
            <w:tcBorders>
              <w:top w:val="single" w:sz="2" w:space="0" w:color="000000" w:themeColor="text1"/>
              <w:left w:val="nil"/>
              <w:bottom w:val="single" w:sz="2" w:space="0" w:color="000000" w:themeColor="text1"/>
              <w:right w:val="nil"/>
            </w:tcBorders>
            <w:vAlign w:val="center"/>
          </w:tcPr>
          <w:p w14:paraId="129D7E91"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w:t>
            </w:r>
          </w:p>
        </w:tc>
      </w:tr>
      <w:tr w:rsidR="004D3E9C" w:rsidRPr="004D3E9C" w14:paraId="051698DC"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7A067D48"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3. Finantza-gastuak</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6013C7F"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1,58</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587AD264"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1,04</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7AE622A3"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0,1</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9CBBF06"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66</w:t>
            </w:r>
          </w:p>
        </w:tc>
        <w:tc>
          <w:tcPr>
            <w:tcW w:w="468" w:type="pct"/>
            <w:tcBorders>
              <w:top w:val="single" w:sz="2" w:space="0" w:color="000000" w:themeColor="text1"/>
              <w:left w:val="single" w:sz="2" w:space="0" w:color="auto"/>
              <w:bottom w:val="single" w:sz="2" w:space="0" w:color="000000" w:themeColor="text1"/>
              <w:right w:val="nil"/>
            </w:tcBorders>
            <w:vAlign w:val="center"/>
          </w:tcPr>
          <w:p w14:paraId="486C341A"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-0,74</w:t>
            </w:r>
          </w:p>
        </w:tc>
        <w:tc>
          <w:tcPr>
            <w:tcW w:w="443" w:type="pct"/>
            <w:tcBorders>
              <w:top w:val="single" w:sz="2" w:space="0" w:color="000000" w:themeColor="text1"/>
              <w:left w:val="nil"/>
              <w:bottom w:val="single" w:sz="2" w:space="0" w:color="000000" w:themeColor="text1"/>
              <w:right w:val="single" w:sz="2" w:space="0" w:color="auto"/>
            </w:tcBorders>
            <w:vAlign w:val="center"/>
          </w:tcPr>
          <w:p w14:paraId="7A17AB00"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-42</w:t>
            </w:r>
          </w:p>
        </w:tc>
        <w:tc>
          <w:tcPr>
            <w:tcW w:w="500" w:type="pct"/>
            <w:tcBorders>
              <w:top w:val="single" w:sz="2" w:space="0" w:color="000000" w:themeColor="text1"/>
              <w:left w:val="single" w:sz="2" w:space="0" w:color="auto"/>
              <w:bottom w:val="single" w:sz="2" w:space="0" w:color="000000" w:themeColor="text1"/>
              <w:right w:val="nil"/>
            </w:tcBorders>
            <w:vAlign w:val="center"/>
          </w:tcPr>
          <w:p w14:paraId="79080BDE"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-0,59</w:t>
            </w:r>
          </w:p>
        </w:tc>
        <w:tc>
          <w:tcPr>
            <w:tcW w:w="469" w:type="pct"/>
            <w:tcBorders>
              <w:top w:val="single" w:sz="2" w:space="0" w:color="000000" w:themeColor="text1"/>
              <w:left w:val="nil"/>
              <w:bottom w:val="single" w:sz="2" w:space="0" w:color="000000" w:themeColor="text1"/>
              <w:right w:val="nil"/>
            </w:tcBorders>
            <w:vAlign w:val="center"/>
          </w:tcPr>
          <w:p w14:paraId="44BC4101"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-36</w:t>
            </w:r>
          </w:p>
        </w:tc>
      </w:tr>
      <w:tr w:rsidR="004D3E9C" w:rsidRPr="004D3E9C" w14:paraId="03FBE5D6"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4EF2ED10"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4. Transferentzia arruntak</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87D610B"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92,04</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5D00C1DB"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82,65</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0119C6C1"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9,3</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4EA859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90</w:t>
            </w:r>
          </w:p>
        </w:tc>
        <w:tc>
          <w:tcPr>
            <w:tcW w:w="468" w:type="pct"/>
            <w:tcBorders>
              <w:top w:val="single" w:sz="2" w:space="0" w:color="000000" w:themeColor="text1"/>
              <w:left w:val="single" w:sz="2" w:space="0" w:color="auto"/>
              <w:bottom w:val="single" w:sz="2" w:space="0" w:color="000000" w:themeColor="text1"/>
              <w:right w:val="nil"/>
            </w:tcBorders>
            <w:vAlign w:val="center"/>
          </w:tcPr>
          <w:p w14:paraId="4413195E"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6,22</w:t>
            </w:r>
          </w:p>
        </w:tc>
        <w:tc>
          <w:tcPr>
            <w:tcW w:w="443" w:type="pct"/>
            <w:tcBorders>
              <w:top w:val="single" w:sz="2" w:space="0" w:color="000000" w:themeColor="text1"/>
              <w:left w:val="nil"/>
              <w:bottom w:val="single" w:sz="2" w:space="0" w:color="000000" w:themeColor="text1"/>
              <w:right w:val="single" w:sz="2" w:space="0" w:color="auto"/>
            </w:tcBorders>
            <w:vAlign w:val="center"/>
          </w:tcPr>
          <w:p w14:paraId="2BC0FC99"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8</w:t>
            </w:r>
          </w:p>
        </w:tc>
        <w:tc>
          <w:tcPr>
            <w:tcW w:w="500" w:type="pct"/>
            <w:tcBorders>
              <w:top w:val="single" w:sz="2" w:space="0" w:color="000000" w:themeColor="text1"/>
              <w:left w:val="single" w:sz="2" w:space="0" w:color="auto"/>
              <w:bottom w:val="single" w:sz="2" w:space="0" w:color="000000" w:themeColor="text1"/>
              <w:right w:val="nil"/>
            </w:tcBorders>
            <w:vAlign w:val="center"/>
          </w:tcPr>
          <w:p w14:paraId="25A73E1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10,84</w:t>
            </w:r>
          </w:p>
        </w:tc>
        <w:tc>
          <w:tcPr>
            <w:tcW w:w="469" w:type="pct"/>
            <w:tcBorders>
              <w:top w:val="single" w:sz="2" w:space="0" w:color="000000" w:themeColor="text1"/>
              <w:left w:val="nil"/>
              <w:bottom w:val="single" w:sz="2" w:space="0" w:color="000000" w:themeColor="text1"/>
              <w:right w:val="nil"/>
            </w:tcBorders>
            <w:vAlign w:val="center"/>
          </w:tcPr>
          <w:p w14:paraId="1C04ECC4"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15</w:t>
            </w:r>
          </w:p>
        </w:tc>
      </w:tr>
      <w:tr w:rsidR="004D3E9C" w:rsidRPr="004D3E9C" w14:paraId="048402F4"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71ACF2EB" w14:textId="77777777" w:rsidR="004D3E9C" w:rsidRPr="004D3E9C" w:rsidRDefault="004D3E9C" w:rsidP="004D3E9C">
            <w:pPr>
              <w:pStyle w:val="cuatexto"/>
              <w:spacing w:line="240" w:lineRule="auto"/>
              <w:rPr>
                <w:b/>
                <w:i/>
                <w:iCs/>
                <w:color w:val="000000" w:themeColor="text1"/>
                <w:sz w:val="18"/>
                <w:szCs w:val="18"/>
              </w:rPr>
            </w:pPr>
            <w:r>
              <w:rPr>
                <w:b/>
                <w:i/>
                <w:color w:val="000000" w:themeColor="text1"/>
                <w:sz w:val="18"/>
              </w:rPr>
              <w:t>Eragiketa arruntak</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2F019B6"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743,36</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201703CE"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691,51</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2DF9C184"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77,6</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181A9F6"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93</w:t>
            </w:r>
          </w:p>
        </w:tc>
        <w:tc>
          <w:tcPr>
            <w:tcW w:w="468" w:type="pct"/>
            <w:tcBorders>
              <w:top w:val="single" w:sz="2" w:space="0" w:color="000000" w:themeColor="text1"/>
              <w:left w:val="single" w:sz="2" w:space="0" w:color="auto"/>
              <w:bottom w:val="single" w:sz="2" w:space="0" w:color="000000" w:themeColor="text1"/>
              <w:right w:val="nil"/>
            </w:tcBorders>
            <w:vAlign w:val="center"/>
          </w:tcPr>
          <w:p w14:paraId="4662275F"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46,56</w:t>
            </w:r>
          </w:p>
        </w:tc>
        <w:tc>
          <w:tcPr>
            <w:tcW w:w="443" w:type="pct"/>
            <w:tcBorders>
              <w:top w:val="single" w:sz="2" w:space="0" w:color="000000" w:themeColor="text1"/>
              <w:left w:val="nil"/>
              <w:bottom w:val="single" w:sz="2" w:space="0" w:color="000000" w:themeColor="text1"/>
              <w:right w:val="single" w:sz="2" w:space="0" w:color="auto"/>
            </w:tcBorders>
            <w:vAlign w:val="center"/>
          </w:tcPr>
          <w:p w14:paraId="3E8D3BA8"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7</w:t>
            </w:r>
          </w:p>
        </w:tc>
        <w:tc>
          <w:tcPr>
            <w:tcW w:w="500" w:type="pct"/>
            <w:tcBorders>
              <w:top w:val="single" w:sz="2" w:space="0" w:color="000000" w:themeColor="text1"/>
              <w:left w:val="single" w:sz="2" w:space="0" w:color="auto"/>
              <w:bottom w:val="single" w:sz="2" w:space="0" w:color="000000" w:themeColor="text1"/>
              <w:right w:val="nil"/>
            </w:tcBorders>
            <w:vAlign w:val="center"/>
          </w:tcPr>
          <w:p w14:paraId="4B367532"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35,97</w:t>
            </w:r>
          </w:p>
        </w:tc>
        <w:tc>
          <w:tcPr>
            <w:tcW w:w="469" w:type="pct"/>
            <w:tcBorders>
              <w:top w:val="single" w:sz="2" w:space="0" w:color="000000" w:themeColor="text1"/>
              <w:left w:val="nil"/>
              <w:bottom w:val="single" w:sz="2" w:space="0" w:color="000000" w:themeColor="text1"/>
              <w:right w:val="nil"/>
            </w:tcBorders>
            <w:vAlign w:val="center"/>
          </w:tcPr>
          <w:p w14:paraId="033ADEDA"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5</w:t>
            </w:r>
          </w:p>
        </w:tc>
      </w:tr>
      <w:tr w:rsidR="004D3E9C" w:rsidRPr="004D3E9C" w14:paraId="63F1909A"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tcPr>
          <w:p w14:paraId="5771EF22"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5. Kontingentzia funtsa</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48EFC76E"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0,29</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31C29A95"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0,00</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11B114E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0,0</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17AD1E8"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w:t>
            </w:r>
          </w:p>
        </w:tc>
        <w:tc>
          <w:tcPr>
            <w:tcW w:w="468" w:type="pct"/>
            <w:tcBorders>
              <w:top w:val="single" w:sz="2" w:space="0" w:color="000000" w:themeColor="text1"/>
              <w:left w:val="single" w:sz="2" w:space="0" w:color="auto"/>
              <w:bottom w:val="single" w:sz="2" w:space="0" w:color="000000" w:themeColor="text1"/>
              <w:right w:val="nil"/>
            </w:tcBorders>
            <w:vAlign w:val="center"/>
          </w:tcPr>
          <w:p w14:paraId="6FD386C6"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0,00</w:t>
            </w:r>
          </w:p>
        </w:tc>
        <w:tc>
          <w:tcPr>
            <w:tcW w:w="443" w:type="pct"/>
            <w:tcBorders>
              <w:top w:val="single" w:sz="2" w:space="0" w:color="000000" w:themeColor="text1"/>
              <w:left w:val="nil"/>
              <w:bottom w:val="single" w:sz="2" w:space="0" w:color="000000" w:themeColor="text1"/>
              <w:right w:val="single" w:sz="2" w:space="0" w:color="auto"/>
            </w:tcBorders>
            <w:vAlign w:val="center"/>
          </w:tcPr>
          <w:p w14:paraId="20E63D70"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w:t>
            </w:r>
          </w:p>
        </w:tc>
        <w:tc>
          <w:tcPr>
            <w:tcW w:w="500" w:type="pct"/>
            <w:tcBorders>
              <w:top w:val="single" w:sz="2" w:space="0" w:color="000000" w:themeColor="text1"/>
              <w:left w:val="single" w:sz="2" w:space="0" w:color="auto"/>
              <w:bottom w:val="single" w:sz="2" w:space="0" w:color="000000" w:themeColor="text1"/>
              <w:right w:val="nil"/>
            </w:tcBorders>
            <w:vAlign w:val="center"/>
          </w:tcPr>
          <w:p w14:paraId="3BCFAD8E"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0,00</w:t>
            </w:r>
          </w:p>
        </w:tc>
        <w:tc>
          <w:tcPr>
            <w:tcW w:w="469" w:type="pct"/>
            <w:tcBorders>
              <w:top w:val="single" w:sz="2" w:space="0" w:color="000000" w:themeColor="text1"/>
              <w:left w:val="nil"/>
              <w:bottom w:val="single" w:sz="2" w:space="0" w:color="000000" w:themeColor="text1"/>
              <w:right w:val="nil"/>
            </w:tcBorders>
            <w:vAlign w:val="center"/>
          </w:tcPr>
          <w:p w14:paraId="2941FF7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w:t>
            </w:r>
          </w:p>
        </w:tc>
      </w:tr>
      <w:tr w:rsidR="004D3E9C" w:rsidRPr="004D3E9C" w14:paraId="1B06A491"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tcPr>
          <w:p w14:paraId="45455C21" w14:textId="77777777" w:rsidR="004D3E9C" w:rsidRPr="004D3E9C" w:rsidRDefault="004D3E9C" w:rsidP="004D3E9C">
            <w:pPr>
              <w:pStyle w:val="cuatexto"/>
              <w:spacing w:line="240" w:lineRule="auto"/>
              <w:rPr>
                <w:b/>
                <w:i/>
                <w:iCs/>
                <w:color w:val="000000" w:themeColor="text1"/>
                <w:sz w:val="18"/>
                <w:szCs w:val="18"/>
              </w:rPr>
            </w:pPr>
            <w:r>
              <w:rPr>
                <w:b/>
                <w:i/>
                <w:color w:val="000000" w:themeColor="text1"/>
                <w:sz w:val="18"/>
              </w:rPr>
              <w:t>Kontingentzia funtsa</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0EC4551"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0,29</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532BFA68"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0,00</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59325AA5"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0,0</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7BCC573C"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0</w:t>
            </w:r>
          </w:p>
        </w:tc>
        <w:tc>
          <w:tcPr>
            <w:tcW w:w="468" w:type="pct"/>
            <w:tcBorders>
              <w:top w:val="single" w:sz="2" w:space="0" w:color="000000" w:themeColor="text1"/>
              <w:left w:val="single" w:sz="2" w:space="0" w:color="auto"/>
              <w:bottom w:val="single" w:sz="2" w:space="0" w:color="000000" w:themeColor="text1"/>
              <w:right w:val="nil"/>
            </w:tcBorders>
            <w:vAlign w:val="center"/>
          </w:tcPr>
          <w:p w14:paraId="693B9D31"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0,00</w:t>
            </w:r>
          </w:p>
        </w:tc>
        <w:tc>
          <w:tcPr>
            <w:tcW w:w="443" w:type="pct"/>
            <w:tcBorders>
              <w:top w:val="single" w:sz="2" w:space="0" w:color="000000" w:themeColor="text1"/>
              <w:left w:val="nil"/>
              <w:bottom w:val="single" w:sz="2" w:space="0" w:color="000000" w:themeColor="text1"/>
              <w:right w:val="single" w:sz="2" w:space="0" w:color="auto"/>
            </w:tcBorders>
            <w:vAlign w:val="center"/>
          </w:tcPr>
          <w:p w14:paraId="2F0A5F82"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w:t>
            </w:r>
          </w:p>
        </w:tc>
        <w:tc>
          <w:tcPr>
            <w:tcW w:w="500" w:type="pct"/>
            <w:tcBorders>
              <w:top w:val="single" w:sz="2" w:space="0" w:color="000000" w:themeColor="text1"/>
              <w:left w:val="single" w:sz="2" w:space="0" w:color="auto"/>
              <w:bottom w:val="single" w:sz="2" w:space="0" w:color="000000" w:themeColor="text1"/>
              <w:right w:val="nil"/>
            </w:tcBorders>
            <w:vAlign w:val="center"/>
          </w:tcPr>
          <w:p w14:paraId="3BFEB79F"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0,00</w:t>
            </w:r>
          </w:p>
        </w:tc>
        <w:tc>
          <w:tcPr>
            <w:tcW w:w="469" w:type="pct"/>
            <w:tcBorders>
              <w:top w:val="single" w:sz="2" w:space="0" w:color="000000" w:themeColor="text1"/>
              <w:left w:val="nil"/>
              <w:bottom w:val="single" w:sz="2" w:space="0" w:color="000000" w:themeColor="text1"/>
              <w:right w:val="nil"/>
            </w:tcBorders>
            <w:vAlign w:val="center"/>
          </w:tcPr>
          <w:p w14:paraId="35D72DD9"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w:t>
            </w:r>
          </w:p>
        </w:tc>
      </w:tr>
      <w:tr w:rsidR="004D3E9C" w:rsidRPr="004D3E9C" w14:paraId="48B73BD2"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68E41422"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6. Inbertsio errealak</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0E544CE"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279,95</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468D4E41"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156,41</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35FFEF07"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17,5</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681AA19"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56</w:t>
            </w:r>
          </w:p>
        </w:tc>
        <w:tc>
          <w:tcPr>
            <w:tcW w:w="468" w:type="pct"/>
            <w:tcBorders>
              <w:top w:val="single" w:sz="2" w:space="0" w:color="000000" w:themeColor="text1"/>
              <w:left w:val="single" w:sz="2" w:space="0" w:color="auto"/>
              <w:bottom w:val="single" w:sz="2" w:space="0" w:color="000000" w:themeColor="text1"/>
              <w:right w:val="nil"/>
            </w:tcBorders>
            <w:vAlign w:val="center"/>
          </w:tcPr>
          <w:p w14:paraId="276750A8"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40,92</w:t>
            </w:r>
          </w:p>
        </w:tc>
        <w:tc>
          <w:tcPr>
            <w:tcW w:w="443" w:type="pct"/>
            <w:tcBorders>
              <w:top w:val="single" w:sz="2" w:space="0" w:color="000000" w:themeColor="text1"/>
              <w:left w:val="nil"/>
              <w:bottom w:val="single" w:sz="2" w:space="0" w:color="000000" w:themeColor="text1"/>
              <w:right w:val="single" w:sz="2" w:space="0" w:color="auto"/>
            </w:tcBorders>
            <w:vAlign w:val="center"/>
          </w:tcPr>
          <w:p w14:paraId="418E1320"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35</w:t>
            </w:r>
          </w:p>
        </w:tc>
        <w:tc>
          <w:tcPr>
            <w:tcW w:w="500" w:type="pct"/>
            <w:tcBorders>
              <w:top w:val="single" w:sz="2" w:space="0" w:color="000000" w:themeColor="text1"/>
              <w:left w:val="single" w:sz="2" w:space="0" w:color="auto"/>
              <w:bottom w:val="single" w:sz="2" w:space="0" w:color="000000" w:themeColor="text1"/>
              <w:right w:val="nil"/>
            </w:tcBorders>
            <w:vAlign w:val="center"/>
          </w:tcPr>
          <w:p w14:paraId="02808127"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-26,26</w:t>
            </w:r>
          </w:p>
        </w:tc>
        <w:tc>
          <w:tcPr>
            <w:tcW w:w="469" w:type="pct"/>
            <w:tcBorders>
              <w:top w:val="single" w:sz="2" w:space="0" w:color="000000" w:themeColor="text1"/>
              <w:left w:val="nil"/>
              <w:bottom w:val="single" w:sz="2" w:space="0" w:color="000000" w:themeColor="text1"/>
              <w:right w:val="nil"/>
            </w:tcBorders>
            <w:vAlign w:val="center"/>
          </w:tcPr>
          <w:p w14:paraId="16E7766F"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-14</w:t>
            </w:r>
          </w:p>
        </w:tc>
      </w:tr>
      <w:tr w:rsidR="004D3E9C" w:rsidRPr="004D3E9C" w14:paraId="3BE10AD6"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387EBA4F"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7. Kapital-transferentziak</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70BE4C6D"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24,07</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4F86E8BC"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17,50</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059B46F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2,0</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0FD72CE"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73</w:t>
            </w:r>
          </w:p>
        </w:tc>
        <w:tc>
          <w:tcPr>
            <w:tcW w:w="468" w:type="pct"/>
            <w:tcBorders>
              <w:top w:val="single" w:sz="2" w:space="0" w:color="000000" w:themeColor="text1"/>
              <w:left w:val="single" w:sz="2" w:space="0" w:color="auto"/>
              <w:bottom w:val="single" w:sz="2" w:space="0" w:color="000000" w:themeColor="text1"/>
              <w:right w:val="nil"/>
            </w:tcBorders>
            <w:vAlign w:val="center"/>
          </w:tcPr>
          <w:p w14:paraId="062A07DB"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9,41</w:t>
            </w:r>
          </w:p>
        </w:tc>
        <w:tc>
          <w:tcPr>
            <w:tcW w:w="443" w:type="pct"/>
            <w:tcBorders>
              <w:top w:val="single" w:sz="2" w:space="0" w:color="000000" w:themeColor="text1"/>
              <w:left w:val="nil"/>
              <w:bottom w:val="single" w:sz="2" w:space="0" w:color="000000" w:themeColor="text1"/>
              <w:right w:val="single" w:sz="2" w:space="0" w:color="auto"/>
            </w:tcBorders>
            <w:vAlign w:val="center"/>
          </w:tcPr>
          <w:p w14:paraId="157C06D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116</w:t>
            </w:r>
          </w:p>
        </w:tc>
        <w:tc>
          <w:tcPr>
            <w:tcW w:w="500" w:type="pct"/>
            <w:tcBorders>
              <w:top w:val="single" w:sz="2" w:space="0" w:color="000000" w:themeColor="text1"/>
              <w:left w:val="single" w:sz="2" w:space="0" w:color="auto"/>
              <w:bottom w:val="single" w:sz="2" w:space="0" w:color="000000" w:themeColor="text1"/>
              <w:right w:val="nil"/>
            </w:tcBorders>
            <w:vAlign w:val="center"/>
          </w:tcPr>
          <w:p w14:paraId="521E6AD9"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0,76</w:t>
            </w:r>
          </w:p>
        </w:tc>
        <w:tc>
          <w:tcPr>
            <w:tcW w:w="469" w:type="pct"/>
            <w:tcBorders>
              <w:top w:val="single" w:sz="2" w:space="0" w:color="000000" w:themeColor="text1"/>
              <w:left w:val="nil"/>
              <w:bottom w:val="single" w:sz="2" w:space="0" w:color="000000" w:themeColor="text1"/>
              <w:right w:val="nil"/>
            </w:tcBorders>
            <w:vAlign w:val="center"/>
          </w:tcPr>
          <w:p w14:paraId="73F5E863"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5</w:t>
            </w:r>
          </w:p>
        </w:tc>
      </w:tr>
      <w:tr w:rsidR="004D3E9C" w:rsidRPr="004D3E9C" w14:paraId="643F9470"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43698ABC" w14:textId="77777777" w:rsidR="004D3E9C" w:rsidRPr="004D3E9C" w:rsidRDefault="004D3E9C" w:rsidP="004D3E9C">
            <w:pPr>
              <w:pStyle w:val="cuatexto"/>
              <w:spacing w:line="240" w:lineRule="auto"/>
              <w:rPr>
                <w:b/>
                <w:i/>
                <w:iCs/>
                <w:color w:val="000000" w:themeColor="text1"/>
                <w:sz w:val="18"/>
                <w:szCs w:val="18"/>
              </w:rPr>
            </w:pPr>
            <w:r>
              <w:rPr>
                <w:b/>
                <w:i/>
                <w:color w:val="000000" w:themeColor="text1"/>
                <w:sz w:val="18"/>
              </w:rPr>
              <w:t>Kapital-eragiketak</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42FC23B7"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304,03</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5DF30004"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173,91</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4E547FCE"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19,5</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AB7E053"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57</w:t>
            </w:r>
          </w:p>
        </w:tc>
        <w:tc>
          <w:tcPr>
            <w:tcW w:w="468" w:type="pct"/>
            <w:tcBorders>
              <w:top w:val="single" w:sz="2" w:space="0" w:color="000000" w:themeColor="text1"/>
              <w:left w:val="single" w:sz="2" w:space="0" w:color="auto"/>
              <w:bottom w:val="single" w:sz="2" w:space="0" w:color="000000" w:themeColor="text1"/>
              <w:right w:val="nil"/>
            </w:tcBorders>
            <w:vAlign w:val="center"/>
          </w:tcPr>
          <w:p w14:paraId="1B258581"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50,32</w:t>
            </w:r>
          </w:p>
        </w:tc>
        <w:tc>
          <w:tcPr>
            <w:tcW w:w="443" w:type="pct"/>
            <w:tcBorders>
              <w:top w:val="single" w:sz="2" w:space="0" w:color="000000" w:themeColor="text1"/>
              <w:left w:val="nil"/>
              <w:bottom w:val="single" w:sz="2" w:space="0" w:color="000000" w:themeColor="text1"/>
              <w:right w:val="single" w:sz="2" w:space="0" w:color="auto"/>
            </w:tcBorders>
            <w:vAlign w:val="center"/>
          </w:tcPr>
          <w:p w14:paraId="097F65EE"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41</w:t>
            </w:r>
          </w:p>
        </w:tc>
        <w:tc>
          <w:tcPr>
            <w:tcW w:w="500" w:type="pct"/>
            <w:tcBorders>
              <w:top w:val="single" w:sz="2" w:space="0" w:color="000000" w:themeColor="text1"/>
              <w:left w:val="single" w:sz="2" w:space="0" w:color="auto"/>
              <w:bottom w:val="single" w:sz="2" w:space="0" w:color="000000" w:themeColor="text1"/>
              <w:right w:val="nil"/>
            </w:tcBorders>
            <w:vAlign w:val="center"/>
          </w:tcPr>
          <w:p w14:paraId="77761A8C"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-25,50</w:t>
            </w:r>
          </w:p>
        </w:tc>
        <w:tc>
          <w:tcPr>
            <w:tcW w:w="469" w:type="pct"/>
            <w:tcBorders>
              <w:top w:val="single" w:sz="2" w:space="0" w:color="000000" w:themeColor="text1"/>
              <w:left w:val="nil"/>
              <w:bottom w:val="single" w:sz="2" w:space="0" w:color="000000" w:themeColor="text1"/>
              <w:right w:val="nil"/>
            </w:tcBorders>
            <w:vAlign w:val="center"/>
          </w:tcPr>
          <w:p w14:paraId="08E56AD1"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-13</w:t>
            </w:r>
          </w:p>
        </w:tc>
      </w:tr>
      <w:tr w:rsidR="004D3E9C" w:rsidRPr="004D3E9C" w14:paraId="396E652D"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762E7596"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8. Finantza-aktiboak</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F61E0B8"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0,52</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18F6DBF9"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0,81</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51618CF0"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0,1</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2668B6D8"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155</w:t>
            </w:r>
          </w:p>
        </w:tc>
        <w:tc>
          <w:tcPr>
            <w:tcW w:w="468" w:type="pct"/>
            <w:tcBorders>
              <w:top w:val="single" w:sz="2" w:space="0" w:color="000000" w:themeColor="text1"/>
              <w:left w:val="single" w:sz="2" w:space="0" w:color="auto"/>
              <w:bottom w:val="single" w:sz="2" w:space="0" w:color="000000" w:themeColor="text1"/>
              <w:right w:val="nil"/>
            </w:tcBorders>
            <w:vAlign w:val="center"/>
          </w:tcPr>
          <w:p w14:paraId="1A3B4647"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-1,28</w:t>
            </w:r>
          </w:p>
        </w:tc>
        <w:tc>
          <w:tcPr>
            <w:tcW w:w="443" w:type="pct"/>
            <w:tcBorders>
              <w:top w:val="single" w:sz="2" w:space="0" w:color="000000" w:themeColor="text1"/>
              <w:left w:val="nil"/>
              <w:bottom w:val="single" w:sz="2" w:space="0" w:color="000000" w:themeColor="text1"/>
              <w:right w:val="single" w:sz="2" w:space="0" w:color="auto"/>
            </w:tcBorders>
            <w:vAlign w:val="center"/>
          </w:tcPr>
          <w:p w14:paraId="6F03C20B"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-61</w:t>
            </w:r>
          </w:p>
        </w:tc>
        <w:tc>
          <w:tcPr>
            <w:tcW w:w="500" w:type="pct"/>
            <w:tcBorders>
              <w:top w:val="single" w:sz="2" w:space="0" w:color="000000" w:themeColor="text1"/>
              <w:left w:val="single" w:sz="2" w:space="0" w:color="auto"/>
              <w:bottom w:val="single" w:sz="2" w:space="0" w:color="000000" w:themeColor="text1"/>
              <w:right w:val="nil"/>
            </w:tcBorders>
            <w:vAlign w:val="center"/>
          </w:tcPr>
          <w:p w14:paraId="7E381F4C"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-0,70</w:t>
            </w:r>
          </w:p>
        </w:tc>
        <w:tc>
          <w:tcPr>
            <w:tcW w:w="469" w:type="pct"/>
            <w:tcBorders>
              <w:top w:val="single" w:sz="2" w:space="0" w:color="000000" w:themeColor="text1"/>
              <w:left w:val="nil"/>
              <w:bottom w:val="single" w:sz="2" w:space="0" w:color="000000" w:themeColor="text1"/>
              <w:right w:val="nil"/>
            </w:tcBorders>
            <w:vAlign w:val="center"/>
          </w:tcPr>
          <w:p w14:paraId="4A1597D3"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-46</w:t>
            </w:r>
          </w:p>
        </w:tc>
      </w:tr>
      <w:tr w:rsidR="004D3E9C" w:rsidRPr="004D3E9C" w14:paraId="1E2F125D"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5B2C3BEC" w14:textId="77777777" w:rsidR="004D3E9C" w:rsidRPr="004D3E9C" w:rsidRDefault="004D3E9C" w:rsidP="004D3E9C">
            <w:pPr>
              <w:pStyle w:val="cuatexto"/>
              <w:spacing w:line="240" w:lineRule="auto"/>
              <w:rPr>
                <w:color w:val="000000" w:themeColor="text1"/>
                <w:sz w:val="18"/>
                <w:szCs w:val="18"/>
              </w:rPr>
            </w:pPr>
            <w:r>
              <w:rPr>
                <w:color w:val="000000" w:themeColor="text1"/>
                <w:sz w:val="18"/>
              </w:rPr>
              <w:t>9. Finantza-pasiboak</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4B03BF00"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25,34</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69C33CE9"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25,17</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0204B5A7"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2,8</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09B97694"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99</w:t>
            </w:r>
          </w:p>
        </w:tc>
        <w:tc>
          <w:tcPr>
            <w:tcW w:w="468" w:type="pct"/>
            <w:tcBorders>
              <w:top w:val="single" w:sz="2" w:space="0" w:color="000000" w:themeColor="text1"/>
              <w:left w:val="single" w:sz="2" w:space="0" w:color="auto"/>
              <w:bottom w:val="single" w:sz="2" w:space="0" w:color="000000" w:themeColor="text1"/>
              <w:right w:val="nil"/>
            </w:tcBorders>
            <w:vAlign w:val="center"/>
          </w:tcPr>
          <w:p w14:paraId="2B06B402"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-3,39</w:t>
            </w:r>
          </w:p>
        </w:tc>
        <w:tc>
          <w:tcPr>
            <w:tcW w:w="443" w:type="pct"/>
            <w:tcBorders>
              <w:top w:val="single" w:sz="2" w:space="0" w:color="000000" w:themeColor="text1"/>
              <w:left w:val="nil"/>
              <w:bottom w:val="single" w:sz="2" w:space="0" w:color="000000" w:themeColor="text1"/>
              <w:right w:val="single" w:sz="2" w:space="0" w:color="auto"/>
            </w:tcBorders>
            <w:vAlign w:val="center"/>
          </w:tcPr>
          <w:p w14:paraId="3B346997"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-12</w:t>
            </w:r>
          </w:p>
        </w:tc>
        <w:tc>
          <w:tcPr>
            <w:tcW w:w="500" w:type="pct"/>
            <w:tcBorders>
              <w:top w:val="single" w:sz="2" w:space="0" w:color="000000" w:themeColor="text1"/>
              <w:left w:val="single" w:sz="2" w:space="0" w:color="auto"/>
              <w:bottom w:val="single" w:sz="2" w:space="0" w:color="000000" w:themeColor="text1"/>
              <w:right w:val="nil"/>
            </w:tcBorders>
            <w:vAlign w:val="center"/>
          </w:tcPr>
          <w:p w14:paraId="64C38B46"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-3,74</w:t>
            </w:r>
          </w:p>
        </w:tc>
        <w:tc>
          <w:tcPr>
            <w:tcW w:w="469" w:type="pct"/>
            <w:tcBorders>
              <w:top w:val="single" w:sz="2" w:space="0" w:color="000000" w:themeColor="text1"/>
              <w:left w:val="nil"/>
              <w:bottom w:val="single" w:sz="2" w:space="0" w:color="000000" w:themeColor="text1"/>
              <w:right w:val="nil"/>
            </w:tcBorders>
            <w:vAlign w:val="center"/>
          </w:tcPr>
          <w:p w14:paraId="3CC2F49D" w14:textId="77777777" w:rsidR="004D3E9C" w:rsidRPr="004D3E9C" w:rsidRDefault="004D3E9C" w:rsidP="004D3E9C">
            <w:pPr>
              <w:spacing w:after="0"/>
              <w:ind w:firstLine="0"/>
              <w:jc w:val="right"/>
              <w:rPr>
                <w:rFonts w:ascii="Arial Narrow" w:hAnsi="Arial Narrow" w:cs="Calibri"/>
                <w:sz w:val="18"/>
                <w:szCs w:val="18"/>
              </w:rPr>
            </w:pPr>
            <w:r>
              <w:rPr>
                <w:rFonts w:ascii="Arial Narrow" w:hAnsi="Arial Narrow"/>
                <w:sz w:val="18"/>
              </w:rPr>
              <w:t>-13</w:t>
            </w:r>
          </w:p>
        </w:tc>
      </w:tr>
      <w:tr w:rsidR="004D3E9C" w:rsidRPr="004D3E9C" w14:paraId="43A66321" w14:textId="77777777" w:rsidTr="003C4E24">
        <w:trPr>
          <w:trHeight w:val="227"/>
          <w:jc w:val="center"/>
        </w:trPr>
        <w:tc>
          <w:tcPr>
            <w:tcW w:w="1181" w:type="pct"/>
            <w:tcBorders>
              <w:top w:val="single" w:sz="2" w:space="0" w:color="000000" w:themeColor="text1"/>
              <w:left w:val="nil"/>
              <w:bottom w:val="single" w:sz="4" w:space="0" w:color="000000" w:themeColor="text1"/>
              <w:right w:val="nil"/>
            </w:tcBorders>
            <w:shd w:val="clear" w:color="auto" w:fill="auto"/>
            <w:vAlign w:val="center"/>
            <w:hideMark/>
          </w:tcPr>
          <w:p w14:paraId="0EE03FC6" w14:textId="77777777" w:rsidR="004D3E9C" w:rsidRPr="004D3E9C" w:rsidRDefault="004D3E9C" w:rsidP="004D3E9C">
            <w:pPr>
              <w:pStyle w:val="cuatexto"/>
              <w:spacing w:line="240" w:lineRule="auto"/>
              <w:rPr>
                <w:b/>
                <w:i/>
                <w:iCs/>
                <w:color w:val="000000" w:themeColor="text1"/>
                <w:sz w:val="18"/>
                <w:szCs w:val="18"/>
              </w:rPr>
            </w:pPr>
            <w:r>
              <w:rPr>
                <w:b/>
                <w:i/>
                <w:color w:val="000000" w:themeColor="text1"/>
                <w:sz w:val="18"/>
              </w:rPr>
              <w:t>Finantza-eragiketak</w:t>
            </w:r>
          </w:p>
        </w:tc>
        <w:tc>
          <w:tcPr>
            <w:tcW w:w="554" w:type="pct"/>
            <w:tcBorders>
              <w:top w:val="single" w:sz="2" w:space="0" w:color="000000" w:themeColor="text1"/>
              <w:left w:val="nil"/>
              <w:bottom w:val="single" w:sz="4" w:space="0" w:color="000000" w:themeColor="text1"/>
              <w:right w:val="single" w:sz="2" w:space="0" w:color="auto"/>
            </w:tcBorders>
            <w:shd w:val="clear" w:color="auto" w:fill="auto"/>
            <w:vAlign w:val="center"/>
          </w:tcPr>
          <w:p w14:paraId="4BFB3511"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25,87</w:t>
            </w:r>
          </w:p>
        </w:tc>
        <w:tc>
          <w:tcPr>
            <w:tcW w:w="394" w:type="pct"/>
            <w:tcBorders>
              <w:top w:val="single" w:sz="2" w:space="0" w:color="000000" w:themeColor="text1"/>
              <w:left w:val="single" w:sz="2" w:space="0" w:color="auto"/>
              <w:bottom w:val="single" w:sz="4" w:space="0" w:color="000000" w:themeColor="text1"/>
              <w:right w:val="nil"/>
            </w:tcBorders>
            <w:shd w:val="clear" w:color="auto" w:fill="auto"/>
            <w:vAlign w:val="center"/>
          </w:tcPr>
          <w:p w14:paraId="7F2FB878"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25,98</w:t>
            </w:r>
          </w:p>
        </w:tc>
        <w:tc>
          <w:tcPr>
            <w:tcW w:w="553" w:type="pct"/>
            <w:tcBorders>
              <w:top w:val="single" w:sz="2" w:space="0" w:color="000000" w:themeColor="text1"/>
              <w:left w:val="nil"/>
              <w:bottom w:val="single" w:sz="4" w:space="0" w:color="000000" w:themeColor="text1"/>
              <w:right w:val="nil"/>
            </w:tcBorders>
            <w:shd w:val="clear" w:color="auto" w:fill="auto"/>
            <w:vAlign w:val="center"/>
          </w:tcPr>
          <w:p w14:paraId="64C4D7FD"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2,9</w:t>
            </w:r>
          </w:p>
        </w:tc>
        <w:tc>
          <w:tcPr>
            <w:tcW w:w="437" w:type="pct"/>
            <w:tcBorders>
              <w:top w:val="single" w:sz="2" w:space="0" w:color="000000" w:themeColor="text1"/>
              <w:left w:val="nil"/>
              <w:bottom w:val="single" w:sz="4" w:space="0" w:color="000000" w:themeColor="text1"/>
              <w:right w:val="single" w:sz="2" w:space="0" w:color="auto"/>
            </w:tcBorders>
            <w:shd w:val="clear" w:color="auto" w:fill="auto"/>
            <w:vAlign w:val="center"/>
          </w:tcPr>
          <w:p w14:paraId="6E9F039D"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100</w:t>
            </w:r>
          </w:p>
        </w:tc>
        <w:tc>
          <w:tcPr>
            <w:tcW w:w="468" w:type="pct"/>
            <w:tcBorders>
              <w:top w:val="single" w:sz="2" w:space="0" w:color="000000" w:themeColor="text1"/>
              <w:left w:val="single" w:sz="2" w:space="0" w:color="auto"/>
              <w:bottom w:val="single" w:sz="4" w:space="0" w:color="000000" w:themeColor="text1"/>
              <w:right w:val="nil"/>
            </w:tcBorders>
            <w:vAlign w:val="center"/>
          </w:tcPr>
          <w:p w14:paraId="655A7DCB"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-4,66</w:t>
            </w:r>
          </w:p>
        </w:tc>
        <w:tc>
          <w:tcPr>
            <w:tcW w:w="443" w:type="pct"/>
            <w:tcBorders>
              <w:top w:val="single" w:sz="2" w:space="0" w:color="000000" w:themeColor="text1"/>
              <w:left w:val="nil"/>
              <w:bottom w:val="single" w:sz="4" w:space="0" w:color="000000" w:themeColor="text1"/>
              <w:right w:val="single" w:sz="2" w:space="0" w:color="auto"/>
            </w:tcBorders>
            <w:vAlign w:val="center"/>
          </w:tcPr>
          <w:p w14:paraId="5B98B3FB"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-15</w:t>
            </w:r>
          </w:p>
        </w:tc>
        <w:tc>
          <w:tcPr>
            <w:tcW w:w="500" w:type="pct"/>
            <w:tcBorders>
              <w:top w:val="single" w:sz="2" w:space="0" w:color="000000" w:themeColor="text1"/>
              <w:left w:val="single" w:sz="2" w:space="0" w:color="auto"/>
              <w:bottom w:val="single" w:sz="4" w:space="0" w:color="000000" w:themeColor="text1"/>
              <w:right w:val="nil"/>
            </w:tcBorders>
            <w:vAlign w:val="center"/>
          </w:tcPr>
          <w:p w14:paraId="0C3D78DB"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-4,44</w:t>
            </w:r>
          </w:p>
        </w:tc>
        <w:tc>
          <w:tcPr>
            <w:tcW w:w="469" w:type="pct"/>
            <w:tcBorders>
              <w:top w:val="single" w:sz="2" w:space="0" w:color="000000" w:themeColor="text1"/>
              <w:left w:val="nil"/>
              <w:bottom w:val="single" w:sz="4" w:space="0" w:color="000000" w:themeColor="text1"/>
              <w:right w:val="nil"/>
            </w:tcBorders>
            <w:vAlign w:val="center"/>
          </w:tcPr>
          <w:p w14:paraId="2D5226C7" w14:textId="77777777" w:rsidR="004D3E9C" w:rsidRPr="004D3E9C" w:rsidRDefault="004D3E9C" w:rsidP="004D3E9C">
            <w:pPr>
              <w:spacing w:after="0"/>
              <w:ind w:firstLine="0"/>
              <w:jc w:val="right"/>
              <w:rPr>
                <w:rFonts w:ascii="Arial Narrow" w:hAnsi="Arial Narrow" w:cs="Calibri"/>
                <w:b/>
                <w:bCs/>
                <w:i/>
                <w:iCs/>
                <w:sz w:val="18"/>
                <w:szCs w:val="18"/>
              </w:rPr>
            </w:pPr>
            <w:r>
              <w:rPr>
                <w:rFonts w:ascii="Arial Narrow" w:hAnsi="Arial Narrow"/>
                <w:b/>
                <w:i/>
                <w:sz w:val="18"/>
              </w:rPr>
              <w:t>-15</w:t>
            </w:r>
          </w:p>
        </w:tc>
      </w:tr>
      <w:tr w:rsidR="004D3E9C" w:rsidRPr="004D3E9C" w14:paraId="5FBC55C9" w14:textId="77777777" w:rsidTr="003C4E24">
        <w:trPr>
          <w:trHeight w:val="227"/>
          <w:jc w:val="center"/>
        </w:trPr>
        <w:tc>
          <w:tcPr>
            <w:tcW w:w="1181" w:type="pct"/>
            <w:tcBorders>
              <w:top w:val="nil"/>
              <w:left w:val="nil"/>
              <w:bottom w:val="single" w:sz="4" w:space="0" w:color="000000" w:themeColor="text1"/>
              <w:right w:val="nil"/>
            </w:tcBorders>
            <w:shd w:val="clear" w:color="auto" w:fill="FABF8F" w:themeFill="accent6" w:themeFillTint="99"/>
            <w:vAlign w:val="center"/>
            <w:hideMark/>
          </w:tcPr>
          <w:p w14:paraId="6135C3BA" w14:textId="77777777" w:rsidR="004D3E9C" w:rsidRPr="004D3E9C" w:rsidRDefault="004D3E9C" w:rsidP="004D3E9C">
            <w:pPr>
              <w:pStyle w:val="cuadroCabe"/>
              <w:spacing w:line="240" w:lineRule="auto"/>
              <w:rPr>
                <w:rFonts w:cs="Arial"/>
                <w:sz w:val="16"/>
                <w:szCs w:val="16"/>
              </w:rPr>
            </w:pPr>
            <w:r>
              <w:rPr>
                <w:sz w:val="16"/>
              </w:rPr>
              <w:t xml:space="preserve"> Guztira</w:t>
            </w:r>
          </w:p>
        </w:tc>
        <w:tc>
          <w:tcPr>
            <w:tcW w:w="554" w:type="pct"/>
            <w:tcBorders>
              <w:top w:val="nil"/>
              <w:left w:val="nil"/>
              <w:bottom w:val="single" w:sz="4" w:space="0" w:color="000000" w:themeColor="text1"/>
              <w:right w:val="single" w:sz="2" w:space="0" w:color="auto"/>
            </w:tcBorders>
            <w:shd w:val="clear" w:color="auto" w:fill="FABF8F" w:themeFill="accent6" w:themeFillTint="99"/>
            <w:vAlign w:val="center"/>
          </w:tcPr>
          <w:p w14:paraId="66A28F22" w14:textId="77777777" w:rsidR="004D3E9C" w:rsidRPr="004D3E9C" w:rsidRDefault="004D3E9C" w:rsidP="004D3E9C">
            <w:pPr>
              <w:spacing w:after="0"/>
              <w:ind w:firstLine="0"/>
              <w:jc w:val="right"/>
              <w:rPr>
                <w:rFonts w:ascii="Arial" w:hAnsi="Arial" w:cs="Arial"/>
                <w:sz w:val="16"/>
                <w:szCs w:val="16"/>
              </w:rPr>
            </w:pPr>
            <w:r>
              <w:rPr>
                <w:rFonts w:ascii="Arial" w:hAnsi="Arial"/>
                <w:sz w:val="16"/>
              </w:rPr>
              <w:t>1.073,54</w:t>
            </w:r>
          </w:p>
        </w:tc>
        <w:tc>
          <w:tcPr>
            <w:tcW w:w="394" w:type="pct"/>
            <w:tcBorders>
              <w:top w:val="nil"/>
              <w:left w:val="single" w:sz="2" w:space="0" w:color="auto"/>
              <w:bottom w:val="single" w:sz="4" w:space="0" w:color="auto"/>
              <w:right w:val="nil"/>
            </w:tcBorders>
            <w:shd w:val="clear" w:color="auto" w:fill="FABF8F" w:themeFill="accent6" w:themeFillTint="99"/>
            <w:vAlign w:val="center"/>
          </w:tcPr>
          <w:p w14:paraId="055A0005" w14:textId="77777777" w:rsidR="004D3E9C" w:rsidRPr="004D3E9C" w:rsidRDefault="004D3E9C" w:rsidP="004D3E9C">
            <w:pPr>
              <w:spacing w:after="0"/>
              <w:ind w:firstLine="0"/>
              <w:jc w:val="right"/>
              <w:rPr>
                <w:rFonts w:ascii="Arial" w:hAnsi="Arial" w:cs="Arial"/>
                <w:sz w:val="16"/>
                <w:szCs w:val="16"/>
              </w:rPr>
            </w:pPr>
            <w:r>
              <w:rPr>
                <w:rFonts w:ascii="Arial" w:hAnsi="Arial"/>
                <w:sz w:val="16"/>
              </w:rPr>
              <w:t>891,40</w:t>
            </w:r>
          </w:p>
        </w:tc>
        <w:tc>
          <w:tcPr>
            <w:tcW w:w="553" w:type="pct"/>
            <w:tcBorders>
              <w:top w:val="nil"/>
              <w:left w:val="nil"/>
              <w:bottom w:val="single" w:sz="4" w:space="0" w:color="auto"/>
              <w:right w:val="nil"/>
            </w:tcBorders>
            <w:shd w:val="clear" w:color="auto" w:fill="FABF8F" w:themeFill="accent6" w:themeFillTint="99"/>
            <w:vAlign w:val="center"/>
          </w:tcPr>
          <w:p w14:paraId="68BF6C2C" w14:textId="77777777" w:rsidR="004D3E9C" w:rsidRPr="004D3E9C" w:rsidRDefault="004D3E9C" w:rsidP="004D3E9C">
            <w:pPr>
              <w:spacing w:after="0"/>
              <w:ind w:firstLine="0"/>
              <w:jc w:val="right"/>
              <w:rPr>
                <w:rFonts w:ascii="Arial" w:hAnsi="Arial" w:cs="Arial"/>
                <w:sz w:val="16"/>
                <w:szCs w:val="16"/>
              </w:rPr>
            </w:pPr>
            <w:r>
              <w:rPr>
                <w:rFonts w:ascii="Arial" w:hAnsi="Arial"/>
                <w:sz w:val="16"/>
              </w:rPr>
              <w:t>100</w:t>
            </w:r>
          </w:p>
        </w:tc>
        <w:tc>
          <w:tcPr>
            <w:tcW w:w="437" w:type="pct"/>
            <w:tcBorders>
              <w:top w:val="nil"/>
              <w:left w:val="nil"/>
              <w:bottom w:val="single" w:sz="4" w:space="0" w:color="auto"/>
              <w:right w:val="single" w:sz="2" w:space="0" w:color="auto"/>
            </w:tcBorders>
            <w:shd w:val="clear" w:color="auto" w:fill="FABF8F" w:themeFill="accent6" w:themeFillTint="99"/>
            <w:vAlign w:val="center"/>
          </w:tcPr>
          <w:p w14:paraId="12A5C235" w14:textId="77777777" w:rsidR="004D3E9C" w:rsidRPr="004D3E9C" w:rsidRDefault="004D3E9C" w:rsidP="004D3E9C">
            <w:pPr>
              <w:spacing w:after="0"/>
              <w:ind w:firstLine="0"/>
              <w:jc w:val="right"/>
              <w:rPr>
                <w:rFonts w:ascii="Arial" w:hAnsi="Arial" w:cs="Arial"/>
                <w:sz w:val="16"/>
                <w:szCs w:val="16"/>
              </w:rPr>
            </w:pPr>
            <w:r>
              <w:rPr>
                <w:rFonts w:ascii="Arial" w:hAnsi="Arial"/>
                <w:sz w:val="16"/>
              </w:rPr>
              <w:t>83</w:t>
            </w:r>
          </w:p>
        </w:tc>
        <w:tc>
          <w:tcPr>
            <w:tcW w:w="468" w:type="pct"/>
            <w:tcBorders>
              <w:top w:val="nil"/>
              <w:left w:val="single" w:sz="2" w:space="0" w:color="auto"/>
              <w:bottom w:val="single" w:sz="4" w:space="0" w:color="auto"/>
              <w:right w:val="nil"/>
            </w:tcBorders>
            <w:shd w:val="clear" w:color="auto" w:fill="FABF8F" w:themeFill="accent6" w:themeFillTint="99"/>
            <w:vAlign w:val="center"/>
          </w:tcPr>
          <w:p w14:paraId="7C182625" w14:textId="77777777" w:rsidR="004D3E9C" w:rsidRPr="004D3E9C" w:rsidRDefault="004D3E9C" w:rsidP="004D3E9C">
            <w:pPr>
              <w:spacing w:after="0"/>
              <w:ind w:firstLine="0"/>
              <w:jc w:val="right"/>
              <w:rPr>
                <w:rFonts w:ascii="Arial" w:hAnsi="Arial" w:cs="Arial"/>
                <w:sz w:val="16"/>
                <w:szCs w:val="16"/>
              </w:rPr>
            </w:pPr>
            <w:r>
              <w:rPr>
                <w:rFonts w:ascii="Arial" w:hAnsi="Arial"/>
                <w:sz w:val="16"/>
              </w:rPr>
              <w:t>92,22</w:t>
            </w:r>
          </w:p>
        </w:tc>
        <w:tc>
          <w:tcPr>
            <w:tcW w:w="443" w:type="pct"/>
            <w:tcBorders>
              <w:top w:val="nil"/>
              <w:left w:val="nil"/>
              <w:bottom w:val="single" w:sz="4" w:space="0" w:color="auto"/>
              <w:right w:val="single" w:sz="2" w:space="0" w:color="auto"/>
            </w:tcBorders>
            <w:shd w:val="clear" w:color="auto" w:fill="FABF8F" w:themeFill="accent6" w:themeFillTint="99"/>
            <w:vAlign w:val="center"/>
          </w:tcPr>
          <w:p w14:paraId="457C50CD" w14:textId="77777777" w:rsidR="004D3E9C" w:rsidRPr="004D3E9C" w:rsidRDefault="004D3E9C" w:rsidP="004D3E9C">
            <w:pPr>
              <w:spacing w:after="0"/>
              <w:ind w:firstLine="0"/>
              <w:jc w:val="right"/>
              <w:rPr>
                <w:rFonts w:ascii="Arial" w:hAnsi="Arial" w:cs="Arial"/>
                <w:sz w:val="16"/>
                <w:szCs w:val="16"/>
              </w:rPr>
            </w:pPr>
            <w:r>
              <w:rPr>
                <w:rFonts w:ascii="Arial" w:hAnsi="Arial"/>
                <w:sz w:val="16"/>
              </w:rPr>
              <w:t>12</w:t>
            </w:r>
          </w:p>
        </w:tc>
        <w:tc>
          <w:tcPr>
            <w:tcW w:w="500" w:type="pct"/>
            <w:tcBorders>
              <w:top w:val="nil"/>
              <w:left w:val="single" w:sz="2" w:space="0" w:color="auto"/>
              <w:bottom w:val="single" w:sz="4" w:space="0" w:color="000000" w:themeColor="text1"/>
              <w:right w:val="nil"/>
            </w:tcBorders>
            <w:shd w:val="clear" w:color="auto" w:fill="FABF8F" w:themeFill="accent6" w:themeFillTint="99"/>
            <w:vAlign w:val="center"/>
          </w:tcPr>
          <w:p w14:paraId="4D34AFF3" w14:textId="77777777" w:rsidR="004D3E9C" w:rsidRPr="004D3E9C" w:rsidRDefault="004D3E9C" w:rsidP="004D3E9C">
            <w:pPr>
              <w:spacing w:after="0"/>
              <w:ind w:firstLine="0"/>
              <w:jc w:val="right"/>
              <w:rPr>
                <w:rFonts w:ascii="Arial" w:hAnsi="Arial" w:cs="Arial"/>
                <w:sz w:val="16"/>
                <w:szCs w:val="16"/>
              </w:rPr>
            </w:pPr>
            <w:r>
              <w:rPr>
                <w:rFonts w:ascii="Arial" w:hAnsi="Arial"/>
                <w:sz w:val="16"/>
              </w:rPr>
              <w:t>6,03</w:t>
            </w:r>
          </w:p>
        </w:tc>
        <w:tc>
          <w:tcPr>
            <w:tcW w:w="469" w:type="pct"/>
            <w:tcBorders>
              <w:top w:val="nil"/>
              <w:left w:val="nil"/>
              <w:bottom w:val="single" w:sz="4" w:space="0" w:color="000000" w:themeColor="text1"/>
              <w:right w:val="nil"/>
            </w:tcBorders>
            <w:shd w:val="clear" w:color="auto" w:fill="FABF8F" w:themeFill="accent6" w:themeFillTint="99"/>
            <w:vAlign w:val="center"/>
          </w:tcPr>
          <w:p w14:paraId="794ED132" w14:textId="77777777" w:rsidR="004D3E9C" w:rsidRPr="004D3E9C" w:rsidRDefault="004D3E9C" w:rsidP="004D3E9C">
            <w:pPr>
              <w:spacing w:after="0"/>
              <w:ind w:firstLine="0"/>
              <w:jc w:val="right"/>
              <w:rPr>
                <w:rFonts w:ascii="Arial" w:hAnsi="Arial" w:cs="Arial"/>
                <w:sz w:val="16"/>
                <w:szCs w:val="16"/>
              </w:rPr>
            </w:pPr>
            <w:r>
              <w:rPr>
                <w:rFonts w:ascii="Arial" w:hAnsi="Arial"/>
                <w:sz w:val="16"/>
              </w:rPr>
              <w:t>1</w:t>
            </w:r>
          </w:p>
        </w:tc>
      </w:tr>
    </w:tbl>
    <w:p w14:paraId="5733EC24" w14:textId="77777777" w:rsidR="004D3E9C" w:rsidRPr="00033257" w:rsidRDefault="004D3E9C" w:rsidP="004D3E9C">
      <w:pPr>
        <w:pStyle w:val="texto"/>
        <w:spacing w:before="60" w:after="40"/>
        <w:ind w:right="-567" w:firstLine="0"/>
        <w:rPr>
          <w:rFonts w:ascii="Arial" w:hAnsi="Arial" w:cs="Arial"/>
          <w:i/>
          <w:color w:val="000000" w:themeColor="text1"/>
          <w:sz w:val="14"/>
          <w:szCs w:val="14"/>
        </w:rPr>
      </w:pPr>
      <w:r>
        <w:rPr>
          <w:rFonts w:ascii="Arial" w:hAnsi="Arial"/>
          <w:color w:val="000000" w:themeColor="text1"/>
          <w:sz w:val="14"/>
        </w:rPr>
        <w:t>(*) Toki-entitateak eta haien menpeko EEAAk sartu dira, baina ez sozietate publikoak, fundazio publikoak eta partzuergoak.</w:t>
      </w:r>
    </w:p>
    <w:p w14:paraId="7DF6FF09" w14:textId="77777777" w:rsidR="004D3E9C" w:rsidRPr="00033257" w:rsidRDefault="004D3E9C" w:rsidP="004D3E9C">
      <w:pPr>
        <w:pStyle w:val="texto"/>
        <w:spacing w:after="0"/>
        <w:rPr>
          <w:color w:val="000000" w:themeColor="text1"/>
        </w:rPr>
      </w:pPr>
    </w:p>
    <w:p w14:paraId="0ECB0B2F" w14:textId="472A1814" w:rsidR="0039394F" w:rsidRPr="00033257" w:rsidRDefault="004D3E9C" w:rsidP="004D3E9C">
      <w:pPr>
        <w:pStyle w:val="texto"/>
        <w:spacing w:after="120"/>
        <w:rPr>
          <w:color w:val="000000" w:themeColor="text1"/>
        </w:rPr>
      </w:pPr>
      <w:r>
        <w:rPr>
          <w:color w:val="000000" w:themeColor="text1"/>
        </w:rPr>
        <w:t>Behin betiko kredituak 1.073,54 milioi eurokoak izan ziren, eta ehuneko 83ko betetze maila izan zuten. Gastu arrunten betetze maila ehuneko 93ra iritsi zen; kapital eragiketena, berriz, ehuneko 57koa izan zen, eta finantza eragiketena, ehuneko 100ekoa.</w:t>
      </w:r>
    </w:p>
    <w:p w14:paraId="2A4B9DB4" w14:textId="77777777" w:rsidR="0039394F" w:rsidRPr="00033257" w:rsidRDefault="00E72E7F" w:rsidP="0039394F">
      <w:pPr>
        <w:pStyle w:val="texto"/>
        <w:spacing w:after="120"/>
        <w:rPr>
          <w:color w:val="000000" w:themeColor="text1"/>
        </w:rPr>
      </w:pPr>
      <w:r>
        <w:rPr>
          <w:color w:val="000000" w:themeColor="text1"/>
        </w:rPr>
        <w:t xml:space="preserve">2021eko guztizko gastua 891,40 milioi eurokoa izan zen, eta horietatik ehuneko 36 eta ehuneko 33, hurrenez hurren, langile gastuei eta ondasun arrunten eta zerbitzuen gastuari dagozkie. Bestalde, inbertsio errealen kapitulua guztizkoaren ehuneko 18 da. </w:t>
      </w:r>
    </w:p>
    <w:p w14:paraId="454E04A8" w14:textId="77777777" w:rsidR="007C6CA5" w:rsidRPr="00033257" w:rsidRDefault="0039394F" w:rsidP="0039394F">
      <w:pPr>
        <w:pStyle w:val="texto"/>
        <w:spacing w:after="120"/>
        <w:rPr>
          <w:color w:val="000000" w:themeColor="text1"/>
        </w:rPr>
      </w:pPr>
      <w:r>
        <w:rPr>
          <w:color w:val="000000" w:themeColor="text1"/>
        </w:rPr>
        <w:t xml:space="preserve">Guztizko gastu hori ehuneko 12 igo da aurreko ekitaldiarekin alderatuta, hau da, 92 milioi. Hazkunde hori, batez ere, inbertsio errealetan eta ondasun arruntetan eta zerbitzuetan izandako gastu igoerengatik gertatu da, 40,92 eta 34,98 milioi igo baitira, hurrenez hurren. </w:t>
      </w:r>
    </w:p>
    <w:p w14:paraId="0D5CAAD2" w14:textId="77777777" w:rsidR="0039394F" w:rsidRPr="00033257" w:rsidRDefault="0039394F" w:rsidP="0039394F">
      <w:pPr>
        <w:pStyle w:val="texto"/>
        <w:spacing w:after="120"/>
        <w:rPr>
          <w:color w:val="000000" w:themeColor="text1"/>
        </w:rPr>
      </w:pPr>
      <w:r>
        <w:rPr>
          <w:color w:val="000000" w:themeColor="text1"/>
        </w:rPr>
        <w:t>Inbertsio errealetako gastua ehuneko 35 handitu da 2020. urtearekin alderatuta. Hala eta guztiz ere, zenbatekoa 2019koa baino ehuneko 14 txikiagoa da. Horren arrazoia da 2021. urtea 2017-2019 aldirako Toki Inbertsioen Planaren luzapenaren bigarren urtea izan zela, eta 2019ko zifra oso altua izan zela, plan horretarako eta urriaren 10eko 19/2018 Foru Legearen bidez onetsitako Inbertsio Finantzarioki Jasangarriei buruzko Planaren inbertsioak gauzatzeko hasieran aurreikusitako indarraldiko azken urtea zelako.</w:t>
      </w:r>
    </w:p>
    <w:p w14:paraId="3C92BE06" w14:textId="3CD2D1CD" w:rsidR="002A4BE9" w:rsidRPr="00033257" w:rsidRDefault="34CD8A04" w:rsidP="00E72E7F">
      <w:pPr>
        <w:pStyle w:val="texto"/>
        <w:rPr>
          <w:color w:val="000000" w:themeColor="text1"/>
        </w:rPr>
      </w:pPr>
      <w:r>
        <w:rPr>
          <w:color w:val="000000" w:themeColor="text1"/>
        </w:rPr>
        <w:t>Guztizko gastuetatik, ehuneko 84 udalei dagokie, ehuneko 14 mankomunitate eta batasunei eta gainerako</w:t>
      </w:r>
      <w:r>
        <w:t xml:space="preserve"> </w:t>
      </w:r>
      <w:r>
        <w:rPr>
          <w:color w:val="000000" w:themeColor="text1"/>
        </w:rPr>
        <w:t xml:space="preserve">ehuneko bia kontzejuei. Banaketa hori aurreko ekitaldikoaren antzekoa da. </w:t>
      </w:r>
    </w:p>
    <w:p w14:paraId="6A553892" w14:textId="60B3CCD1" w:rsidR="00FB172D" w:rsidRPr="00033257" w:rsidRDefault="34CD8A04" w:rsidP="00222910">
      <w:pPr>
        <w:pStyle w:val="texto"/>
        <w:spacing w:after="120"/>
        <w:rPr>
          <w:color w:val="000000" w:themeColor="text1"/>
        </w:rPr>
      </w:pPr>
      <w:r>
        <w:rPr>
          <w:color w:val="000000" w:themeColor="text1"/>
        </w:rPr>
        <w:t>Toki sektore publikoaren 2021eko guztizko gastua, gorago aipatutako hiru sozietateekin bateratuta, 988,87 milioikoa da orotara. Hona hemen xehakapena:</w:t>
      </w:r>
    </w:p>
    <w:p w14:paraId="034499DB" w14:textId="23C02D6F" w:rsidR="002A4BE9" w:rsidRPr="00033257" w:rsidRDefault="001D196E" w:rsidP="00D71C47">
      <w:pPr>
        <w:pStyle w:val="texto"/>
        <w:spacing w:after="0"/>
        <w:jc w:val="right"/>
        <w:rPr>
          <w:rFonts w:ascii="Arial Narrow" w:hAnsi="Arial Narrow"/>
          <w:color w:val="000000" w:themeColor="text1"/>
          <w:sz w:val="18"/>
          <w:szCs w:val="18"/>
        </w:rPr>
      </w:pPr>
      <w:r>
        <w:rPr>
          <w:rFonts w:ascii="Arial Narrow" w:hAnsi="Arial Narrow"/>
          <w:color w:val="000000" w:themeColor="text1"/>
          <w:sz w:val="18"/>
        </w:rPr>
        <w:t xml:space="preserve">(milioiak) </w:t>
      </w:r>
    </w:p>
    <w:tbl>
      <w:tblPr>
        <w:tblW w:w="5047" w:type="pct"/>
        <w:jc w:val="center"/>
        <w:tblLayout w:type="fixed"/>
        <w:tblCellMar>
          <w:left w:w="70" w:type="dxa"/>
          <w:right w:w="70" w:type="dxa"/>
        </w:tblCellMar>
        <w:tblLook w:val="04A0" w:firstRow="1" w:lastRow="0" w:firstColumn="1" w:lastColumn="0" w:noHBand="0" w:noVBand="1"/>
      </w:tblPr>
      <w:tblGrid>
        <w:gridCol w:w="2125"/>
        <w:gridCol w:w="1340"/>
        <w:gridCol w:w="1072"/>
        <w:gridCol w:w="1134"/>
        <w:gridCol w:w="995"/>
        <w:gridCol w:w="1151"/>
        <w:gridCol w:w="1054"/>
      </w:tblGrid>
      <w:tr w:rsidR="0039394F" w:rsidRPr="00CE0FA2" w14:paraId="6C2E4FFC" w14:textId="77777777" w:rsidTr="00CE0FA2">
        <w:trPr>
          <w:trHeight w:val="227"/>
          <w:jc w:val="center"/>
        </w:trPr>
        <w:tc>
          <w:tcPr>
            <w:tcW w:w="1198" w:type="pct"/>
            <w:vMerge w:val="restart"/>
            <w:tcBorders>
              <w:top w:val="single" w:sz="4" w:space="0" w:color="000000" w:themeColor="text1"/>
              <w:left w:val="nil"/>
              <w:right w:val="nil"/>
            </w:tcBorders>
            <w:shd w:val="clear" w:color="auto" w:fill="FABF8F" w:themeFill="accent6" w:themeFillTint="99"/>
            <w:vAlign w:val="center"/>
          </w:tcPr>
          <w:p w14:paraId="5368E198" w14:textId="77777777" w:rsidR="0039394F" w:rsidRPr="00CE0FA2" w:rsidRDefault="0039394F" w:rsidP="00CE0FA2">
            <w:pPr>
              <w:pStyle w:val="cuadroCabe"/>
              <w:spacing w:line="240" w:lineRule="auto"/>
              <w:rPr>
                <w:rFonts w:cs="Arial"/>
                <w:color w:val="000000" w:themeColor="text1"/>
                <w:sz w:val="16"/>
                <w:szCs w:val="16"/>
              </w:rPr>
            </w:pPr>
            <w:r>
              <w:rPr>
                <w:color w:val="000000" w:themeColor="text1"/>
                <w:sz w:val="16"/>
              </w:rPr>
              <w:t>Kapitulua</w:t>
            </w:r>
          </w:p>
        </w:tc>
        <w:tc>
          <w:tcPr>
            <w:tcW w:w="755" w:type="pct"/>
            <w:tcBorders>
              <w:top w:val="single" w:sz="4" w:space="0" w:color="000000" w:themeColor="text1"/>
              <w:left w:val="nil"/>
              <w:right w:val="nil"/>
            </w:tcBorders>
            <w:shd w:val="clear" w:color="auto" w:fill="FABF8F" w:themeFill="accent6" w:themeFillTint="99"/>
            <w:vAlign w:val="center"/>
          </w:tcPr>
          <w:p w14:paraId="44FB30F8" w14:textId="77777777" w:rsidR="0039394F" w:rsidRPr="00CE0FA2" w:rsidRDefault="0039394F" w:rsidP="00CE0FA2">
            <w:pPr>
              <w:pStyle w:val="cuadroCabe"/>
              <w:tabs>
                <w:tab w:val="right" w:pos="1065"/>
              </w:tabs>
              <w:spacing w:line="240" w:lineRule="auto"/>
              <w:ind w:left="67" w:hanging="67"/>
              <w:jc w:val="right"/>
              <w:rPr>
                <w:rFonts w:cs="Arial"/>
                <w:color w:val="000000" w:themeColor="text1"/>
                <w:sz w:val="16"/>
                <w:szCs w:val="16"/>
                <w:lang w:val="es-ES" w:eastAsia="es-ES"/>
              </w:rPr>
            </w:pPr>
          </w:p>
        </w:tc>
        <w:tc>
          <w:tcPr>
            <w:tcW w:w="604" w:type="pct"/>
            <w:tcBorders>
              <w:top w:val="single" w:sz="4" w:space="0" w:color="000000" w:themeColor="text1"/>
              <w:left w:val="nil"/>
              <w:right w:val="nil"/>
            </w:tcBorders>
            <w:shd w:val="clear" w:color="auto" w:fill="FABF8F" w:themeFill="accent6" w:themeFillTint="99"/>
            <w:vAlign w:val="center"/>
          </w:tcPr>
          <w:p w14:paraId="1DA6542E" w14:textId="77777777" w:rsidR="0039394F" w:rsidRPr="00CE0FA2" w:rsidRDefault="0039394F" w:rsidP="00CE0FA2">
            <w:pPr>
              <w:pStyle w:val="cuadroCabe"/>
              <w:spacing w:line="240" w:lineRule="auto"/>
              <w:jc w:val="right"/>
              <w:rPr>
                <w:rFonts w:cs="Arial"/>
                <w:color w:val="000000" w:themeColor="text1"/>
                <w:sz w:val="16"/>
                <w:szCs w:val="16"/>
                <w:lang w:val="es-ES" w:eastAsia="es-ES"/>
              </w:rPr>
            </w:pPr>
          </w:p>
        </w:tc>
        <w:tc>
          <w:tcPr>
            <w:tcW w:w="2443" w:type="pct"/>
            <w:gridSpan w:val="4"/>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23CE813B" w14:textId="77777777" w:rsidR="0039394F" w:rsidRPr="00CE0FA2" w:rsidRDefault="0039394F" w:rsidP="00CE0FA2">
            <w:pPr>
              <w:pStyle w:val="cuadroCabe"/>
              <w:spacing w:line="240" w:lineRule="auto"/>
              <w:jc w:val="center"/>
              <w:rPr>
                <w:rFonts w:cs="Arial"/>
                <w:color w:val="000000" w:themeColor="text1"/>
                <w:sz w:val="16"/>
                <w:szCs w:val="16"/>
              </w:rPr>
            </w:pPr>
            <w:r>
              <w:rPr>
                <w:color w:val="000000" w:themeColor="text1"/>
                <w:sz w:val="16"/>
              </w:rPr>
              <w:t>Hiru sozietaterekin bateratuta</w:t>
            </w:r>
          </w:p>
        </w:tc>
      </w:tr>
      <w:tr w:rsidR="00CE0FA2" w:rsidRPr="00CE0FA2" w14:paraId="6D69B7EB" w14:textId="77777777" w:rsidTr="00CE0FA2">
        <w:trPr>
          <w:trHeight w:val="227"/>
          <w:jc w:val="center"/>
        </w:trPr>
        <w:tc>
          <w:tcPr>
            <w:tcW w:w="1198" w:type="pct"/>
            <w:vMerge/>
            <w:tcBorders>
              <w:left w:val="nil"/>
              <w:bottom w:val="single" w:sz="4" w:space="0" w:color="000000" w:themeColor="text1"/>
              <w:right w:val="nil"/>
            </w:tcBorders>
            <w:shd w:val="clear" w:color="auto" w:fill="FABF8F" w:themeFill="accent6" w:themeFillTint="99"/>
            <w:vAlign w:val="center"/>
            <w:hideMark/>
          </w:tcPr>
          <w:p w14:paraId="3041E394" w14:textId="77777777" w:rsidR="0039394F" w:rsidRPr="00CE0FA2" w:rsidRDefault="0039394F" w:rsidP="00CE0FA2">
            <w:pPr>
              <w:pStyle w:val="cuadroCabe"/>
              <w:spacing w:line="240" w:lineRule="auto"/>
              <w:rPr>
                <w:rFonts w:cs="Arial"/>
                <w:color w:val="000000" w:themeColor="text1"/>
                <w:sz w:val="16"/>
                <w:szCs w:val="16"/>
                <w:lang w:val="es-ES" w:eastAsia="es-ES"/>
              </w:rPr>
            </w:pPr>
          </w:p>
        </w:tc>
        <w:tc>
          <w:tcPr>
            <w:tcW w:w="755" w:type="pct"/>
            <w:tcBorders>
              <w:left w:val="nil"/>
              <w:bottom w:val="single" w:sz="4" w:space="0" w:color="000000" w:themeColor="text1"/>
              <w:right w:val="nil"/>
            </w:tcBorders>
            <w:shd w:val="clear" w:color="auto" w:fill="FABF8F" w:themeFill="accent6" w:themeFillTint="99"/>
            <w:vAlign w:val="center"/>
          </w:tcPr>
          <w:p w14:paraId="30B4E60F" w14:textId="77777777" w:rsidR="0039394F" w:rsidRPr="00CE0FA2" w:rsidRDefault="0039394F" w:rsidP="00CE0FA2">
            <w:pPr>
              <w:pStyle w:val="cuadroCabe"/>
              <w:tabs>
                <w:tab w:val="right" w:pos="1065"/>
              </w:tabs>
              <w:spacing w:line="240" w:lineRule="auto"/>
              <w:ind w:left="67" w:hanging="67"/>
              <w:jc w:val="right"/>
              <w:rPr>
                <w:rFonts w:cs="Arial"/>
                <w:color w:val="000000" w:themeColor="text1"/>
                <w:sz w:val="16"/>
                <w:szCs w:val="16"/>
              </w:rPr>
            </w:pPr>
            <w:r>
              <w:rPr>
                <w:color w:val="000000" w:themeColor="text1"/>
                <w:sz w:val="16"/>
              </w:rPr>
              <w:t>Sozietateekin bateratu gabe</w:t>
            </w:r>
          </w:p>
        </w:tc>
        <w:tc>
          <w:tcPr>
            <w:tcW w:w="604" w:type="pct"/>
            <w:tcBorders>
              <w:left w:val="nil"/>
              <w:bottom w:val="single" w:sz="4" w:space="0" w:color="000000" w:themeColor="text1"/>
              <w:right w:val="nil"/>
            </w:tcBorders>
            <w:shd w:val="clear" w:color="auto" w:fill="FABF8F" w:themeFill="accent6" w:themeFillTint="99"/>
            <w:vAlign w:val="center"/>
            <w:hideMark/>
          </w:tcPr>
          <w:p w14:paraId="584369F8" w14:textId="77777777" w:rsidR="0039394F" w:rsidRPr="00CE0FA2" w:rsidRDefault="0039394F" w:rsidP="00CE0FA2">
            <w:pPr>
              <w:pStyle w:val="cuadroCabe"/>
              <w:spacing w:line="240" w:lineRule="auto"/>
              <w:jc w:val="right"/>
              <w:rPr>
                <w:rFonts w:cs="Arial"/>
                <w:color w:val="000000" w:themeColor="text1"/>
                <w:sz w:val="16"/>
                <w:szCs w:val="16"/>
              </w:rPr>
            </w:pPr>
            <w:r>
              <w:rPr>
                <w:color w:val="000000" w:themeColor="text1"/>
                <w:sz w:val="16"/>
              </w:rPr>
              <w:t>Finkatze</w:t>
            </w:r>
          </w:p>
          <w:p w14:paraId="0E24215A" w14:textId="25D24CD2" w:rsidR="0039394F" w:rsidRPr="00CE0FA2" w:rsidRDefault="009923A5" w:rsidP="00CE0FA2">
            <w:pPr>
              <w:pStyle w:val="cuadroCabe"/>
              <w:spacing w:line="240" w:lineRule="auto"/>
              <w:jc w:val="right"/>
              <w:rPr>
                <w:rFonts w:cs="Arial"/>
                <w:color w:val="000000" w:themeColor="text1"/>
                <w:sz w:val="16"/>
                <w:szCs w:val="16"/>
              </w:rPr>
            </w:pPr>
            <w:r>
              <w:rPr>
                <w:color w:val="000000" w:themeColor="text1"/>
                <w:sz w:val="16"/>
              </w:rPr>
              <w:t>efektua</w:t>
            </w:r>
          </w:p>
        </w:tc>
        <w:tc>
          <w:tcPr>
            <w:tcW w:w="63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3006BB0" w14:textId="77777777" w:rsidR="0039394F" w:rsidRPr="00CE0FA2" w:rsidRDefault="0039394F" w:rsidP="00CE0FA2">
            <w:pPr>
              <w:pStyle w:val="cuadroCabe"/>
              <w:spacing w:line="240" w:lineRule="auto"/>
              <w:jc w:val="right"/>
              <w:rPr>
                <w:rFonts w:cs="Arial"/>
                <w:color w:val="000000" w:themeColor="text1"/>
                <w:sz w:val="16"/>
                <w:szCs w:val="16"/>
              </w:rPr>
            </w:pPr>
            <w:r>
              <w:rPr>
                <w:color w:val="000000" w:themeColor="text1"/>
                <w:sz w:val="16"/>
              </w:rPr>
              <w:t>Gastuak</w:t>
            </w:r>
          </w:p>
        </w:tc>
        <w:tc>
          <w:tcPr>
            <w:tcW w:w="561"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4B106F2F" w14:textId="77777777" w:rsidR="0039394F" w:rsidRPr="00CE0FA2" w:rsidRDefault="0039394F" w:rsidP="00CE0FA2">
            <w:pPr>
              <w:pStyle w:val="cuadroCabe"/>
              <w:spacing w:line="240" w:lineRule="auto"/>
              <w:jc w:val="right"/>
              <w:rPr>
                <w:rFonts w:cs="Arial"/>
                <w:color w:val="000000" w:themeColor="text1"/>
                <w:sz w:val="16"/>
                <w:szCs w:val="16"/>
              </w:rPr>
            </w:pPr>
            <w:r>
              <w:rPr>
                <w:color w:val="000000" w:themeColor="text1"/>
                <w:sz w:val="16"/>
              </w:rPr>
              <w:t>Gastu guztien gainean (%)</w:t>
            </w:r>
          </w:p>
        </w:tc>
        <w:tc>
          <w:tcPr>
            <w:tcW w:w="64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4B8B29B9" w14:textId="77777777" w:rsidR="0039394F" w:rsidRPr="00CE0FA2" w:rsidRDefault="0039394F" w:rsidP="00CE0FA2">
            <w:pPr>
              <w:pStyle w:val="cuadroCabe"/>
              <w:spacing w:line="240" w:lineRule="auto"/>
              <w:jc w:val="right"/>
              <w:rPr>
                <w:rFonts w:cs="Arial"/>
                <w:color w:val="000000" w:themeColor="text1"/>
                <w:sz w:val="16"/>
                <w:szCs w:val="16"/>
              </w:rPr>
            </w:pPr>
            <w:r>
              <w:rPr>
                <w:color w:val="000000" w:themeColor="text1"/>
                <w:sz w:val="16"/>
              </w:rPr>
              <w:t>Ald. abs. vs. 2020</w:t>
            </w:r>
          </w:p>
        </w:tc>
        <w:tc>
          <w:tcPr>
            <w:tcW w:w="594"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DCD6944" w14:textId="77777777" w:rsidR="0039394F" w:rsidRPr="00CE0FA2" w:rsidRDefault="0039394F" w:rsidP="00CE0FA2">
            <w:pPr>
              <w:pStyle w:val="cuadroCabe"/>
              <w:spacing w:line="240" w:lineRule="auto"/>
              <w:jc w:val="right"/>
              <w:rPr>
                <w:rFonts w:cs="Arial"/>
                <w:color w:val="000000" w:themeColor="text1"/>
                <w:sz w:val="16"/>
                <w:szCs w:val="16"/>
              </w:rPr>
            </w:pPr>
            <w:r>
              <w:rPr>
                <w:color w:val="000000" w:themeColor="text1"/>
                <w:sz w:val="16"/>
              </w:rPr>
              <w:t>2021 vs 2020 ald. (%)</w:t>
            </w:r>
          </w:p>
        </w:tc>
      </w:tr>
      <w:tr w:rsidR="00CE0FA2" w:rsidRPr="00CE0FA2" w14:paraId="391159CB" w14:textId="77777777" w:rsidTr="00CE0FA2">
        <w:trPr>
          <w:trHeight w:val="227"/>
          <w:jc w:val="center"/>
        </w:trPr>
        <w:tc>
          <w:tcPr>
            <w:tcW w:w="1198" w:type="pct"/>
            <w:tcBorders>
              <w:top w:val="single" w:sz="4" w:space="0" w:color="000000" w:themeColor="text1"/>
              <w:left w:val="nil"/>
              <w:bottom w:val="single" w:sz="2" w:space="0" w:color="000000"/>
              <w:right w:val="nil"/>
            </w:tcBorders>
            <w:shd w:val="clear" w:color="auto" w:fill="auto"/>
            <w:vAlign w:val="center"/>
            <w:hideMark/>
          </w:tcPr>
          <w:p w14:paraId="753F16CD"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1. Langileak</w:t>
            </w:r>
          </w:p>
        </w:tc>
        <w:tc>
          <w:tcPr>
            <w:tcW w:w="755" w:type="pct"/>
            <w:tcBorders>
              <w:top w:val="single" w:sz="4" w:space="0" w:color="000000" w:themeColor="text1"/>
              <w:left w:val="nil"/>
              <w:bottom w:val="single" w:sz="2" w:space="0" w:color="000000"/>
              <w:right w:val="nil"/>
            </w:tcBorders>
            <w:shd w:val="clear" w:color="auto" w:fill="auto"/>
            <w:vAlign w:val="center"/>
            <w:hideMark/>
          </w:tcPr>
          <w:p w14:paraId="0599CF8F"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317,05</w:t>
            </w:r>
          </w:p>
        </w:tc>
        <w:tc>
          <w:tcPr>
            <w:tcW w:w="604" w:type="pct"/>
            <w:tcBorders>
              <w:top w:val="single" w:sz="4" w:space="0" w:color="000000" w:themeColor="text1"/>
              <w:left w:val="nil"/>
              <w:bottom w:val="single" w:sz="2" w:space="0" w:color="000000"/>
              <w:right w:val="nil"/>
            </w:tcBorders>
            <w:shd w:val="clear" w:color="auto" w:fill="auto"/>
            <w:vAlign w:val="center"/>
          </w:tcPr>
          <w:p w14:paraId="514B349F"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33,32</w:t>
            </w:r>
          </w:p>
        </w:tc>
        <w:tc>
          <w:tcPr>
            <w:tcW w:w="639" w:type="pct"/>
            <w:tcBorders>
              <w:top w:val="single" w:sz="4" w:space="0" w:color="000000" w:themeColor="text1"/>
              <w:left w:val="nil"/>
              <w:bottom w:val="single" w:sz="2" w:space="0" w:color="000000"/>
              <w:right w:val="nil"/>
            </w:tcBorders>
            <w:vAlign w:val="center"/>
          </w:tcPr>
          <w:p w14:paraId="7B483265"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350,38</w:t>
            </w:r>
          </w:p>
        </w:tc>
        <w:tc>
          <w:tcPr>
            <w:tcW w:w="561" w:type="pct"/>
            <w:tcBorders>
              <w:top w:val="single" w:sz="4" w:space="0" w:color="000000" w:themeColor="text1"/>
              <w:left w:val="nil"/>
              <w:bottom w:val="single" w:sz="2" w:space="0" w:color="000000"/>
              <w:right w:val="nil"/>
            </w:tcBorders>
            <w:vAlign w:val="center"/>
          </w:tcPr>
          <w:p w14:paraId="6750A734"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35,4</w:t>
            </w:r>
          </w:p>
        </w:tc>
        <w:tc>
          <w:tcPr>
            <w:tcW w:w="649" w:type="pct"/>
            <w:tcBorders>
              <w:top w:val="single" w:sz="4" w:space="0" w:color="000000" w:themeColor="text1"/>
              <w:left w:val="nil"/>
              <w:bottom w:val="single" w:sz="2" w:space="0" w:color="000000"/>
              <w:right w:val="nil"/>
            </w:tcBorders>
            <w:vAlign w:val="center"/>
          </w:tcPr>
          <w:p w14:paraId="5EC3215C"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7,39</w:t>
            </w:r>
          </w:p>
        </w:tc>
        <w:tc>
          <w:tcPr>
            <w:tcW w:w="594" w:type="pct"/>
            <w:tcBorders>
              <w:top w:val="single" w:sz="4" w:space="0" w:color="000000" w:themeColor="text1"/>
              <w:left w:val="nil"/>
              <w:bottom w:val="single" w:sz="2" w:space="0" w:color="000000"/>
              <w:right w:val="nil"/>
            </w:tcBorders>
            <w:vAlign w:val="center"/>
          </w:tcPr>
          <w:p w14:paraId="02106B5B"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2,2</w:t>
            </w:r>
          </w:p>
        </w:tc>
      </w:tr>
      <w:tr w:rsidR="00CE0FA2" w:rsidRPr="00CE0FA2" w14:paraId="2955E441"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61878BCB"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2. Ondasun arruntak eta zerb.</w:t>
            </w:r>
          </w:p>
        </w:tc>
        <w:tc>
          <w:tcPr>
            <w:tcW w:w="755" w:type="pct"/>
            <w:tcBorders>
              <w:top w:val="single" w:sz="2" w:space="0" w:color="000000"/>
              <w:left w:val="nil"/>
              <w:bottom w:val="single" w:sz="2" w:space="0" w:color="000000"/>
              <w:right w:val="nil"/>
            </w:tcBorders>
            <w:shd w:val="clear" w:color="auto" w:fill="auto"/>
            <w:vAlign w:val="center"/>
            <w:hideMark/>
          </w:tcPr>
          <w:p w14:paraId="6593FE06"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290,76</w:t>
            </w:r>
          </w:p>
        </w:tc>
        <w:tc>
          <w:tcPr>
            <w:tcW w:w="604" w:type="pct"/>
            <w:tcBorders>
              <w:top w:val="single" w:sz="2" w:space="0" w:color="000000"/>
              <w:left w:val="nil"/>
              <w:bottom w:val="single" w:sz="2" w:space="0" w:color="000000"/>
              <w:right w:val="nil"/>
            </w:tcBorders>
            <w:shd w:val="clear" w:color="auto" w:fill="auto"/>
            <w:vAlign w:val="center"/>
          </w:tcPr>
          <w:p w14:paraId="7F76ABAC"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35,57</w:t>
            </w:r>
          </w:p>
        </w:tc>
        <w:tc>
          <w:tcPr>
            <w:tcW w:w="639" w:type="pct"/>
            <w:tcBorders>
              <w:top w:val="single" w:sz="2" w:space="0" w:color="000000"/>
              <w:left w:val="nil"/>
              <w:bottom w:val="single" w:sz="2" w:space="0" w:color="000000"/>
              <w:right w:val="nil"/>
            </w:tcBorders>
            <w:vAlign w:val="center"/>
          </w:tcPr>
          <w:p w14:paraId="760C2011"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326,34</w:t>
            </w:r>
          </w:p>
        </w:tc>
        <w:tc>
          <w:tcPr>
            <w:tcW w:w="561" w:type="pct"/>
            <w:tcBorders>
              <w:top w:val="single" w:sz="2" w:space="0" w:color="000000"/>
              <w:left w:val="nil"/>
              <w:bottom w:val="single" w:sz="2" w:space="0" w:color="000000"/>
              <w:right w:val="nil"/>
            </w:tcBorders>
            <w:vAlign w:val="center"/>
          </w:tcPr>
          <w:p w14:paraId="6150E244"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33,0</w:t>
            </w:r>
          </w:p>
        </w:tc>
        <w:tc>
          <w:tcPr>
            <w:tcW w:w="649" w:type="pct"/>
            <w:tcBorders>
              <w:top w:val="single" w:sz="2" w:space="0" w:color="000000"/>
              <w:left w:val="nil"/>
              <w:bottom w:val="single" w:sz="2" w:space="0" w:color="000000"/>
              <w:right w:val="nil"/>
            </w:tcBorders>
            <w:vAlign w:val="center"/>
          </w:tcPr>
          <w:p w14:paraId="38A565B1"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37,53</w:t>
            </w:r>
          </w:p>
        </w:tc>
        <w:tc>
          <w:tcPr>
            <w:tcW w:w="594" w:type="pct"/>
            <w:tcBorders>
              <w:top w:val="single" w:sz="2" w:space="0" w:color="000000"/>
              <w:left w:val="nil"/>
              <w:bottom w:val="single" w:sz="2" w:space="0" w:color="000000"/>
              <w:right w:val="nil"/>
            </w:tcBorders>
            <w:vAlign w:val="center"/>
          </w:tcPr>
          <w:p w14:paraId="7B01C339"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13,0</w:t>
            </w:r>
          </w:p>
        </w:tc>
      </w:tr>
      <w:tr w:rsidR="00CE0FA2" w:rsidRPr="00CE0FA2" w14:paraId="2C36EB3F"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34927141"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3. Finantza-gastuak</w:t>
            </w:r>
          </w:p>
        </w:tc>
        <w:tc>
          <w:tcPr>
            <w:tcW w:w="755" w:type="pct"/>
            <w:tcBorders>
              <w:top w:val="single" w:sz="2" w:space="0" w:color="000000"/>
              <w:left w:val="nil"/>
              <w:bottom w:val="single" w:sz="2" w:space="0" w:color="000000"/>
              <w:right w:val="nil"/>
            </w:tcBorders>
            <w:shd w:val="clear" w:color="auto" w:fill="auto"/>
            <w:vAlign w:val="center"/>
            <w:hideMark/>
          </w:tcPr>
          <w:p w14:paraId="521A6436"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1,04</w:t>
            </w:r>
          </w:p>
        </w:tc>
        <w:tc>
          <w:tcPr>
            <w:tcW w:w="604" w:type="pct"/>
            <w:tcBorders>
              <w:top w:val="single" w:sz="2" w:space="0" w:color="000000"/>
              <w:left w:val="nil"/>
              <w:bottom w:val="single" w:sz="2" w:space="0" w:color="000000"/>
              <w:right w:val="nil"/>
            </w:tcBorders>
            <w:shd w:val="clear" w:color="auto" w:fill="auto"/>
            <w:vAlign w:val="center"/>
          </w:tcPr>
          <w:p w14:paraId="1300FEB4"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0,00</w:t>
            </w:r>
          </w:p>
        </w:tc>
        <w:tc>
          <w:tcPr>
            <w:tcW w:w="639" w:type="pct"/>
            <w:tcBorders>
              <w:top w:val="single" w:sz="2" w:space="0" w:color="000000"/>
              <w:left w:val="nil"/>
              <w:bottom w:val="single" w:sz="2" w:space="0" w:color="000000"/>
              <w:right w:val="nil"/>
            </w:tcBorders>
            <w:vAlign w:val="center"/>
          </w:tcPr>
          <w:p w14:paraId="26B2959F"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1,04</w:t>
            </w:r>
          </w:p>
        </w:tc>
        <w:tc>
          <w:tcPr>
            <w:tcW w:w="561" w:type="pct"/>
            <w:tcBorders>
              <w:top w:val="single" w:sz="2" w:space="0" w:color="000000"/>
              <w:left w:val="nil"/>
              <w:bottom w:val="single" w:sz="2" w:space="0" w:color="000000"/>
              <w:right w:val="nil"/>
            </w:tcBorders>
            <w:vAlign w:val="center"/>
          </w:tcPr>
          <w:p w14:paraId="0F506A27"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0,1</w:t>
            </w:r>
          </w:p>
        </w:tc>
        <w:tc>
          <w:tcPr>
            <w:tcW w:w="649" w:type="pct"/>
            <w:tcBorders>
              <w:top w:val="single" w:sz="2" w:space="0" w:color="000000"/>
              <w:left w:val="nil"/>
              <w:bottom w:val="single" w:sz="2" w:space="0" w:color="000000"/>
              <w:right w:val="nil"/>
            </w:tcBorders>
            <w:vAlign w:val="center"/>
          </w:tcPr>
          <w:p w14:paraId="41085196"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-0,74</w:t>
            </w:r>
          </w:p>
        </w:tc>
        <w:tc>
          <w:tcPr>
            <w:tcW w:w="594" w:type="pct"/>
            <w:tcBorders>
              <w:top w:val="single" w:sz="2" w:space="0" w:color="000000"/>
              <w:left w:val="nil"/>
              <w:bottom w:val="single" w:sz="2" w:space="0" w:color="000000"/>
              <w:right w:val="nil"/>
            </w:tcBorders>
            <w:vAlign w:val="center"/>
          </w:tcPr>
          <w:p w14:paraId="190C1444"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-41,6</w:t>
            </w:r>
          </w:p>
        </w:tc>
      </w:tr>
      <w:tr w:rsidR="00CE0FA2" w:rsidRPr="00CE0FA2" w14:paraId="456FCCB0"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3398CB61"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4. Transferentzia arruntak</w:t>
            </w:r>
          </w:p>
        </w:tc>
        <w:tc>
          <w:tcPr>
            <w:tcW w:w="755" w:type="pct"/>
            <w:tcBorders>
              <w:top w:val="single" w:sz="2" w:space="0" w:color="000000"/>
              <w:left w:val="nil"/>
              <w:bottom w:val="single" w:sz="2" w:space="0" w:color="000000"/>
              <w:right w:val="nil"/>
            </w:tcBorders>
            <w:shd w:val="clear" w:color="auto" w:fill="auto"/>
            <w:vAlign w:val="center"/>
            <w:hideMark/>
          </w:tcPr>
          <w:p w14:paraId="5F630491"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82,65</w:t>
            </w:r>
          </w:p>
        </w:tc>
        <w:tc>
          <w:tcPr>
            <w:tcW w:w="604" w:type="pct"/>
            <w:tcBorders>
              <w:top w:val="single" w:sz="2" w:space="0" w:color="000000"/>
              <w:left w:val="nil"/>
              <w:bottom w:val="single" w:sz="2" w:space="0" w:color="000000"/>
              <w:right w:val="nil"/>
            </w:tcBorders>
            <w:shd w:val="clear" w:color="auto" w:fill="auto"/>
            <w:vAlign w:val="center"/>
          </w:tcPr>
          <w:p w14:paraId="23F95CB6"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0,06</w:t>
            </w:r>
          </w:p>
        </w:tc>
        <w:tc>
          <w:tcPr>
            <w:tcW w:w="639" w:type="pct"/>
            <w:tcBorders>
              <w:top w:val="single" w:sz="2" w:space="0" w:color="000000"/>
              <w:left w:val="nil"/>
              <w:bottom w:val="single" w:sz="2" w:space="0" w:color="000000"/>
              <w:right w:val="nil"/>
            </w:tcBorders>
            <w:vAlign w:val="center"/>
          </w:tcPr>
          <w:p w14:paraId="27EC7C6D"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82,72</w:t>
            </w:r>
          </w:p>
        </w:tc>
        <w:tc>
          <w:tcPr>
            <w:tcW w:w="561" w:type="pct"/>
            <w:tcBorders>
              <w:top w:val="single" w:sz="2" w:space="0" w:color="000000"/>
              <w:left w:val="nil"/>
              <w:bottom w:val="single" w:sz="2" w:space="0" w:color="000000"/>
              <w:right w:val="nil"/>
            </w:tcBorders>
            <w:vAlign w:val="center"/>
          </w:tcPr>
          <w:p w14:paraId="58E5BC6F"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8,4</w:t>
            </w:r>
          </w:p>
        </w:tc>
        <w:tc>
          <w:tcPr>
            <w:tcW w:w="649" w:type="pct"/>
            <w:tcBorders>
              <w:top w:val="single" w:sz="2" w:space="0" w:color="000000"/>
              <w:left w:val="nil"/>
              <w:bottom w:val="single" w:sz="2" w:space="0" w:color="000000"/>
              <w:right w:val="nil"/>
            </w:tcBorders>
            <w:vAlign w:val="center"/>
          </w:tcPr>
          <w:p w14:paraId="3524CECA"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6,64</w:t>
            </w:r>
          </w:p>
        </w:tc>
        <w:tc>
          <w:tcPr>
            <w:tcW w:w="594" w:type="pct"/>
            <w:tcBorders>
              <w:top w:val="single" w:sz="2" w:space="0" w:color="000000"/>
              <w:left w:val="nil"/>
              <w:bottom w:val="single" w:sz="2" w:space="0" w:color="000000"/>
              <w:right w:val="nil"/>
            </w:tcBorders>
            <w:vAlign w:val="center"/>
          </w:tcPr>
          <w:p w14:paraId="4148DBEC"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8,7</w:t>
            </w:r>
          </w:p>
        </w:tc>
      </w:tr>
      <w:tr w:rsidR="00CE0FA2" w:rsidRPr="00CE0FA2" w14:paraId="33C4CA87"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5AD22515" w14:textId="77777777" w:rsidR="0039394F" w:rsidRPr="00CE0FA2" w:rsidRDefault="0039394F" w:rsidP="00CE0FA2">
            <w:pPr>
              <w:pStyle w:val="cuatexto"/>
              <w:spacing w:line="240" w:lineRule="auto"/>
              <w:rPr>
                <w:b/>
                <w:i/>
                <w:iCs/>
                <w:color w:val="000000" w:themeColor="text1"/>
                <w:sz w:val="18"/>
                <w:szCs w:val="18"/>
              </w:rPr>
            </w:pPr>
            <w:r>
              <w:rPr>
                <w:b/>
                <w:i/>
                <w:color w:val="000000" w:themeColor="text1"/>
                <w:sz w:val="18"/>
              </w:rPr>
              <w:t>Eragiketa arruntak</w:t>
            </w:r>
          </w:p>
        </w:tc>
        <w:tc>
          <w:tcPr>
            <w:tcW w:w="755" w:type="pct"/>
            <w:tcBorders>
              <w:top w:val="single" w:sz="2" w:space="0" w:color="000000"/>
              <w:left w:val="nil"/>
              <w:bottom w:val="single" w:sz="2" w:space="0" w:color="000000"/>
              <w:right w:val="nil"/>
            </w:tcBorders>
            <w:shd w:val="clear" w:color="auto" w:fill="auto"/>
            <w:vAlign w:val="center"/>
            <w:hideMark/>
          </w:tcPr>
          <w:p w14:paraId="03481A74" w14:textId="77777777" w:rsidR="0039394F" w:rsidRPr="00CE0FA2" w:rsidRDefault="0039394F" w:rsidP="00CE0FA2">
            <w:pPr>
              <w:spacing w:after="0"/>
              <w:ind w:hanging="67"/>
              <w:jc w:val="right"/>
              <w:rPr>
                <w:rFonts w:ascii="Arial Narrow" w:hAnsi="Arial Narrow" w:cs="Calibri"/>
                <w:b/>
                <w:bCs/>
                <w:i/>
                <w:iCs/>
                <w:color w:val="000000"/>
                <w:sz w:val="18"/>
                <w:szCs w:val="18"/>
              </w:rPr>
            </w:pPr>
            <w:r>
              <w:rPr>
                <w:rFonts w:ascii="Arial Narrow" w:hAnsi="Arial Narrow"/>
                <w:b/>
                <w:i/>
                <w:color w:val="000000"/>
                <w:sz w:val="18"/>
              </w:rPr>
              <w:t>691,51</w:t>
            </w:r>
          </w:p>
        </w:tc>
        <w:tc>
          <w:tcPr>
            <w:tcW w:w="604" w:type="pct"/>
            <w:tcBorders>
              <w:top w:val="single" w:sz="2" w:space="0" w:color="000000"/>
              <w:left w:val="nil"/>
              <w:bottom w:val="single" w:sz="2" w:space="0" w:color="000000"/>
              <w:right w:val="nil"/>
            </w:tcBorders>
            <w:shd w:val="clear" w:color="auto" w:fill="auto"/>
            <w:vAlign w:val="center"/>
          </w:tcPr>
          <w:p w14:paraId="252797D0" w14:textId="77777777" w:rsidR="0039394F" w:rsidRPr="00CE0FA2" w:rsidRDefault="0039394F" w:rsidP="00CE0FA2">
            <w:pPr>
              <w:spacing w:after="0"/>
              <w:ind w:firstLine="0"/>
              <w:jc w:val="right"/>
              <w:rPr>
                <w:rFonts w:ascii="Arial Narrow" w:hAnsi="Arial Narrow" w:cs="Calibri"/>
                <w:b/>
                <w:bCs/>
                <w:color w:val="000000"/>
                <w:sz w:val="18"/>
                <w:szCs w:val="18"/>
              </w:rPr>
            </w:pPr>
            <w:r>
              <w:rPr>
                <w:rFonts w:ascii="Arial Narrow" w:hAnsi="Arial Narrow"/>
                <w:b/>
                <w:color w:val="000000"/>
                <w:sz w:val="18"/>
              </w:rPr>
              <w:t>68,96</w:t>
            </w:r>
          </w:p>
        </w:tc>
        <w:tc>
          <w:tcPr>
            <w:tcW w:w="639" w:type="pct"/>
            <w:tcBorders>
              <w:top w:val="single" w:sz="2" w:space="0" w:color="000000"/>
              <w:left w:val="nil"/>
              <w:bottom w:val="single" w:sz="2" w:space="0" w:color="000000"/>
              <w:right w:val="nil"/>
            </w:tcBorders>
            <w:vAlign w:val="center"/>
          </w:tcPr>
          <w:p w14:paraId="735F31D9" w14:textId="77777777" w:rsidR="0039394F" w:rsidRPr="00CE0FA2" w:rsidRDefault="0039394F" w:rsidP="00CE0FA2">
            <w:pPr>
              <w:spacing w:after="0"/>
              <w:ind w:firstLine="0"/>
              <w:jc w:val="right"/>
              <w:rPr>
                <w:rFonts w:ascii="Arial Narrow" w:hAnsi="Arial Narrow" w:cs="Calibri"/>
                <w:b/>
                <w:bCs/>
                <w:i/>
                <w:iCs/>
                <w:color w:val="000000"/>
                <w:sz w:val="18"/>
                <w:szCs w:val="18"/>
              </w:rPr>
            </w:pPr>
            <w:r>
              <w:rPr>
                <w:rFonts w:ascii="Arial Narrow" w:hAnsi="Arial Narrow"/>
                <w:b/>
                <w:i/>
                <w:color w:val="000000"/>
                <w:sz w:val="18"/>
              </w:rPr>
              <w:t>760,47</w:t>
            </w:r>
          </w:p>
        </w:tc>
        <w:tc>
          <w:tcPr>
            <w:tcW w:w="561" w:type="pct"/>
            <w:tcBorders>
              <w:top w:val="single" w:sz="2" w:space="0" w:color="000000"/>
              <w:left w:val="nil"/>
              <w:bottom w:val="single" w:sz="2" w:space="0" w:color="000000"/>
              <w:right w:val="nil"/>
            </w:tcBorders>
            <w:vAlign w:val="center"/>
          </w:tcPr>
          <w:p w14:paraId="4DF1A633" w14:textId="77777777" w:rsidR="0039394F" w:rsidRPr="00CE0FA2" w:rsidRDefault="0039394F" w:rsidP="00CE0FA2">
            <w:pPr>
              <w:spacing w:after="0"/>
              <w:ind w:firstLine="0"/>
              <w:jc w:val="right"/>
              <w:rPr>
                <w:rFonts w:ascii="Arial Narrow" w:hAnsi="Arial Narrow" w:cs="Calibri"/>
                <w:b/>
                <w:bCs/>
                <w:i/>
                <w:iCs/>
                <w:sz w:val="18"/>
                <w:szCs w:val="18"/>
              </w:rPr>
            </w:pPr>
            <w:r>
              <w:rPr>
                <w:rFonts w:ascii="Arial Narrow" w:hAnsi="Arial Narrow"/>
                <w:b/>
                <w:i/>
                <w:sz w:val="18"/>
              </w:rPr>
              <w:t>76,9</w:t>
            </w:r>
          </w:p>
        </w:tc>
        <w:tc>
          <w:tcPr>
            <w:tcW w:w="649" w:type="pct"/>
            <w:tcBorders>
              <w:top w:val="single" w:sz="2" w:space="0" w:color="000000"/>
              <w:left w:val="nil"/>
              <w:bottom w:val="single" w:sz="2" w:space="0" w:color="000000"/>
              <w:right w:val="nil"/>
            </w:tcBorders>
            <w:vAlign w:val="center"/>
          </w:tcPr>
          <w:p w14:paraId="022CF99A" w14:textId="77777777" w:rsidR="0039394F" w:rsidRPr="00CE0FA2" w:rsidRDefault="0039394F" w:rsidP="00CE0FA2">
            <w:pPr>
              <w:spacing w:after="0"/>
              <w:ind w:firstLine="0"/>
              <w:jc w:val="right"/>
              <w:rPr>
                <w:rFonts w:ascii="Arial Narrow" w:hAnsi="Arial Narrow" w:cs="Calibri"/>
                <w:b/>
                <w:bCs/>
                <w:i/>
                <w:iCs/>
                <w:color w:val="000000"/>
                <w:sz w:val="18"/>
                <w:szCs w:val="18"/>
              </w:rPr>
            </w:pPr>
            <w:r>
              <w:rPr>
                <w:rFonts w:ascii="Arial Narrow" w:hAnsi="Arial Narrow"/>
                <w:b/>
                <w:i/>
                <w:color w:val="000000"/>
                <w:sz w:val="18"/>
              </w:rPr>
              <w:t>50,83</w:t>
            </w:r>
          </w:p>
        </w:tc>
        <w:tc>
          <w:tcPr>
            <w:tcW w:w="594" w:type="pct"/>
            <w:tcBorders>
              <w:top w:val="single" w:sz="2" w:space="0" w:color="000000"/>
              <w:left w:val="nil"/>
              <w:bottom w:val="single" w:sz="2" w:space="0" w:color="000000"/>
              <w:right w:val="nil"/>
            </w:tcBorders>
            <w:vAlign w:val="center"/>
          </w:tcPr>
          <w:p w14:paraId="485AD260" w14:textId="77777777" w:rsidR="0039394F" w:rsidRPr="00CE0FA2" w:rsidRDefault="0039394F" w:rsidP="00CE0FA2">
            <w:pPr>
              <w:spacing w:after="0"/>
              <w:ind w:firstLine="0"/>
              <w:jc w:val="right"/>
              <w:rPr>
                <w:rFonts w:ascii="Arial Narrow" w:hAnsi="Arial Narrow" w:cs="Calibri"/>
                <w:b/>
                <w:bCs/>
                <w:i/>
                <w:iCs/>
                <w:sz w:val="18"/>
                <w:szCs w:val="18"/>
              </w:rPr>
            </w:pPr>
            <w:r>
              <w:rPr>
                <w:rFonts w:ascii="Arial Narrow" w:hAnsi="Arial Narrow"/>
                <w:b/>
                <w:i/>
                <w:sz w:val="18"/>
              </w:rPr>
              <w:t>7,2</w:t>
            </w:r>
          </w:p>
        </w:tc>
      </w:tr>
      <w:tr w:rsidR="00CE0FA2" w:rsidRPr="00CE0FA2" w14:paraId="72792C31"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tcPr>
          <w:p w14:paraId="3AA6EE8D"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5. Kontingentzia funtsa</w:t>
            </w:r>
          </w:p>
        </w:tc>
        <w:tc>
          <w:tcPr>
            <w:tcW w:w="755" w:type="pct"/>
            <w:tcBorders>
              <w:top w:val="single" w:sz="2" w:space="0" w:color="000000"/>
              <w:left w:val="nil"/>
              <w:bottom w:val="single" w:sz="2" w:space="0" w:color="000000"/>
              <w:right w:val="nil"/>
            </w:tcBorders>
            <w:shd w:val="clear" w:color="auto" w:fill="auto"/>
            <w:vAlign w:val="center"/>
          </w:tcPr>
          <w:p w14:paraId="00916F36"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0,00</w:t>
            </w:r>
          </w:p>
        </w:tc>
        <w:tc>
          <w:tcPr>
            <w:tcW w:w="604" w:type="pct"/>
            <w:tcBorders>
              <w:top w:val="single" w:sz="2" w:space="0" w:color="000000"/>
              <w:left w:val="nil"/>
              <w:bottom w:val="single" w:sz="2" w:space="0" w:color="000000"/>
              <w:right w:val="nil"/>
            </w:tcBorders>
            <w:shd w:val="clear" w:color="auto" w:fill="auto"/>
            <w:vAlign w:val="center"/>
          </w:tcPr>
          <w:p w14:paraId="0066AE06"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0,00</w:t>
            </w:r>
          </w:p>
        </w:tc>
        <w:tc>
          <w:tcPr>
            <w:tcW w:w="639" w:type="pct"/>
            <w:tcBorders>
              <w:top w:val="single" w:sz="2" w:space="0" w:color="000000"/>
              <w:left w:val="nil"/>
              <w:bottom w:val="single" w:sz="2" w:space="0" w:color="000000"/>
              <w:right w:val="nil"/>
            </w:tcBorders>
            <w:vAlign w:val="center"/>
          </w:tcPr>
          <w:p w14:paraId="71FF66A7"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0,00</w:t>
            </w:r>
          </w:p>
        </w:tc>
        <w:tc>
          <w:tcPr>
            <w:tcW w:w="561" w:type="pct"/>
            <w:tcBorders>
              <w:top w:val="single" w:sz="2" w:space="0" w:color="000000"/>
              <w:left w:val="nil"/>
              <w:bottom w:val="single" w:sz="2" w:space="0" w:color="000000"/>
              <w:right w:val="nil"/>
            </w:tcBorders>
            <w:vAlign w:val="center"/>
          </w:tcPr>
          <w:p w14:paraId="4739BCC3"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0,0</w:t>
            </w:r>
          </w:p>
        </w:tc>
        <w:tc>
          <w:tcPr>
            <w:tcW w:w="649" w:type="pct"/>
            <w:tcBorders>
              <w:top w:val="single" w:sz="2" w:space="0" w:color="000000"/>
              <w:left w:val="nil"/>
              <w:bottom w:val="single" w:sz="2" w:space="0" w:color="000000"/>
              <w:right w:val="nil"/>
            </w:tcBorders>
            <w:vAlign w:val="center"/>
          </w:tcPr>
          <w:p w14:paraId="2CBF4DE3"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0,00</w:t>
            </w:r>
          </w:p>
        </w:tc>
        <w:tc>
          <w:tcPr>
            <w:tcW w:w="594" w:type="pct"/>
            <w:tcBorders>
              <w:top w:val="single" w:sz="2" w:space="0" w:color="000000"/>
              <w:left w:val="nil"/>
              <w:bottom w:val="single" w:sz="2" w:space="0" w:color="000000"/>
              <w:right w:val="nil"/>
            </w:tcBorders>
            <w:vAlign w:val="center"/>
          </w:tcPr>
          <w:p w14:paraId="09D9AC6E" w14:textId="77777777" w:rsidR="0039394F" w:rsidRPr="00CE0FA2" w:rsidRDefault="007C6CA5" w:rsidP="00CE0FA2">
            <w:pPr>
              <w:spacing w:after="0"/>
              <w:ind w:firstLine="0"/>
              <w:jc w:val="right"/>
              <w:rPr>
                <w:rFonts w:ascii="Arial Narrow" w:hAnsi="Arial Narrow" w:cs="Calibri"/>
                <w:sz w:val="18"/>
                <w:szCs w:val="18"/>
              </w:rPr>
            </w:pPr>
            <w:r>
              <w:rPr>
                <w:rFonts w:ascii="Arial Narrow" w:hAnsi="Arial Narrow"/>
                <w:sz w:val="18"/>
              </w:rPr>
              <w:t>-</w:t>
            </w:r>
          </w:p>
        </w:tc>
      </w:tr>
      <w:tr w:rsidR="00CE0FA2" w:rsidRPr="00CE0FA2" w14:paraId="5A1C2411"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2EA1B261" w14:textId="77777777" w:rsidR="0039394F" w:rsidRPr="00CE0FA2" w:rsidRDefault="0039394F" w:rsidP="00CE0FA2">
            <w:pPr>
              <w:pStyle w:val="cuatexto"/>
              <w:spacing w:line="240" w:lineRule="auto"/>
              <w:rPr>
                <w:b/>
                <w:i/>
                <w:iCs/>
                <w:color w:val="000000" w:themeColor="text1"/>
                <w:sz w:val="18"/>
                <w:szCs w:val="18"/>
              </w:rPr>
            </w:pPr>
            <w:r>
              <w:rPr>
                <w:b/>
                <w:i/>
                <w:color w:val="000000" w:themeColor="text1"/>
                <w:sz w:val="18"/>
              </w:rPr>
              <w:t>Kontingentzia funtsa</w:t>
            </w:r>
          </w:p>
        </w:tc>
        <w:tc>
          <w:tcPr>
            <w:tcW w:w="755" w:type="pct"/>
            <w:tcBorders>
              <w:top w:val="single" w:sz="2" w:space="0" w:color="000000"/>
              <w:left w:val="nil"/>
              <w:bottom w:val="single" w:sz="2" w:space="0" w:color="000000"/>
              <w:right w:val="nil"/>
            </w:tcBorders>
            <w:shd w:val="clear" w:color="auto" w:fill="auto"/>
            <w:vAlign w:val="center"/>
            <w:hideMark/>
          </w:tcPr>
          <w:p w14:paraId="744C3788" w14:textId="77777777" w:rsidR="0039394F" w:rsidRPr="00CE0FA2" w:rsidRDefault="0039394F" w:rsidP="00CE0FA2">
            <w:pPr>
              <w:spacing w:after="0"/>
              <w:ind w:hanging="67"/>
              <w:jc w:val="right"/>
              <w:rPr>
                <w:rFonts w:ascii="Arial Narrow" w:hAnsi="Arial Narrow" w:cs="Calibri"/>
                <w:b/>
                <w:bCs/>
                <w:i/>
                <w:iCs/>
                <w:color w:val="000000"/>
                <w:sz w:val="18"/>
                <w:szCs w:val="18"/>
              </w:rPr>
            </w:pPr>
            <w:r>
              <w:rPr>
                <w:rFonts w:ascii="Arial Narrow" w:hAnsi="Arial Narrow"/>
                <w:b/>
                <w:i/>
                <w:color w:val="000000"/>
                <w:sz w:val="18"/>
              </w:rPr>
              <w:t>0,00</w:t>
            </w:r>
          </w:p>
        </w:tc>
        <w:tc>
          <w:tcPr>
            <w:tcW w:w="604" w:type="pct"/>
            <w:tcBorders>
              <w:top w:val="single" w:sz="2" w:space="0" w:color="000000"/>
              <w:left w:val="nil"/>
              <w:bottom w:val="single" w:sz="2" w:space="0" w:color="000000"/>
              <w:right w:val="nil"/>
            </w:tcBorders>
            <w:shd w:val="clear" w:color="auto" w:fill="auto"/>
            <w:vAlign w:val="center"/>
          </w:tcPr>
          <w:p w14:paraId="6B6BD1A7" w14:textId="77777777" w:rsidR="0039394F" w:rsidRPr="00CE0FA2" w:rsidRDefault="0039394F" w:rsidP="00CE0FA2">
            <w:pPr>
              <w:spacing w:after="0"/>
              <w:ind w:firstLine="0"/>
              <w:jc w:val="right"/>
              <w:rPr>
                <w:rFonts w:ascii="Arial Narrow" w:hAnsi="Arial Narrow" w:cs="Calibri"/>
                <w:b/>
                <w:bCs/>
                <w:color w:val="000000"/>
                <w:sz w:val="18"/>
                <w:szCs w:val="18"/>
              </w:rPr>
            </w:pPr>
            <w:r>
              <w:rPr>
                <w:rFonts w:ascii="Arial Narrow" w:hAnsi="Arial Narrow"/>
                <w:b/>
                <w:color w:val="000000"/>
                <w:sz w:val="18"/>
              </w:rPr>
              <w:t>0,00</w:t>
            </w:r>
          </w:p>
        </w:tc>
        <w:tc>
          <w:tcPr>
            <w:tcW w:w="639" w:type="pct"/>
            <w:tcBorders>
              <w:top w:val="single" w:sz="2" w:space="0" w:color="000000"/>
              <w:left w:val="nil"/>
              <w:bottom w:val="single" w:sz="2" w:space="0" w:color="000000"/>
              <w:right w:val="nil"/>
            </w:tcBorders>
            <w:vAlign w:val="center"/>
          </w:tcPr>
          <w:p w14:paraId="7E1E68F4" w14:textId="77777777" w:rsidR="0039394F" w:rsidRPr="00CE0FA2" w:rsidRDefault="0039394F" w:rsidP="00CE0FA2">
            <w:pPr>
              <w:spacing w:after="0"/>
              <w:ind w:firstLine="0"/>
              <w:jc w:val="right"/>
              <w:rPr>
                <w:rFonts w:ascii="Arial Narrow" w:hAnsi="Arial Narrow" w:cs="Calibri"/>
                <w:b/>
                <w:bCs/>
                <w:i/>
                <w:iCs/>
                <w:color w:val="000000"/>
                <w:sz w:val="18"/>
                <w:szCs w:val="18"/>
              </w:rPr>
            </w:pPr>
            <w:r>
              <w:rPr>
                <w:rFonts w:ascii="Arial Narrow" w:hAnsi="Arial Narrow"/>
                <w:b/>
                <w:i/>
                <w:color w:val="000000"/>
                <w:sz w:val="18"/>
              </w:rPr>
              <w:t>0,00</w:t>
            </w:r>
          </w:p>
        </w:tc>
        <w:tc>
          <w:tcPr>
            <w:tcW w:w="561" w:type="pct"/>
            <w:tcBorders>
              <w:top w:val="single" w:sz="2" w:space="0" w:color="000000"/>
              <w:left w:val="nil"/>
              <w:bottom w:val="single" w:sz="2" w:space="0" w:color="000000"/>
              <w:right w:val="nil"/>
            </w:tcBorders>
            <w:vAlign w:val="center"/>
          </w:tcPr>
          <w:p w14:paraId="04598625" w14:textId="77777777" w:rsidR="0039394F" w:rsidRPr="00CE0FA2" w:rsidRDefault="0039394F" w:rsidP="00CE0FA2">
            <w:pPr>
              <w:spacing w:after="0"/>
              <w:ind w:firstLine="0"/>
              <w:jc w:val="right"/>
              <w:rPr>
                <w:rFonts w:ascii="Arial Narrow" w:hAnsi="Arial Narrow" w:cs="Calibri"/>
                <w:b/>
                <w:bCs/>
                <w:i/>
                <w:iCs/>
                <w:sz w:val="18"/>
                <w:szCs w:val="18"/>
              </w:rPr>
            </w:pPr>
            <w:r>
              <w:rPr>
                <w:rFonts w:ascii="Arial Narrow" w:hAnsi="Arial Narrow"/>
                <w:b/>
                <w:i/>
                <w:sz w:val="18"/>
              </w:rPr>
              <w:t>0,0</w:t>
            </w:r>
          </w:p>
        </w:tc>
        <w:tc>
          <w:tcPr>
            <w:tcW w:w="649" w:type="pct"/>
            <w:tcBorders>
              <w:top w:val="single" w:sz="2" w:space="0" w:color="000000"/>
              <w:left w:val="nil"/>
              <w:bottom w:val="single" w:sz="2" w:space="0" w:color="000000"/>
              <w:right w:val="nil"/>
            </w:tcBorders>
            <w:vAlign w:val="center"/>
          </w:tcPr>
          <w:p w14:paraId="7897FF5F" w14:textId="77777777" w:rsidR="0039394F" w:rsidRPr="00CE0FA2" w:rsidRDefault="0039394F" w:rsidP="00CE0FA2">
            <w:pPr>
              <w:spacing w:after="0"/>
              <w:ind w:firstLine="0"/>
              <w:jc w:val="right"/>
              <w:rPr>
                <w:rFonts w:ascii="Arial Narrow" w:hAnsi="Arial Narrow" w:cs="Calibri"/>
                <w:b/>
                <w:bCs/>
                <w:i/>
                <w:iCs/>
                <w:color w:val="000000"/>
                <w:sz w:val="18"/>
                <w:szCs w:val="18"/>
              </w:rPr>
            </w:pPr>
            <w:r>
              <w:rPr>
                <w:rFonts w:ascii="Arial Narrow" w:hAnsi="Arial Narrow"/>
                <w:b/>
                <w:i/>
                <w:color w:val="000000"/>
                <w:sz w:val="18"/>
              </w:rPr>
              <w:t>0,00</w:t>
            </w:r>
          </w:p>
        </w:tc>
        <w:tc>
          <w:tcPr>
            <w:tcW w:w="594" w:type="pct"/>
            <w:tcBorders>
              <w:top w:val="single" w:sz="2" w:space="0" w:color="000000"/>
              <w:left w:val="nil"/>
              <w:bottom w:val="single" w:sz="2" w:space="0" w:color="000000"/>
              <w:right w:val="nil"/>
            </w:tcBorders>
            <w:vAlign w:val="center"/>
          </w:tcPr>
          <w:p w14:paraId="2A9CB6E2" w14:textId="77777777" w:rsidR="0039394F" w:rsidRPr="00CE0FA2" w:rsidRDefault="007C6CA5" w:rsidP="00CE0FA2">
            <w:pPr>
              <w:spacing w:after="0"/>
              <w:ind w:firstLine="0"/>
              <w:jc w:val="right"/>
              <w:rPr>
                <w:rFonts w:ascii="Arial Narrow" w:hAnsi="Arial Narrow" w:cs="Calibri"/>
                <w:b/>
                <w:bCs/>
                <w:i/>
                <w:iCs/>
                <w:sz w:val="18"/>
                <w:szCs w:val="18"/>
              </w:rPr>
            </w:pPr>
            <w:r>
              <w:rPr>
                <w:rFonts w:ascii="Arial Narrow" w:hAnsi="Arial Narrow"/>
                <w:b/>
                <w:i/>
                <w:sz w:val="18"/>
              </w:rPr>
              <w:t>-</w:t>
            </w:r>
          </w:p>
        </w:tc>
      </w:tr>
      <w:tr w:rsidR="00CE0FA2" w:rsidRPr="00CE0FA2" w14:paraId="760535F6"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27F24B0F"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6. Inbertsio errealak</w:t>
            </w:r>
          </w:p>
        </w:tc>
        <w:tc>
          <w:tcPr>
            <w:tcW w:w="755" w:type="pct"/>
            <w:tcBorders>
              <w:top w:val="single" w:sz="2" w:space="0" w:color="000000"/>
              <w:left w:val="nil"/>
              <w:bottom w:val="single" w:sz="2" w:space="0" w:color="000000"/>
              <w:right w:val="nil"/>
            </w:tcBorders>
            <w:shd w:val="clear" w:color="auto" w:fill="auto"/>
            <w:vAlign w:val="center"/>
            <w:hideMark/>
          </w:tcPr>
          <w:p w14:paraId="7051663D"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156,41</w:t>
            </w:r>
          </w:p>
        </w:tc>
        <w:tc>
          <w:tcPr>
            <w:tcW w:w="604" w:type="pct"/>
            <w:tcBorders>
              <w:top w:val="single" w:sz="2" w:space="0" w:color="000000"/>
              <w:left w:val="nil"/>
              <w:bottom w:val="single" w:sz="2" w:space="0" w:color="000000"/>
              <w:right w:val="nil"/>
            </w:tcBorders>
            <w:shd w:val="clear" w:color="auto" w:fill="auto"/>
            <w:vAlign w:val="center"/>
          </w:tcPr>
          <w:p w14:paraId="5C2ED897"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28,51</w:t>
            </w:r>
          </w:p>
        </w:tc>
        <w:tc>
          <w:tcPr>
            <w:tcW w:w="639" w:type="pct"/>
            <w:tcBorders>
              <w:top w:val="single" w:sz="2" w:space="0" w:color="000000"/>
              <w:left w:val="nil"/>
              <w:bottom w:val="single" w:sz="2" w:space="0" w:color="000000"/>
              <w:right w:val="nil"/>
            </w:tcBorders>
            <w:vAlign w:val="center"/>
          </w:tcPr>
          <w:p w14:paraId="0FEC2A09"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184,92</w:t>
            </w:r>
          </w:p>
        </w:tc>
        <w:tc>
          <w:tcPr>
            <w:tcW w:w="561" w:type="pct"/>
            <w:tcBorders>
              <w:top w:val="single" w:sz="2" w:space="0" w:color="000000"/>
              <w:left w:val="nil"/>
              <w:bottom w:val="single" w:sz="2" w:space="0" w:color="000000"/>
              <w:right w:val="nil"/>
            </w:tcBorders>
            <w:vAlign w:val="center"/>
          </w:tcPr>
          <w:p w14:paraId="43EAE27D"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18,7</w:t>
            </w:r>
          </w:p>
        </w:tc>
        <w:tc>
          <w:tcPr>
            <w:tcW w:w="649" w:type="pct"/>
            <w:tcBorders>
              <w:top w:val="single" w:sz="2" w:space="0" w:color="000000"/>
              <w:left w:val="nil"/>
              <w:bottom w:val="single" w:sz="2" w:space="0" w:color="000000"/>
              <w:right w:val="nil"/>
            </w:tcBorders>
            <w:vAlign w:val="center"/>
          </w:tcPr>
          <w:p w14:paraId="4D031E1C"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55,68</w:t>
            </w:r>
          </w:p>
        </w:tc>
        <w:tc>
          <w:tcPr>
            <w:tcW w:w="594" w:type="pct"/>
            <w:tcBorders>
              <w:top w:val="single" w:sz="2" w:space="0" w:color="000000"/>
              <w:left w:val="nil"/>
              <w:bottom w:val="single" w:sz="2" w:space="0" w:color="000000"/>
              <w:right w:val="nil"/>
            </w:tcBorders>
            <w:vAlign w:val="center"/>
          </w:tcPr>
          <w:p w14:paraId="7BECB239"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43,1</w:t>
            </w:r>
          </w:p>
        </w:tc>
      </w:tr>
      <w:tr w:rsidR="00CE0FA2" w:rsidRPr="00CE0FA2" w14:paraId="701D3527"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6648E11C"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7. Kapital-transferentziak</w:t>
            </w:r>
          </w:p>
        </w:tc>
        <w:tc>
          <w:tcPr>
            <w:tcW w:w="755" w:type="pct"/>
            <w:tcBorders>
              <w:top w:val="single" w:sz="2" w:space="0" w:color="000000"/>
              <w:left w:val="nil"/>
              <w:bottom w:val="single" w:sz="2" w:space="0" w:color="000000"/>
              <w:right w:val="nil"/>
            </w:tcBorders>
            <w:shd w:val="clear" w:color="auto" w:fill="auto"/>
            <w:vAlign w:val="center"/>
            <w:hideMark/>
          </w:tcPr>
          <w:p w14:paraId="7C251276"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17,50</w:t>
            </w:r>
          </w:p>
        </w:tc>
        <w:tc>
          <w:tcPr>
            <w:tcW w:w="604" w:type="pct"/>
            <w:tcBorders>
              <w:top w:val="single" w:sz="2" w:space="0" w:color="000000"/>
              <w:left w:val="nil"/>
              <w:bottom w:val="single" w:sz="2" w:space="0" w:color="000000"/>
              <w:right w:val="nil"/>
            </w:tcBorders>
            <w:shd w:val="clear" w:color="auto" w:fill="auto"/>
            <w:vAlign w:val="center"/>
          </w:tcPr>
          <w:p w14:paraId="2BFF6F10"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0,00</w:t>
            </w:r>
          </w:p>
        </w:tc>
        <w:tc>
          <w:tcPr>
            <w:tcW w:w="639" w:type="pct"/>
            <w:tcBorders>
              <w:top w:val="single" w:sz="2" w:space="0" w:color="000000"/>
              <w:left w:val="nil"/>
              <w:bottom w:val="single" w:sz="2" w:space="0" w:color="000000"/>
              <w:right w:val="nil"/>
            </w:tcBorders>
            <w:vAlign w:val="center"/>
          </w:tcPr>
          <w:p w14:paraId="7E79023A"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17,50</w:t>
            </w:r>
          </w:p>
        </w:tc>
        <w:tc>
          <w:tcPr>
            <w:tcW w:w="561" w:type="pct"/>
            <w:tcBorders>
              <w:top w:val="single" w:sz="2" w:space="0" w:color="000000"/>
              <w:left w:val="nil"/>
              <w:bottom w:val="single" w:sz="2" w:space="0" w:color="000000"/>
              <w:right w:val="nil"/>
            </w:tcBorders>
            <w:vAlign w:val="center"/>
          </w:tcPr>
          <w:p w14:paraId="42072CF5"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1,8</w:t>
            </w:r>
          </w:p>
        </w:tc>
        <w:tc>
          <w:tcPr>
            <w:tcW w:w="649" w:type="pct"/>
            <w:tcBorders>
              <w:top w:val="single" w:sz="2" w:space="0" w:color="000000"/>
              <w:left w:val="nil"/>
              <w:bottom w:val="single" w:sz="2" w:space="0" w:color="000000"/>
              <w:right w:val="nil"/>
            </w:tcBorders>
            <w:vAlign w:val="center"/>
          </w:tcPr>
          <w:p w14:paraId="3475E1EC"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9,41</w:t>
            </w:r>
          </w:p>
        </w:tc>
        <w:tc>
          <w:tcPr>
            <w:tcW w:w="594" w:type="pct"/>
            <w:tcBorders>
              <w:top w:val="single" w:sz="2" w:space="0" w:color="000000"/>
              <w:left w:val="nil"/>
              <w:bottom w:val="single" w:sz="2" w:space="0" w:color="000000"/>
              <w:right w:val="nil"/>
            </w:tcBorders>
            <w:vAlign w:val="center"/>
          </w:tcPr>
          <w:p w14:paraId="5F75B7EF"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116,2</w:t>
            </w:r>
          </w:p>
        </w:tc>
      </w:tr>
      <w:tr w:rsidR="00CE0FA2" w:rsidRPr="00CE0FA2" w14:paraId="45A558C2"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1220ECD4" w14:textId="77777777" w:rsidR="0039394F" w:rsidRPr="00CE0FA2" w:rsidRDefault="0039394F" w:rsidP="00CE0FA2">
            <w:pPr>
              <w:pStyle w:val="cuatexto"/>
              <w:spacing w:line="240" w:lineRule="auto"/>
              <w:rPr>
                <w:b/>
                <w:i/>
                <w:iCs/>
                <w:color w:val="000000" w:themeColor="text1"/>
                <w:sz w:val="18"/>
                <w:szCs w:val="18"/>
              </w:rPr>
            </w:pPr>
            <w:r>
              <w:rPr>
                <w:b/>
                <w:i/>
                <w:color w:val="000000" w:themeColor="text1"/>
                <w:sz w:val="18"/>
              </w:rPr>
              <w:t>Kapital-eragiketak</w:t>
            </w:r>
          </w:p>
        </w:tc>
        <w:tc>
          <w:tcPr>
            <w:tcW w:w="755" w:type="pct"/>
            <w:tcBorders>
              <w:top w:val="single" w:sz="2" w:space="0" w:color="000000"/>
              <w:left w:val="nil"/>
              <w:bottom w:val="single" w:sz="2" w:space="0" w:color="000000"/>
              <w:right w:val="nil"/>
            </w:tcBorders>
            <w:shd w:val="clear" w:color="auto" w:fill="auto"/>
            <w:vAlign w:val="center"/>
            <w:hideMark/>
          </w:tcPr>
          <w:p w14:paraId="3DB1E61E" w14:textId="77777777" w:rsidR="0039394F" w:rsidRPr="00CE0FA2" w:rsidRDefault="0039394F" w:rsidP="00CE0FA2">
            <w:pPr>
              <w:spacing w:after="0"/>
              <w:ind w:hanging="67"/>
              <w:jc w:val="right"/>
              <w:rPr>
                <w:rFonts w:ascii="Arial Narrow" w:hAnsi="Arial Narrow" w:cs="Calibri"/>
                <w:b/>
                <w:bCs/>
                <w:i/>
                <w:iCs/>
                <w:color w:val="000000"/>
                <w:sz w:val="18"/>
                <w:szCs w:val="18"/>
              </w:rPr>
            </w:pPr>
            <w:r>
              <w:rPr>
                <w:rFonts w:ascii="Arial Narrow" w:hAnsi="Arial Narrow"/>
                <w:b/>
                <w:i/>
                <w:color w:val="000000"/>
                <w:sz w:val="18"/>
              </w:rPr>
              <w:t>173,91</w:t>
            </w:r>
          </w:p>
        </w:tc>
        <w:tc>
          <w:tcPr>
            <w:tcW w:w="604" w:type="pct"/>
            <w:tcBorders>
              <w:top w:val="single" w:sz="2" w:space="0" w:color="000000"/>
              <w:left w:val="nil"/>
              <w:bottom w:val="single" w:sz="2" w:space="0" w:color="000000"/>
              <w:right w:val="nil"/>
            </w:tcBorders>
            <w:shd w:val="clear" w:color="auto" w:fill="auto"/>
            <w:vAlign w:val="center"/>
          </w:tcPr>
          <w:p w14:paraId="3D8D6CC1" w14:textId="77777777" w:rsidR="0039394F" w:rsidRPr="00CE0FA2" w:rsidRDefault="0039394F" w:rsidP="00CE0FA2">
            <w:pPr>
              <w:spacing w:after="0"/>
              <w:ind w:firstLine="0"/>
              <w:jc w:val="right"/>
              <w:rPr>
                <w:rFonts w:ascii="Arial Narrow" w:hAnsi="Arial Narrow" w:cs="Calibri"/>
                <w:b/>
                <w:bCs/>
                <w:color w:val="000000"/>
                <w:sz w:val="18"/>
                <w:szCs w:val="18"/>
              </w:rPr>
            </w:pPr>
            <w:r>
              <w:rPr>
                <w:rFonts w:ascii="Arial Narrow" w:hAnsi="Arial Narrow"/>
                <w:b/>
                <w:color w:val="000000"/>
                <w:sz w:val="18"/>
              </w:rPr>
              <w:t>28,51</w:t>
            </w:r>
          </w:p>
        </w:tc>
        <w:tc>
          <w:tcPr>
            <w:tcW w:w="639" w:type="pct"/>
            <w:tcBorders>
              <w:top w:val="single" w:sz="2" w:space="0" w:color="000000"/>
              <w:left w:val="nil"/>
              <w:bottom w:val="single" w:sz="2" w:space="0" w:color="000000"/>
              <w:right w:val="nil"/>
            </w:tcBorders>
            <w:vAlign w:val="center"/>
          </w:tcPr>
          <w:p w14:paraId="5E20A31B" w14:textId="77777777" w:rsidR="0039394F" w:rsidRPr="00CE0FA2" w:rsidRDefault="0039394F" w:rsidP="00CE0FA2">
            <w:pPr>
              <w:spacing w:after="0"/>
              <w:ind w:firstLine="0"/>
              <w:jc w:val="right"/>
              <w:rPr>
                <w:rFonts w:ascii="Arial Narrow" w:hAnsi="Arial Narrow" w:cs="Calibri"/>
                <w:b/>
                <w:bCs/>
                <w:i/>
                <w:iCs/>
                <w:color w:val="000000"/>
                <w:sz w:val="18"/>
                <w:szCs w:val="18"/>
              </w:rPr>
            </w:pPr>
            <w:r>
              <w:rPr>
                <w:rFonts w:ascii="Arial Narrow" w:hAnsi="Arial Narrow"/>
                <w:b/>
                <w:i/>
                <w:color w:val="000000"/>
                <w:sz w:val="18"/>
              </w:rPr>
              <w:t>202,42</w:t>
            </w:r>
          </w:p>
        </w:tc>
        <w:tc>
          <w:tcPr>
            <w:tcW w:w="561" w:type="pct"/>
            <w:tcBorders>
              <w:top w:val="single" w:sz="2" w:space="0" w:color="000000"/>
              <w:left w:val="nil"/>
              <w:bottom w:val="single" w:sz="2" w:space="0" w:color="000000"/>
              <w:right w:val="nil"/>
            </w:tcBorders>
            <w:vAlign w:val="center"/>
          </w:tcPr>
          <w:p w14:paraId="0288BDC5" w14:textId="77777777" w:rsidR="0039394F" w:rsidRPr="00CE0FA2" w:rsidRDefault="0039394F" w:rsidP="00CE0FA2">
            <w:pPr>
              <w:spacing w:after="0"/>
              <w:ind w:firstLine="0"/>
              <w:jc w:val="right"/>
              <w:rPr>
                <w:rFonts w:ascii="Arial Narrow" w:hAnsi="Arial Narrow" w:cs="Calibri"/>
                <w:b/>
                <w:bCs/>
                <w:i/>
                <w:iCs/>
                <w:sz w:val="18"/>
                <w:szCs w:val="18"/>
              </w:rPr>
            </w:pPr>
            <w:r>
              <w:rPr>
                <w:rFonts w:ascii="Arial Narrow" w:hAnsi="Arial Narrow"/>
                <w:b/>
                <w:i/>
                <w:sz w:val="18"/>
              </w:rPr>
              <w:t>20,5</w:t>
            </w:r>
          </w:p>
        </w:tc>
        <w:tc>
          <w:tcPr>
            <w:tcW w:w="649" w:type="pct"/>
            <w:tcBorders>
              <w:top w:val="single" w:sz="2" w:space="0" w:color="000000"/>
              <w:left w:val="nil"/>
              <w:bottom w:val="single" w:sz="2" w:space="0" w:color="000000"/>
              <w:right w:val="nil"/>
            </w:tcBorders>
            <w:vAlign w:val="center"/>
          </w:tcPr>
          <w:p w14:paraId="090A71FD" w14:textId="77777777" w:rsidR="0039394F" w:rsidRPr="00CE0FA2" w:rsidRDefault="0039394F" w:rsidP="00CE0FA2">
            <w:pPr>
              <w:spacing w:after="0"/>
              <w:ind w:firstLine="0"/>
              <w:jc w:val="right"/>
              <w:rPr>
                <w:rFonts w:ascii="Arial Narrow" w:hAnsi="Arial Narrow" w:cs="Calibri"/>
                <w:b/>
                <w:bCs/>
                <w:i/>
                <w:iCs/>
                <w:color w:val="000000"/>
                <w:sz w:val="18"/>
                <w:szCs w:val="18"/>
              </w:rPr>
            </w:pPr>
            <w:r>
              <w:rPr>
                <w:rFonts w:ascii="Arial Narrow" w:hAnsi="Arial Narrow"/>
                <w:b/>
                <w:i/>
                <w:color w:val="000000"/>
                <w:sz w:val="18"/>
              </w:rPr>
              <w:t>65,09</w:t>
            </w:r>
          </w:p>
        </w:tc>
        <w:tc>
          <w:tcPr>
            <w:tcW w:w="594" w:type="pct"/>
            <w:tcBorders>
              <w:top w:val="single" w:sz="2" w:space="0" w:color="000000"/>
              <w:left w:val="nil"/>
              <w:bottom w:val="single" w:sz="2" w:space="0" w:color="000000"/>
              <w:right w:val="nil"/>
            </w:tcBorders>
            <w:vAlign w:val="center"/>
          </w:tcPr>
          <w:p w14:paraId="07FE1DD4" w14:textId="77777777" w:rsidR="0039394F" w:rsidRPr="00CE0FA2" w:rsidRDefault="0039394F" w:rsidP="00CE0FA2">
            <w:pPr>
              <w:spacing w:after="0"/>
              <w:ind w:firstLine="0"/>
              <w:jc w:val="right"/>
              <w:rPr>
                <w:rFonts w:ascii="Arial Narrow" w:hAnsi="Arial Narrow" w:cs="Calibri"/>
                <w:b/>
                <w:bCs/>
                <w:i/>
                <w:iCs/>
                <w:sz w:val="18"/>
                <w:szCs w:val="18"/>
              </w:rPr>
            </w:pPr>
            <w:r>
              <w:rPr>
                <w:rFonts w:ascii="Arial Narrow" w:hAnsi="Arial Narrow"/>
                <w:b/>
                <w:i/>
                <w:sz w:val="18"/>
              </w:rPr>
              <w:t>47,4</w:t>
            </w:r>
          </w:p>
        </w:tc>
      </w:tr>
      <w:tr w:rsidR="00CE0FA2" w:rsidRPr="00CE0FA2" w14:paraId="4DC0EBC6"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5D27D326"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8. Finantza-aktiboak</w:t>
            </w:r>
          </w:p>
        </w:tc>
        <w:tc>
          <w:tcPr>
            <w:tcW w:w="755" w:type="pct"/>
            <w:tcBorders>
              <w:top w:val="single" w:sz="2" w:space="0" w:color="000000"/>
              <w:left w:val="nil"/>
              <w:bottom w:val="single" w:sz="2" w:space="0" w:color="000000"/>
              <w:right w:val="nil"/>
            </w:tcBorders>
            <w:shd w:val="clear" w:color="auto" w:fill="auto"/>
            <w:vAlign w:val="center"/>
            <w:hideMark/>
          </w:tcPr>
          <w:p w14:paraId="1B92AA13"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0,81</w:t>
            </w:r>
          </w:p>
        </w:tc>
        <w:tc>
          <w:tcPr>
            <w:tcW w:w="604" w:type="pct"/>
            <w:tcBorders>
              <w:top w:val="single" w:sz="2" w:space="0" w:color="000000"/>
              <w:left w:val="nil"/>
              <w:bottom w:val="single" w:sz="2" w:space="0" w:color="000000"/>
              <w:right w:val="nil"/>
            </w:tcBorders>
            <w:shd w:val="clear" w:color="auto" w:fill="auto"/>
            <w:vAlign w:val="center"/>
          </w:tcPr>
          <w:p w14:paraId="2976D956"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0,00</w:t>
            </w:r>
          </w:p>
        </w:tc>
        <w:tc>
          <w:tcPr>
            <w:tcW w:w="639" w:type="pct"/>
            <w:tcBorders>
              <w:top w:val="single" w:sz="2" w:space="0" w:color="000000"/>
              <w:left w:val="nil"/>
              <w:bottom w:val="single" w:sz="2" w:space="0" w:color="000000"/>
              <w:right w:val="nil"/>
            </w:tcBorders>
            <w:vAlign w:val="center"/>
          </w:tcPr>
          <w:p w14:paraId="485FA0DF"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0,81</w:t>
            </w:r>
          </w:p>
        </w:tc>
        <w:tc>
          <w:tcPr>
            <w:tcW w:w="561" w:type="pct"/>
            <w:tcBorders>
              <w:top w:val="single" w:sz="2" w:space="0" w:color="000000"/>
              <w:left w:val="nil"/>
              <w:bottom w:val="single" w:sz="2" w:space="0" w:color="000000"/>
              <w:right w:val="nil"/>
            </w:tcBorders>
            <w:vAlign w:val="center"/>
          </w:tcPr>
          <w:p w14:paraId="2E518BCF"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0,1</w:t>
            </w:r>
          </w:p>
        </w:tc>
        <w:tc>
          <w:tcPr>
            <w:tcW w:w="649" w:type="pct"/>
            <w:tcBorders>
              <w:top w:val="single" w:sz="2" w:space="0" w:color="000000"/>
              <w:left w:val="nil"/>
              <w:bottom w:val="single" w:sz="2" w:space="0" w:color="000000"/>
              <w:right w:val="nil"/>
            </w:tcBorders>
            <w:vAlign w:val="center"/>
          </w:tcPr>
          <w:p w14:paraId="627E6B2A"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-1,28</w:t>
            </w:r>
          </w:p>
        </w:tc>
        <w:tc>
          <w:tcPr>
            <w:tcW w:w="594" w:type="pct"/>
            <w:tcBorders>
              <w:top w:val="single" w:sz="2" w:space="0" w:color="000000"/>
              <w:left w:val="nil"/>
              <w:bottom w:val="single" w:sz="2" w:space="0" w:color="000000"/>
              <w:right w:val="nil"/>
            </w:tcBorders>
            <w:vAlign w:val="center"/>
          </w:tcPr>
          <w:p w14:paraId="1F0E81B3"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-61,3</w:t>
            </w:r>
          </w:p>
        </w:tc>
      </w:tr>
      <w:tr w:rsidR="00CE0FA2" w:rsidRPr="00CE0FA2" w14:paraId="1FDDF98C"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3B0DB251" w14:textId="77777777" w:rsidR="0039394F" w:rsidRPr="00CE0FA2" w:rsidRDefault="0039394F" w:rsidP="00CE0FA2">
            <w:pPr>
              <w:pStyle w:val="cuatexto"/>
              <w:spacing w:line="240" w:lineRule="auto"/>
              <w:rPr>
                <w:color w:val="000000" w:themeColor="text1"/>
                <w:sz w:val="18"/>
                <w:szCs w:val="18"/>
              </w:rPr>
            </w:pPr>
            <w:r>
              <w:rPr>
                <w:color w:val="000000" w:themeColor="text1"/>
                <w:sz w:val="18"/>
              </w:rPr>
              <w:t>9. Finantza-pasiboak</w:t>
            </w:r>
          </w:p>
        </w:tc>
        <w:tc>
          <w:tcPr>
            <w:tcW w:w="755" w:type="pct"/>
            <w:tcBorders>
              <w:top w:val="single" w:sz="2" w:space="0" w:color="000000"/>
              <w:left w:val="nil"/>
              <w:bottom w:val="single" w:sz="2" w:space="0" w:color="000000"/>
              <w:right w:val="nil"/>
            </w:tcBorders>
            <w:shd w:val="clear" w:color="auto" w:fill="auto"/>
            <w:vAlign w:val="center"/>
            <w:hideMark/>
          </w:tcPr>
          <w:p w14:paraId="5632E05D" w14:textId="77777777" w:rsidR="0039394F" w:rsidRPr="00CE0FA2" w:rsidRDefault="0039394F" w:rsidP="00CE0FA2">
            <w:pPr>
              <w:spacing w:after="0"/>
              <w:ind w:hanging="67"/>
              <w:jc w:val="right"/>
              <w:rPr>
                <w:rFonts w:ascii="Arial Narrow" w:hAnsi="Arial Narrow" w:cs="Calibri"/>
                <w:color w:val="000000"/>
                <w:sz w:val="18"/>
                <w:szCs w:val="18"/>
              </w:rPr>
            </w:pPr>
            <w:r>
              <w:rPr>
                <w:rFonts w:ascii="Arial Narrow" w:hAnsi="Arial Narrow"/>
                <w:color w:val="000000"/>
                <w:sz w:val="18"/>
              </w:rPr>
              <w:t>25,17</w:t>
            </w:r>
          </w:p>
        </w:tc>
        <w:tc>
          <w:tcPr>
            <w:tcW w:w="604" w:type="pct"/>
            <w:tcBorders>
              <w:top w:val="single" w:sz="2" w:space="0" w:color="000000"/>
              <w:left w:val="nil"/>
              <w:bottom w:val="single" w:sz="2" w:space="0" w:color="000000"/>
              <w:right w:val="nil"/>
            </w:tcBorders>
            <w:shd w:val="clear" w:color="auto" w:fill="auto"/>
            <w:vAlign w:val="center"/>
          </w:tcPr>
          <w:p w14:paraId="0AC6BACF"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0,00</w:t>
            </w:r>
          </w:p>
        </w:tc>
        <w:tc>
          <w:tcPr>
            <w:tcW w:w="639" w:type="pct"/>
            <w:tcBorders>
              <w:top w:val="single" w:sz="2" w:space="0" w:color="000000"/>
              <w:left w:val="nil"/>
              <w:bottom w:val="single" w:sz="2" w:space="0" w:color="000000"/>
              <w:right w:val="nil"/>
            </w:tcBorders>
            <w:vAlign w:val="center"/>
          </w:tcPr>
          <w:p w14:paraId="2CE9F191"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25,17</w:t>
            </w:r>
          </w:p>
        </w:tc>
        <w:tc>
          <w:tcPr>
            <w:tcW w:w="561" w:type="pct"/>
            <w:tcBorders>
              <w:top w:val="single" w:sz="2" w:space="0" w:color="000000"/>
              <w:left w:val="nil"/>
              <w:bottom w:val="single" w:sz="2" w:space="0" w:color="000000"/>
              <w:right w:val="nil"/>
            </w:tcBorders>
            <w:vAlign w:val="center"/>
          </w:tcPr>
          <w:p w14:paraId="06966047"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2,5</w:t>
            </w:r>
          </w:p>
        </w:tc>
        <w:tc>
          <w:tcPr>
            <w:tcW w:w="649" w:type="pct"/>
            <w:tcBorders>
              <w:top w:val="single" w:sz="2" w:space="0" w:color="000000"/>
              <w:left w:val="nil"/>
              <w:bottom w:val="single" w:sz="2" w:space="0" w:color="000000"/>
              <w:right w:val="nil"/>
            </w:tcBorders>
            <w:vAlign w:val="center"/>
          </w:tcPr>
          <w:p w14:paraId="447EAA93" w14:textId="77777777" w:rsidR="0039394F" w:rsidRPr="00CE0FA2" w:rsidRDefault="0039394F" w:rsidP="00CE0FA2">
            <w:pPr>
              <w:spacing w:after="0"/>
              <w:ind w:firstLine="0"/>
              <w:jc w:val="right"/>
              <w:rPr>
                <w:rFonts w:ascii="Arial Narrow" w:hAnsi="Arial Narrow" w:cs="Calibri"/>
                <w:color w:val="000000"/>
                <w:sz w:val="18"/>
                <w:szCs w:val="18"/>
              </w:rPr>
            </w:pPr>
            <w:r>
              <w:rPr>
                <w:rFonts w:ascii="Arial Narrow" w:hAnsi="Arial Narrow"/>
                <w:color w:val="000000"/>
                <w:sz w:val="18"/>
              </w:rPr>
              <w:t>-3,39</w:t>
            </w:r>
          </w:p>
        </w:tc>
        <w:tc>
          <w:tcPr>
            <w:tcW w:w="594" w:type="pct"/>
            <w:tcBorders>
              <w:top w:val="single" w:sz="2" w:space="0" w:color="000000"/>
              <w:left w:val="nil"/>
              <w:bottom w:val="single" w:sz="2" w:space="0" w:color="000000"/>
              <w:right w:val="nil"/>
            </w:tcBorders>
            <w:vAlign w:val="center"/>
          </w:tcPr>
          <w:p w14:paraId="7849BF91" w14:textId="77777777" w:rsidR="0039394F" w:rsidRPr="00CE0FA2" w:rsidRDefault="0039394F" w:rsidP="00CE0FA2">
            <w:pPr>
              <w:spacing w:after="0"/>
              <w:ind w:firstLine="0"/>
              <w:jc w:val="right"/>
              <w:rPr>
                <w:rFonts w:ascii="Arial Narrow" w:hAnsi="Arial Narrow" w:cs="Calibri"/>
                <w:sz w:val="18"/>
                <w:szCs w:val="18"/>
              </w:rPr>
            </w:pPr>
            <w:r>
              <w:rPr>
                <w:rFonts w:ascii="Arial Narrow" w:hAnsi="Arial Narrow"/>
                <w:sz w:val="18"/>
              </w:rPr>
              <w:t>-11,9</w:t>
            </w:r>
          </w:p>
        </w:tc>
      </w:tr>
      <w:tr w:rsidR="00CE0FA2" w:rsidRPr="00CE0FA2" w14:paraId="1991C2C4" w14:textId="77777777" w:rsidTr="00CE0FA2">
        <w:trPr>
          <w:trHeight w:val="227"/>
          <w:jc w:val="center"/>
        </w:trPr>
        <w:tc>
          <w:tcPr>
            <w:tcW w:w="1198" w:type="pct"/>
            <w:tcBorders>
              <w:top w:val="single" w:sz="2" w:space="0" w:color="000000"/>
              <w:left w:val="nil"/>
              <w:bottom w:val="single" w:sz="4" w:space="0" w:color="000000"/>
              <w:right w:val="nil"/>
            </w:tcBorders>
            <w:shd w:val="clear" w:color="auto" w:fill="auto"/>
            <w:vAlign w:val="center"/>
            <w:hideMark/>
          </w:tcPr>
          <w:p w14:paraId="7F7CDFC4" w14:textId="77777777" w:rsidR="0039394F" w:rsidRPr="00CE0FA2" w:rsidRDefault="0039394F" w:rsidP="00CE0FA2">
            <w:pPr>
              <w:pStyle w:val="cuatexto"/>
              <w:spacing w:line="240" w:lineRule="auto"/>
              <w:rPr>
                <w:b/>
                <w:i/>
                <w:iCs/>
                <w:color w:val="000000" w:themeColor="text1"/>
                <w:sz w:val="18"/>
                <w:szCs w:val="18"/>
              </w:rPr>
            </w:pPr>
            <w:r>
              <w:rPr>
                <w:b/>
                <w:i/>
                <w:color w:val="000000" w:themeColor="text1"/>
                <w:sz w:val="18"/>
              </w:rPr>
              <w:t>Finantza-eragiketak</w:t>
            </w:r>
          </w:p>
        </w:tc>
        <w:tc>
          <w:tcPr>
            <w:tcW w:w="755" w:type="pct"/>
            <w:tcBorders>
              <w:top w:val="single" w:sz="2" w:space="0" w:color="000000"/>
              <w:left w:val="nil"/>
              <w:bottom w:val="single" w:sz="4" w:space="0" w:color="000000"/>
              <w:right w:val="nil"/>
            </w:tcBorders>
            <w:shd w:val="clear" w:color="auto" w:fill="auto"/>
            <w:vAlign w:val="center"/>
            <w:hideMark/>
          </w:tcPr>
          <w:p w14:paraId="25066BFC" w14:textId="77777777" w:rsidR="0039394F" w:rsidRPr="00CE0FA2" w:rsidRDefault="0039394F" w:rsidP="00CE0FA2">
            <w:pPr>
              <w:spacing w:after="0"/>
              <w:ind w:hanging="67"/>
              <w:jc w:val="right"/>
              <w:rPr>
                <w:rFonts w:ascii="Arial Narrow" w:hAnsi="Arial Narrow" w:cs="Calibri"/>
                <w:b/>
                <w:bCs/>
                <w:i/>
                <w:iCs/>
                <w:color w:val="000000"/>
                <w:sz w:val="18"/>
                <w:szCs w:val="18"/>
              </w:rPr>
            </w:pPr>
            <w:r>
              <w:rPr>
                <w:rFonts w:ascii="Arial Narrow" w:hAnsi="Arial Narrow"/>
                <w:b/>
                <w:i/>
                <w:color w:val="000000"/>
                <w:sz w:val="18"/>
              </w:rPr>
              <w:t>25,98</w:t>
            </w:r>
          </w:p>
        </w:tc>
        <w:tc>
          <w:tcPr>
            <w:tcW w:w="604" w:type="pct"/>
            <w:tcBorders>
              <w:top w:val="single" w:sz="2" w:space="0" w:color="000000"/>
              <w:left w:val="nil"/>
              <w:bottom w:val="single" w:sz="4" w:space="0" w:color="000000"/>
              <w:right w:val="nil"/>
            </w:tcBorders>
            <w:shd w:val="clear" w:color="auto" w:fill="auto"/>
            <w:vAlign w:val="center"/>
          </w:tcPr>
          <w:p w14:paraId="214B5C1E" w14:textId="77777777" w:rsidR="0039394F" w:rsidRPr="00CE0FA2" w:rsidRDefault="0039394F" w:rsidP="00CE0FA2">
            <w:pPr>
              <w:spacing w:after="0"/>
              <w:ind w:firstLine="0"/>
              <w:jc w:val="right"/>
              <w:rPr>
                <w:rFonts w:ascii="Arial Narrow" w:hAnsi="Arial Narrow" w:cs="Calibri"/>
                <w:b/>
                <w:bCs/>
                <w:color w:val="000000"/>
                <w:sz w:val="18"/>
                <w:szCs w:val="18"/>
              </w:rPr>
            </w:pPr>
            <w:r>
              <w:rPr>
                <w:rFonts w:ascii="Arial Narrow" w:hAnsi="Arial Narrow"/>
                <w:b/>
                <w:color w:val="000000"/>
                <w:sz w:val="18"/>
              </w:rPr>
              <w:t>0,00</w:t>
            </w:r>
          </w:p>
        </w:tc>
        <w:tc>
          <w:tcPr>
            <w:tcW w:w="639" w:type="pct"/>
            <w:tcBorders>
              <w:top w:val="single" w:sz="2" w:space="0" w:color="000000"/>
              <w:left w:val="nil"/>
              <w:bottom w:val="single" w:sz="4" w:space="0" w:color="000000"/>
              <w:right w:val="nil"/>
            </w:tcBorders>
            <w:vAlign w:val="center"/>
          </w:tcPr>
          <w:p w14:paraId="7DE151BE" w14:textId="77777777" w:rsidR="0039394F" w:rsidRPr="00CE0FA2" w:rsidRDefault="0039394F" w:rsidP="00CE0FA2">
            <w:pPr>
              <w:spacing w:after="0"/>
              <w:ind w:firstLine="0"/>
              <w:jc w:val="right"/>
              <w:rPr>
                <w:rFonts w:ascii="Arial Narrow" w:hAnsi="Arial Narrow" w:cs="Calibri"/>
                <w:b/>
                <w:bCs/>
                <w:i/>
                <w:iCs/>
                <w:color w:val="000000"/>
                <w:sz w:val="18"/>
                <w:szCs w:val="18"/>
              </w:rPr>
            </w:pPr>
            <w:r>
              <w:rPr>
                <w:rFonts w:ascii="Arial Narrow" w:hAnsi="Arial Narrow"/>
                <w:b/>
                <w:i/>
                <w:color w:val="000000"/>
                <w:sz w:val="18"/>
              </w:rPr>
              <w:t>25,98</w:t>
            </w:r>
          </w:p>
        </w:tc>
        <w:tc>
          <w:tcPr>
            <w:tcW w:w="561" w:type="pct"/>
            <w:tcBorders>
              <w:top w:val="single" w:sz="2" w:space="0" w:color="000000"/>
              <w:left w:val="nil"/>
              <w:bottom w:val="single" w:sz="4" w:space="0" w:color="000000"/>
              <w:right w:val="nil"/>
            </w:tcBorders>
            <w:vAlign w:val="center"/>
          </w:tcPr>
          <w:p w14:paraId="15B5DCBE" w14:textId="77777777" w:rsidR="0039394F" w:rsidRPr="00CE0FA2" w:rsidRDefault="0039394F" w:rsidP="00CE0FA2">
            <w:pPr>
              <w:spacing w:after="0"/>
              <w:ind w:firstLine="0"/>
              <w:jc w:val="right"/>
              <w:rPr>
                <w:rFonts w:ascii="Arial Narrow" w:hAnsi="Arial Narrow" w:cs="Calibri"/>
                <w:b/>
                <w:bCs/>
                <w:i/>
                <w:iCs/>
                <w:sz w:val="18"/>
                <w:szCs w:val="18"/>
              </w:rPr>
            </w:pPr>
            <w:r>
              <w:rPr>
                <w:rFonts w:ascii="Arial Narrow" w:hAnsi="Arial Narrow"/>
                <w:b/>
                <w:i/>
                <w:sz w:val="18"/>
              </w:rPr>
              <w:t>2,6</w:t>
            </w:r>
          </w:p>
        </w:tc>
        <w:tc>
          <w:tcPr>
            <w:tcW w:w="649" w:type="pct"/>
            <w:tcBorders>
              <w:top w:val="single" w:sz="2" w:space="0" w:color="000000"/>
              <w:left w:val="nil"/>
              <w:bottom w:val="single" w:sz="4" w:space="0" w:color="000000"/>
              <w:right w:val="nil"/>
            </w:tcBorders>
            <w:vAlign w:val="center"/>
          </w:tcPr>
          <w:p w14:paraId="5B9BA6C5" w14:textId="77777777" w:rsidR="0039394F" w:rsidRPr="00CE0FA2" w:rsidRDefault="0039394F" w:rsidP="00CE0FA2">
            <w:pPr>
              <w:spacing w:after="0"/>
              <w:ind w:firstLine="0"/>
              <w:jc w:val="right"/>
              <w:rPr>
                <w:rFonts w:ascii="Arial Narrow" w:hAnsi="Arial Narrow" w:cs="Calibri"/>
                <w:b/>
                <w:bCs/>
                <w:i/>
                <w:iCs/>
                <w:color w:val="000000"/>
                <w:sz w:val="18"/>
                <w:szCs w:val="18"/>
              </w:rPr>
            </w:pPr>
            <w:r>
              <w:rPr>
                <w:rFonts w:ascii="Arial Narrow" w:hAnsi="Arial Narrow"/>
                <w:b/>
                <w:i/>
                <w:color w:val="000000"/>
                <w:sz w:val="18"/>
              </w:rPr>
              <w:t>-4,67</w:t>
            </w:r>
          </w:p>
        </w:tc>
        <w:tc>
          <w:tcPr>
            <w:tcW w:w="594" w:type="pct"/>
            <w:tcBorders>
              <w:top w:val="single" w:sz="2" w:space="0" w:color="000000"/>
              <w:left w:val="nil"/>
              <w:bottom w:val="single" w:sz="4" w:space="0" w:color="000000"/>
              <w:right w:val="nil"/>
            </w:tcBorders>
            <w:vAlign w:val="center"/>
          </w:tcPr>
          <w:p w14:paraId="7E7503EA" w14:textId="77777777" w:rsidR="0039394F" w:rsidRPr="00CE0FA2" w:rsidRDefault="0039394F" w:rsidP="00CE0FA2">
            <w:pPr>
              <w:spacing w:after="0"/>
              <w:ind w:firstLine="0"/>
              <w:jc w:val="right"/>
              <w:rPr>
                <w:rFonts w:ascii="Arial Narrow" w:hAnsi="Arial Narrow" w:cs="Calibri"/>
                <w:b/>
                <w:bCs/>
                <w:i/>
                <w:iCs/>
                <w:sz w:val="18"/>
                <w:szCs w:val="18"/>
              </w:rPr>
            </w:pPr>
            <w:r>
              <w:rPr>
                <w:rFonts w:ascii="Arial Narrow" w:hAnsi="Arial Narrow"/>
                <w:b/>
                <w:i/>
                <w:sz w:val="18"/>
              </w:rPr>
              <w:t>-15,2</w:t>
            </w:r>
          </w:p>
        </w:tc>
      </w:tr>
      <w:tr w:rsidR="00CE0FA2" w:rsidRPr="00CE0FA2" w14:paraId="75E4D842" w14:textId="77777777" w:rsidTr="00222910">
        <w:trPr>
          <w:trHeight w:val="284"/>
          <w:jc w:val="center"/>
        </w:trPr>
        <w:tc>
          <w:tcPr>
            <w:tcW w:w="1198" w:type="pct"/>
            <w:tcBorders>
              <w:top w:val="nil"/>
              <w:left w:val="nil"/>
              <w:bottom w:val="single" w:sz="4" w:space="0" w:color="000000"/>
              <w:right w:val="nil"/>
            </w:tcBorders>
            <w:shd w:val="clear" w:color="auto" w:fill="FABF8F" w:themeFill="accent6" w:themeFillTint="99"/>
            <w:vAlign w:val="center"/>
            <w:hideMark/>
          </w:tcPr>
          <w:p w14:paraId="6BE82011" w14:textId="77777777" w:rsidR="0039394F" w:rsidRPr="00CE0FA2" w:rsidRDefault="0039394F" w:rsidP="00CE0FA2">
            <w:pPr>
              <w:pStyle w:val="cuadroCabe"/>
              <w:spacing w:line="240" w:lineRule="auto"/>
              <w:rPr>
                <w:rFonts w:cs="Arial"/>
                <w:sz w:val="16"/>
                <w:szCs w:val="16"/>
              </w:rPr>
            </w:pPr>
            <w:r>
              <w:rPr>
                <w:sz w:val="16"/>
              </w:rPr>
              <w:t xml:space="preserve"> Guztira</w:t>
            </w:r>
          </w:p>
        </w:tc>
        <w:tc>
          <w:tcPr>
            <w:tcW w:w="755" w:type="pct"/>
            <w:tcBorders>
              <w:top w:val="nil"/>
              <w:left w:val="nil"/>
              <w:bottom w:val="single" w:sz="4" w:space="0" w:color="000000"/>
              <w:right w:val="nil"/>
            </w:tcBorders>
            <w:shd w:val="clear" w:color="auto" w:fill="FABF8F" w:themeFill="accent6" w:themeFillTint="99"/>
            <w:vAlign w:val="center"/>
            <w:hideMark/>
          </w:tcPr>
          <w:p w14:paraId="019DB775" w14:textId="77777777" w:rsidR="0039394F" w:rsidRPr="00CE0FA2" w:rsidRDefault="0039394F" w:rsidP="00CE0FA2">
            <w:pPr>
              <w:spacing w:after="0"/>
              <w:ind w:hanging="67"/>
              <w:jc w:val="right"/>
              <w:rPr>
                <w:rFonts w:ascii="Arial" w:hAnsi="Arial" w:cs="Arial"/>
                <w:color w:val="000000"/>
                <w:sz w:val="16"/>
                <w:szCs w:val="16"/>
              </w:rPr>
            </w:pPr>
            <w:r>
              <w:rPr>
                <w:rFonts w:ascii="Arial" w:hAnsi="Arial"/>
                <w:color w:val="000000"/>
                <w:sz w:val="16"/>
              </w:rPr>
              <w:t>891,40</w:t>
            </w:r>
          </w:p>
        </w:tc>
        <w:tc>
          <w:tcPr>
            <w:tcW w:w="604" w:type="pct"/>
            <w:tcBorders>
              <w:top w:val="nil"/>
              <w:left w:val="nil"/>
              <w:bottom w:val="single" w:sz="4" w:space="0" w:color="000000"/>
              <w:right w:val="nil"/>
            </w:tcBorders>
            <w:shd w:val="clear" w:color="auto" w:fill="FABF8F" w:themeFill="accent6" w:themeFillTint="99"/>
            <w:vAlign w:val="center"/>
          </w:tcPr>
          <w:p w14:paraId="7A7C125F" w14:textId="77777777" w:rsidR="0039394F" w:rsidRPr="00CE0FA2" w:rsidRDefault="0039394F" w:rsidP="00CE0FA2">
            <w:pPr>
              <w:spacing w:after="0"/>
              <w:ind w:firstLine="0"/>
              <w:jc w:val="right"/>
              <w:rPr>
                <w:rFonts w:ascii="Arial" w:hAnsi="Arial" w:cs="Arial"/>
                <w:color w:val="000000"/>
                <w:sz w:val="16"/>
                <w:szCs w:val="16"/>
              </w:rPr>
            </w:pPr>
            <w:r>
              <w:rPr>
                <w:rFonts w:ascii="Arial" w:hAnsi="Arial"/>
                <w:color w:val="000000"/>
                <w:sz w:val="16"/>
              </w:rPr>
              <w:t>97,47</w:t>
            </w:r>
          </w:p>
        </w:tc>
        <w:tc>
          <w:tcPr>
            <w:tcW w:w="639" w:type="pct"/>
            <w:tcBorders>
              <w:top w:val="nil"/>
              <w:left w:val="nil"/>
              <w:bottom w:val="single" w:sz="4" w:space="0" w:color="000000"/>
              <w:right w:val="nil"/>
            </w:tcBorders>
            <w:shd w:val="clear" w:color="auto" w:fill="FABF8F" w:themeFill="accent6" w:themeFillTint="99"/>
            <w:vAlign w:val="center"/>
          </w:tcPr>
          <w:p w14:paraId="20637819" w14:textId="77777777" w:rsidR="0039394F" w:rsidRPr="00CE0FA2" w:rsidRDefault="0039394F" w:rsidP="00CE0FA2">
            <w:pPr>
              <w:spacing w:after="0"/>
              <w:ind w:firstLine="0"/>
              <w:jc w:val="right"/>
              <w:rPr>
                <w:rFonts w:ascii="Arial" w:hAnsi="Arial" w:cs="Arial"/>
                <w:color w:val="000000"/>
                <w:sz w:val="16"/>
                <w:szCs w:val="16"/>
              </w:rPr>
            </w:pPr>
            <w:r>
              <w:rPr>
                <w:rFonts w:ascii="Arial" w:hAnsi="Arial"/>
                <w:color w:val="000000"/>
                <w:sz w:val="16"/>
              </w:rPr>
              <w:t>988,87</w:t>
            </w:r>
          </w:p>
        </w:tc>
        <w:tc>
          <w:tcPr>
            <w:tcW w:w="561" w:type="pct"/>
            <w:tcBorders>
              <w:top w:val="nil"/>
              <w:left w:val="nil"/>
              <w:bottom w:val="single" w:sz="4" w:space="0" w:color="000000"/>
              <w:right w:val="nil"/>
            </w:tcBorders>
            <w:shd w:val="clear" w:color="auto" w:fill="FABF8F" w:themeFill="accent6" w:themeFillTint="99"/>
            <w:vAlign w:val="center"/>
          </w:tcPr>
          <w:p w14:paraId="340B0297" w14:textId="77777777" w:rsidR="0039394F" w:rsidRPr="00CE0FA2" w:rsidRDefault="0039394F" w:rsidP="00CE0FA2">
            <w:pPr>
              <w:spacing w:after="0"/>
              <w:ind w:firstLine="0"/>
              <w:jc w:val="right"/>
              <w:rPr>
                <w:rFonts w:ascii="Arial" w:hAnsi="Arial" w:cs="Arial"/>
                <w:sz w:val="16"/>
                <w:szCs w:val="16"/>
              </w:rPr>
            </w:pPr>
            <w:r>
              <w:rPr>
                <w:rFonts w:ascii="Arial" w:hAnsi="Arial"/>
                <w:sz w:val="16"/>
              </w:rPr>
              <w:t>100</w:t>
            </w:r>
          </w:p>
        </w:tc>
        <w:tc>
          <w:tcPr>
            <w:tcW w:w="649" w:type="pct"/>
            <w:tcBorders>
              <w:top w:val="nil"/>
              <w:left w:val="nil"/>
              <w:bottom w:val="single" w:sz="4" w:space="0" w:color="000000"/>
              <w:right w:val="nil"/>
            </w:tcBorders>
            <w:shd w:val="clear" w:color="auto" w:fill="FABF8F" w:themeFill="accent6" w:themeFillTint="99"/>
            <w:vAlign w:val="center"/>
          </w:tcPr>
          <w:p w14:paraId="1AA99EDF" w14:textId="77777777" w:rsidR="0039394F" w:rsidRPr="00CE0FA2" w:rsidRDefault="0039394F" w:rsidP="00CE0FA2">
            <w:pPr>
              <w:spacing w:after="0"/>
              <w:ind w:firstLine="0"/>
              <w:jc w:val="right"/>
              <w:rPr>
                <w:rFonts w:ascii="Arial" w:hAnsi="Arial" w:cs="Arial"/>
                <w:color w:val="000000"/>
                <w:sz w:val="16"/>
                <w:szCs w:val="16"/>
              </w:rPr>
            </w:pPr>
            <w:r>
              <w:rPr>
                <w:rFonts w:ascii="Arial" w:hAnsi="Arial"/>
                <w:color w:val="000000"/>
                <w:sz w:val="16"/>
              </w:rPr>
              <w:t>111,25</w:t>
            </w:r>
          </w:p>
        </w:tc>
        <w:tc>
          <w:tcPr>
            <w:tcW w:w="594" w:type="pct"/>
            <w:tcBorders>
              <w:top w:val="nil"/>
              <w:left w:val="nil"/>
              <w:bottom w:val="single" w:sz="4" w:space="0" w:color="000000"/>
              <w:right w:val="nil"/>
            </w:tcBorders>
            <w:shd w:val="clear" w:color="auto" w:fill="FABF8F" w:themeFill="accent6" w:themeFillTint="99"/>
            <w:vAlign w:val="center"/>
          </w:tcPr>
          <w:p w14:paraId="39F18D26" w14:textId="77777777" w:rsidR="0039394F" w:rsidRPr="00CE0FA2" w:rsidRDefault="0039394F" w:rsidP="00CE0FA2">
            <w:pPr>
              <w:spacing w:after="0"/>
              <w:ind w:firstLine="0"/>
              <w:jc w:val="right"/>
              <w:rPr>
                <w:rFonts w:ascii="Arial" w:hAnsi="Arial" w:cs="Arial"/>
                <w:sz w:val="16"/>
                <w:szCs w:val="16"/>
              </w:rPr>
            </w:pPr>
            <w:r>
              <w:rPr>
                <w:rFonts w:ascii="Arial" w:hAnsi="Arial"/>
                <w:sz w:val="16"/>
              </w:rPr>
              <w:t>13</w:t>
            </w:r>
          </w:p>
        </w:tc>
      </w:tr>
    </w:tbl>
    <w:p w14:paraId="722B00AE" w14:textId="77777777" w:rsidR="0039394F" w:rsidRPr="00033257" w:rsidRDefault="0039394F" w:rsidP="0039394F">
      <w:pPr>
        <w:pStyle w:val="texto"/>
        <w:spacing w:after="40"/>
        <w:jc w:val="right"/>
        <w:rPr>
          <w:color w:val="000000" w:themeColor="text1"/>
        </w:rPr>
      </w:pPr>
    </w:p>
    <w:p w14:paraId="703F2B1D" w14:textId="77777777" w:rsidR="0039394F" w:rsidRPr="00033257" w:rsidRDefault="0039394F" w:rsidP="0039394F">
      <w:pPr>
        <w:pStyle w:val="texto"/>
        <w:spacing w:after="120"/>
        <w:rPr>
          <w:color w:val="000000" w:themeColor="text1"/>
        </w:rPr>
      </w:pPr>
      <w:r>
        <w:rPr>
          <w:color w:val="000000" w:themeColor="text1"/>
        </w:rPr>
        <w:lastRenderedPageBreak/>
        <w:t xml:space="preserve">Hiru sozietateak bateratzeak 97,47 milioi euroko gastu gehigarria eragiten du toki sektore publikoan; gastu hori ondasun arruntetan eta zerbitzuetan egindako gastuari (35,57 milioi), langile gastuari (33,32 milioi) eta inbertsio errealei (28,51 milioi) dagokie. </w:t>
      </w:r>
    </w:p>
    <w:p w14:paraId="4618B9AE" w14:textId="77777777" w:rsidR="0039394F" w:rsidRPr="00033257" w:rsidRDefault="0039394F" w:rsidP="0039394F">
      <w:pPr>
        <w:pStyle w:val="texto"/>
        <w:spacing w:after="120"/>
        <w:rPr>
          <w:color w:val="000000" w:themeColor="text1"/>
        </w:rPr>
      </w:pPr>
      <w:r>
        <w:rPr>
          <w:color w:val="000000" w:themeColor="text1"/>
        </w:rPr>
        <w:t xml:space="preserve">Hala, toki sektore publikoaren guztizko gastua 988,87 milioikoa izan zen 2021ean. Gastuaren kapitulu nagusiak langileak eta ondasun arruntetako eta zerbitzuetako gastua dira, guztizkoaren ehuneko 35 eta ehuneko 33, hurrenez hurren. Inbertsioen kapitulua ere esanguratsua da, ehuneko 19 baita. </w:t>
      </w:r>
    </w:p>
    <w:p w14:paraId="746C7A58" w14:textId="77777777" w:rsidR="0039394F" w:rsidRPr="00033257" w:rsidRDefault="0039394F" w:rsidP="0039394F">
      <w:pPr>
        <w:pStyle w:val="texto"/>
        <w:spacing w:after="120"/>
        <w:rPr>
          <w:color w:val="000000" w:themeColor="text1"/>
        </w:rPr>
      </w:pPr>
      <w:r>
        <w:rPr>
          <w:color w:val="000000" w:themeColor="text1"/>
        </w:rPr>
        <w:t>Guztizko gastua ehuneko 13 igo da aurreko ekitaldiarekin alderatuta, hau da, 111,25 milioi. Hazkunde hori, batez ere, inbertsio errealen (55,68 milioi gehiago) eta ondasun arrunten eta zerbitzuetako gastuaren (37,53 milioi gehiago) ondorio da.</w:t>
      </w:r>
    </w:p>
    <w:p w14:paraId="581D46E4" w14:textId="77777777" w:rsidR="002A4BE9" w:rsidRPr="00033257" w:rsidRDefault="002A4BE9" w:rsidP="00D71C47">
      <w:pPr>
        <w:pStyle w:val="texto"/>
        <w:spacing w:after="180"/>
        <w:rPr>
          <w:color w:val="000000" w:themeColor="text1"/>
        </w:rPr>
      </w:pPr>
      <w:r>
        <w:rPr>
          <w:color w:val="000000" w:themeColor="text1"/>
        </w:rPr>
        <w:t xml:space="preserve">Ondorengo taulan gastuaren sailkapen funtzionala eta aurreko ekitaldiarekiko bilakaera ageri dira: </w:t>
      </w:r>
    </w:p>
    <w:p w14:paraId="00BF270A" w14:textId="212718B9" w:rsidR="007C3208" w:rsidRPr="00033257" w:rsidRDefault="001D196E" w:rsidP="008C4213">
      <w:pPr>
        <w:pStyle w:val="texto"/>
        <w:spacing w:after="0"/>
        <w:ind w:right="-143"/>
        <w:jc w:val="right"/>
        <w:rPr>
          <w:rFonts w:ascii="Arial Narrow" w:hAnsi="Arial Narrow"/>
          <w:color w:val="000000" w:themeColor="text1"/>
          <w:sz w:val="18"/>
          <w:szCs w:val="18"/>
        </w:rPr>
      </w:pPr>
      <w:r>
        <w:rPr>
          <w:rFonts w:ascii="Arial Narrow" w:hAnsi="Arial Narrow"/>
          <w:color w:val="000000" w:themeColor="text1"/>
          <w:sz w:val="18"/>
        </w:rPr>
        <w:t>(milioiak)</w:t>
      </w:r>
    </w:p>
    <w:tbl>
      <w:tblPr>
        <w:tblW w:w="5080" w:type="pct"/>
        <w:jc w:val="center"/>
        <w:tblLayout w:type="fixed"/>
        <w:tblCellMar>
          <w:left w:w="70" w:type="dxa"/>
          <w:right w:w="70" w:type="dxa"/>
        </w:tblCellMar>
        <w:tblLook w:val="04A0" w:firstRow="1" w:lastRow="0" w:firstColumn="1" w:lastColumn="0" w:noHBand="0" w:noVBand="1"/>
      </w:tblPr>
      <w:tblGrid>
        <w:gridCol w:w="2553"/>
        <w:gridCol w:w="1132"/>
        <w:gridCol w:w="1211"/>
        <w:gridCol w:w="764"/>
        <w:gridCol w:w="986"/>
        <w:gridCol w:w="1145"/>
        <w:gridCol w:w="1138"/>
      </w:tblGrid>
      <w:tr w:rsidR="00222910" w:rsidRPr="00B739A9" w14:paraId="197990CF" w14:textId="77777777" w:rsidTr="00222910">
        <w:trPr>
          <w:trHeight w:val="227"/>
          <w:jc w:val="center"/>
        </w:trPr>
        <w:tc>
          <w:tcPr>
            <w:tcW w:w="1430" w:type="pct"/>
            <w:vMerge w:val="restart"/>
            <w:tcBorders>
              <w:top w:val="single" w:sz="4" w:space="0" w:color="000000" w:themeColor="text1"/>
              <w:left w:val="nil"/>
              <w:right w:val="nil"/>
            </w:tcBorders>
            <w:shd w:val="clear" w:color="auto" w:fill="FABF8F" w:themeFill="accent6" w:themeFillTint="99"/>
            <w:vAlign w:val="center"/>
          </w:tcPr>
          <w:p w14:paraId="412E5540" w14:textId="77777777" w:rsidR="00222910" w:rsidRPr="00B739A9" w:rsidRDefault="00222910" w:rsidP="00B739A9">
            <w:pPr>
              <w:pStyle w:val="cuadroCabe"/>
              <w:spacing w:line="240" w:lineRule="auto"/>
              <w:rPr>
                <w:rFonts w:cs="Arial"/>
                <w:color w:val="000000" w:themeColor="text1"/>
                <w:sz w:val="16"/>
                <w:szCs w:val="16"/>
              </w:rPr>
            </w:pPr>
            <w:r>
              <w:rPr>
                <w:color w:val="000000" w:themeColor="text1"/>
                <w:sz w:val="16"/>
              </w:rPr>
              <w:t>Kapitulua</w:t>
            </w:r>
          </w:p>
        </w:tc>
        <w:tc>
          <w:tcPr>
            <w:tcW w:w="634" w:type="pct"/>
            <w:vMerge w:val="restart"/>
            <w:tcBorders>
              <w:top w:val="single" w:sz="4" w:space="0" w:color="000000" w:themeColor="text1"/>
              <w:left w:val="nil"/>
              <w:right w:val="nil"/>
            </w:tcBorders>
            <w:shd w:val="clear" w:color="auto" w:fill="FABF8F" w:themeFill="accent6" w:themeFillTint="99"/>
            <w:vAlign w:val="center"/>
          </w:tcPr>
          <w:p w14:paraId="54E11D2A" w14:textId="0180054B" w:rsidR="00222910" w:rsidRPr="00B739A9" w:rsidRDefault="00222910" w:rsidP="00222910">
            <w:pPr>
              <w:pStyle w:val="cuadroCabe"/>
              <w:tabs>
                <w:tab w:val="right" w:pos="1065"/>
              </w:tabs>
              <w:spacing w:line="240" w:lineRule="auto"/>
              <w:ind w:hanging="67"/>
              <w:jc w:val="right"/>
              <w:rPr>
                <w:rFonts w:cs="Arial"/>
                <w:color w:val="000000" w:themeColor="text1"/>
                <w:sz w:val="16"/>
                <w:szCs w:val="16"/>
              </w:rPr>
            </w:pPr>
            <w:r>
              <w:rPr>
                <w:color w:val="000000" w:themeColor="text1"/>
                <w:sz w:val="15"/>
              </w:rPr>
              <w:t>Sozietateekin bateratu gabe</w:t>
            </w:r>
          </w:p>
        </w:tc>
        <w:tc>
          <w:tcPr>
            <w:tcW w:w="678" w:type="pct"/>
            <w:vMerge w:val="restart"/>
            <w:tcBorders>
              <w:top w:val="single" w:sz="4" w:space="0" w:color="000000" w:themeColor="text1"/>
              <w:left w:val="nil"/>
              <w:right w:val="nil"/>
            </w:tcBorders>
            <w:shd w:val="clear" w:color="auto" w:fill="FABF8F" w:themeFill="accent6" w:themeFillTint="99"/>
            <w:vAlign w:val="center"/>
          </w:tcPr>
          <w:p w14:paraId="2784E885" w14:textId="77777777" w:rsidR="00222910" w:rsidRPr="00B739A9" w:rsidRDefault="00222910" w:rsidP="00B739A9">
            <w:pPr>
              <w:pStyle w:val="cuadroCabe"/>
              <w:spacing w:line="240" w:lineRule="auto"/>
              <w:jc w:val="right"/>
              <w:rPr>
                <w:rFonts w:cs="Arial"/>
                <w:color w:val="000000" w:themeColor="text1"/>
                <w:sz w:val="16"/>
                <w:szCs w:val="16"/>
              </w:rPr>
            </w:pPr>
            <w:r>
              <w:rPr>
                <w:color w:val="000000" w:themeColor="text1"/>
                <w:sz w:val="16"/>
              </w:rPr>
              <w:t>Finkatze</w:t>
            </w:r>
          </w:p>
          <w:p w14:paraId="31126E5D" w14:textId="30D8F2DC" w:rsidR="00222910" w:rsidRPr="00B739A9" w:rsidRDefault="00222910" w:rsidP="00B739A9">
            <w:pPr>
              <w:pStyle w:val="cuadroCabe"/>
              <w:spacing w:line="240" w:lineRule="auto"/>
              <w:jc w:val="right"/>
              <w:rPr>
                <w:rFonts w:cs="Arial"/>
                <w:color w:val="000000" w:themeColor="text1"/>
                <w:sz w:val="16"/>
                <w:szCs w:val="16"/>
              </w:rPr>
            </w:pPr>
            <w:r>
              <w:rPr>
                <w:color w:val="000000" w:themeColor="text1"/>
                <w:sz w:val="16"/>
              </w:rPr>
              <w:t>efektua</w:t>
            </w:r>
          </w:p>
        </w:tc>
        <w:tc>
          <w:tcPr>
            <w:tcW w:w="2258" w:type="pct"/>
            <w:gridSpan w:val="4"/>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2E28C110" w14:textId="77777777" w:rsidR="00222910" w:rsidRPr="00B739A9" w:rsidRDefault="00222910" w:rsidP="00B739A9">
            <w:pPr>
              <w:pStyle w:val="cuadroCabe"/>
              <w:spacing w:line="240" w:lineRule="auto"/>
              <w:jc w:val="center"/>
              <w:rPr>
                <w:rFonts w:cs="Arial"/>
                <w:color w:val="000000" w:themeColor="text1"/>
                <w:sz w:val="16"/>
                <w:szCs w:val="16"/>
              </w:rPr>
            </w:pPr>
            <w:r>
              <w:rPr>
                <w:color w:val="000000" w:themeColor="text1"/>
                <w:sz w:val="16"/>
              </w:rPr>
              <w:t>Hiru sozietaterekin bateratuta</w:t>
            </w:r>
          </w:p>
        </w:tc>
      </w:tr>
      <w:tr w:rsidR="00222910" w:rsidRPr="00B739A9" w14:paraId="01F182E3" w14:textId="77777777" w:rsidTr="00222910">
        <w:trPr>
          <w:trHeight w:val="227"/>
          <w:jc w:val="center"/>
        </w:trPr>
        <w:tc>
          <w:tcPr>
            <w:tcW w:w="1430" w:type="pct"/>
            <w:vMerge/>
            <w:tcBorders>
              <w:left w:val="nil"/>
              <w:bottom w:val="single" w:sz="4" w:space="0" w:color="000000" w:themeColor="text1"/>
              <w:right w:val="nil"/>
            </w:tcBorders>
            <w:shd w:val="clear" w:color="auto" w:fill="FABF8F" w:themeFill="accent6" w:themeFillTint="99"/>
            <w:vAlign w:val="center"/>
            <w:hideMark/>
          </w:tcPr>
          <w:p w14:paraId="2DE403A5" w14:textId="77777777" w:rsidR="00222910" w:rsidRPr="00B739A9" w:rsidRDefault="00222910" w:rsidP="00B739A9">
            <w:pPr>
              <w:pStyle w:val="cuadroCabe"/>
              <w:spacing w:line="240" w:lineRule="auto"/>
              <w:rPr>
                <w:rFonts w:cs="Arial"/>
                <w:color w:val="000000" w:themeColor="text1"/>
                <w:sz w:val="16"/>
                <w:szCs w:val="16"/>
                <w:lang w:val="es-ES" w:eastAsia="es-ES"/>
              </w:rPr>
            </w:pPr>
          </w:p>
        </w:tc>
        <w:tc>
          <w:tcPr>
            <w:tcW w:w="634" w:type="pct"/>
            <w:vMerge/>
            <w:tcBorders>
              <w:left w:val="nil"/>
              <w:bottom w:val="single" w:sz="4" w:space="0" w:color="000000" w:themeColor="text1"/>
              <w:right w:val="nil"/>
            </w:tcBorders>
            <w:shd w:val="clear" w:color="auto" w:fill="FABF8F" w:themeFill="accent6" w:themeFillTint="99"/>
            <w:vAlign w:val="center"/>
          </w:tcPr>
          <w:p w14:paraId="0C5A05E9" w14:textId="1D8E91E7" w:rsidR="00222910" w:rsidRPr="00222910" w:rsidRDefault="00222910" w:rsidP="00222910">
            <w:pPr>
              <w:pStyle w:val="cuadroCabe"/>
              <w:tabs>
                <w:tab w:val="right" w:pos="1065"/>
              </w:tabs>
              <w:spacing w:line="240" w:lineRule="auto"/>
              <w:ind w:hanging="67"/>
              <w:jc w:val="right"/>
              <w:rPr>
                <w:rFonts w:cs="Arial"/>
                <w:color w:val="000000" w:themeColor="text1"/>
                <w:sz w:val="15"/>
                <w:szCs w:val="15"/>
                <w:lang w:val="es-ES" w:eastAsia="es-ES"/>
              </w:rPr>
            </w:pPr>
          </w:p>
        </w:tc>
        <w:tc>
          <w:tcPr>
            <w:tcW w:w="678" w:type="pct"/>
            <w:vMerge/>
            <w:tcBorders>
              <w:left w:val="nil"/>
              <w:bottom w:val="single" w:sz="4" w:space="0" w:color="000000" w:themeColor="text1"/>
              <w:right w:val="nil"/>
            </w:tcBorders>
            <w:shd w:val="clear" w:color="auto" w:fill="FABF8F" w:themeFill="accent6" w:themeFillTint="99"/>
            <w:vAlign w:val="center"/>
            <w:hideMark/>
          </w:tcPr>
          <w:p w14:paraId="5DAA55DC" w14:textId="284CDB47" w:rsidR="00222910" w:rsidRPr="00B739A9" w:rsidRDefault="00222910" w:rsidP="00B739A9">
            <w:pPr>
              <w:pStyle w:val="cuadroCabe"/>
              <w:spacing w:line="240" w:lineRule="auto"/>
              <w:jc w:val="right"/>
              <w:rPr>
                <w:rFonts w:cs="Arial"/>
                <w:color w:val="000000" w:themeColor="text1"/>
                <w:sz w:val="16"/>
                <w:szCs w:val="16"/>
                <w:lang w:val="es-ES" w:eastAsia="es-ES"/>
              </w:rPr>
            </w:pPr>
          </w:p>
        </w:tc>
        <w:tc>
          <w:tcPr>
            <w:tcW w:w="428"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3F5FAC69" w14:textId="77777777" w:rsidR="00222910" w:rsidRPr="00B739A9" w:rsidRDefault="00222910" w:rsidP="00B739A9">
            <w:pPr>
              <w:pStyle w:val="cuadroCabe"/>
              <w:spacing w:line="240" w:lineRule="auto"/>
              <w:jc w:val="right"/>
              <w:rPr>
                <w:rFonts w:cs="Arial"/>
                <w:color w:val="000000" w:themeColor="text1"/>
                <w:sz w:val="16"/>
                <w:szCs w:val="16"/>
              </w:rPr>
            </w:pPr>
            <w:r>
              <w:rPr>
                <w:color w:val="000000" w:themeColor="text1"/>
                <w:sz w:val="16"/>
              </w:rPr>
              <w:t xml:space="preserve">Gastuak </w:t>
            </w:r>
          </w:p>
          <w:p w14:paraId="3A713548" w14:textId="77777777" w:rsidR="00222910" w:rsidRPr="00B739A9" w:rsidRDefault="00222910" w:rsidP="00B739A9">
            <w:pPr>
              <w:pStyle w:val="cuadroCabe"/>
              <w:spacing w:line="240" w:lineRule="auto"/>
              <w:jc w:val="right"/>
              <w:rPr>
                <w:rFonts w:cs="Arial"/>
                <w:color w:val="000000" w:themeColor="text1"/>
                <w:sz w:val="16"/>
                <w:szCs w:val="16"/>
              </w:rPr>
            </w:pPr>
            <w:r>
              <w:rPr>
                <w:color w:val="000000" w:themeColor="text1"/>
                <w:sz w:val="16"/>
              </w:rPr>
              <w:t>2021</w:t>
            </w:r>
          </w:p>
        </w:tc>
        <w:tc>
          <w:tcPr>
            <w:tcW w:w="552"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A1C754C" w14:textId="77777777" w:rsidR="00222910" w:rsidRPr="00B739A9" w:rsidRDefault="00222910" w:rsidP="00B739A9">
            <w:pPr>
              <w:pStyle w:val="cuadroCabe"/>
              <w:spacing w:line="240" w:lineRule="auto"/>
              <w:jc w:val="right"/>
              <w:rPr>
                <w:rFonts w:cs="Arial"/>
                <w:color w:val="000000" w:themeColor="text1"/>
                <w:sz w:val="16"/>
                <w:szCs w:val="16"/>
              </w:rPr>
            </w:pPr>
            <w:r>
              <w:rPr>
                <w:color w:val="000000" w:themeColor="text1"/>
                <w:sz w:val="16"/>
              </w:rPr>
              <w:t>Gastu guztien gainean (%)</w:t>
            </w:r>
          </w:p>
        </w:tc>
        <w:tc>
          <w:tcPr>
            <w:tcW w:w="641"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FC8A0F0" w14:textId="77777777" w:rsidR="00222910" w:rsidRPr="00B739A9" w:rsidRDefault="00222910" w:rsidP="00B739A9">
            <w:pPr>
              <w:pStyle w:val="cuadroCabe"/>
              <w:spacing w:line="240" w:lineRule="auto"/>
              <w:jc w:val="right"/>
              <w:rPr>
                <w:rFonts w:cs="Arial"/>
                <w:color w:val="000000" w:themeColor="text1"/>
                <w:sz w:val="16"/>
                <w:szCs w:val="16"/>
              </w:rPr>
            </w:pPr>
            <w:r>
              <w:rPr>
                <w:color w:val="000000" w:themeColor="text1"/>
                <w:sz w:val="16"/>
              </w:rPr>
              <w:t>Ald. abs. vs. 2020</w:t>
            </w:r>
          </w:p>
        </w:tc>
        <w:tc>
          <w:tcPr>
            <w:tcW w:w="637"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785CE1CB" w14:textId="77777777" w:rsidR="00222910" w:rsidRPr="00B739A9" w:rsidRDefault="00222910" w:rsidP="00B739A9">
            <w:pPr>
              <w:pStyle w:val="cuadroCabe"/>
              <w:spacing w:line="240" w:lineRule="auto"/>
              <w:jc w:val="right"/>
              <w:rPr>
                <w:rFonts w:cs="Arial"/>
                <w:color w:val="000000" w:themeColor="text1"/>
                <w:sz w:val="16"/>
                <w:szCs w:val="16"/>
              </w:rPr>
            </w:pPr>
            <w:r>
              <w:rPr>
                <w:color w:val="000000" w:themeColor="text1"/>
                <w:sz w:val="16"/>
              </w:rPr>
              <w:t>2021 vs 2020 ald. (%)</w:t>
            </w:r>
          </w:p>
        </w:tc>
      </w:tr>
      <w:tr w:rsidR="00B739A9" w:rsidRPr="00B739A9" w14:paraId="30B700D8" w14:textId="77777777" w:rsidTr="00222910">
        <w:trPr>
          <w:trHeight w:val="227"/>
          <w:jc w:val="center"/>
        </w:trPr>
        <w:tc>
          <w:tcPr>
            <w:tcW w:w="1430" w:type="pct"/>
            <w:tcBorders>
              <w:top w:val="single" w:sz="4" w:space="0" w:color="000000" w:themeColor="text1"/>
              <w:left w:val="nil"/>
              <w:bottom w:val="single" w:sz="2" w:space="0" w:color="000000"/>
              <w:right w:val="nil"/>
            </w:tcBorders>
            <w:shd w:val="clear" w:color="auto" w:fill="auto"/>
            <w:vAlign w:val="center"/>
            <w:hideMark/>
          </w:tcPr>
          <w:p w14:paraId="12F91FEF"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Ongizate komunitarioa</w:t>
            </w:r>
          </w:p>
        </w:tc>
        <w:tc>
          <w:tcPr>
            <w:tcW w:w="634" w:type="pct"/>
            <w:tcBorders>
              <w:top w:val="single" w:sz="4" w:space="0" w:color="000000" w:themeColor="text1"/>
              <w:left w:val="nil"/>
              <w:bottom w:val="single" w:sz="2" w:space="0" w:color="000000"/>
              <w:right w:val="nil"/>
            </w:tcBorders>
            <w:shd w:val="clear" w:color="auto" w:fill="auto"/>
            <w:vAlign w:val="center"/>
            <w:hideMark/>
          </w:tcPr>
          <w:p w14:paraId="1F68E50C"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110,31</w:t>
            </w:r>
          </w:p>
        </w:tc>
        <w:tc>
          <w:tcPr>
            <w:tcW w:w="678" w:type="pct"/>
            <w:tcBorders>
              <w:top w:val="single" w:sz="4" w:space="0" w:color="000000" w:themeColor="text1"/>
              <w:left w:val="nil"/>
              <w:bottom w:val="single" w:sz="2" w:space="0" w:color="000000"/>
              <w:right w:val="nil"/>
            </w:tcBorders>
            <w:shd w:val="clear" w:color="auto" w:fill="auto"/>
            <w:vAlign w:val="center"/>
          </w:tcPr>
          <w:p w14:paraId="483E06DD"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78,89</w:t>
            </w:r>
          </w:p>
        </w:tc>
        <w:tc>
          <w:tcPr>
            <w:tcW w:w="428" w:type="pct"/>
            <w:tcBorders>
              <w:top w:val="single" w:sz="4" w:space="0" w:color="000000" w:themeColor="text1"/>
              <w:left w:val="nil"/>
              <w:bottom w:val="single" w:sz="2" w:space="0" w:color="000000"/>
              <w:right w:val="nil"/>
            </w:tcBorders>
            <w:vAlign w:val="center"/>
          </w:tcPr>
          <w:p w14:paraId="5257E5D1"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189,20</w:t>
            </w:r>
          </w:p>
        </w:tc>
        <w:tc>
          <w:tcPr>
            <w:tcW w:w="552" w:type="pct"/>
            <w:tcBorders>
              <w:top w:val="single" w:sz="4" w:space="0" w:color="000000" w:themeColor="text1"/>
              <w:left w:val="nil"/>
              <w:bottom w:val="single" w:sz="2" w:space="0" w:color="000000"/>
              <w:right w:val="nil"/>
            </w:tcBorders>
            <w:vAlign w:val="center"/>
          </w:tcPr>
          <w:p w14:paraId="7C14D38D"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19</w:t>
            </w:r>
          </w:p>
        </w:tc>
        <w:tc>
          <w:tcPr>
            <w:tcW w:w="641" w:type="pct"/>
            <w:tcBorders>
              <w:top w:val="single" w:sz="4" w:space="0" w:color="000000" w:themeColor="text1"/>
              <w:left w:val="nil"/>
              <w:bottom w:val="single" w:sz="2" w:space="0" w:color="000000"/>
              <w:right w:val="nil"/>
            </w:tcBorders>
            <w:vAlign w:val="center"/>
          </w:tcPr>
          <w:p w14:paraId="4F630B1F"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21,09</w:t>
            </w:r>
          </w:p>
        </w:tc>
        <w:tc>
          <w:tcPr>
            <w:tcW w:w="637" w:type="pct"/>
            <w:tcBorders>
              <w:top w:val="single" w:sz="4" w:space="0" w:color="000000" w:themeColor="text1"/>
              <w:left w:val="nil"/>
              <w:bottom w:val="single" w:sz="2" w:space="0" w:color="000000"/>
              <w:right w:val="nil"/>
            </w:tcBorders>
            <w:vAlign w:val="center"/>
          </w:tcPr>
          <w:p w14:paraId="5D0116D1"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13</w:t>
            </w:r>
          </w:p>
        </w:tc>
      </w:tr>
      <w:tr w:rsidR="00B739A9" w:rsidRPr="00B739A9" w14:paraId="5408DA1A"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687F3FD0"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Zerbitzu orokorrak</w:t>
            </w:r>
          </w:p>
        </w:tc>
        <w:tc>
          <w:tcPr>
            <w:tcW w:w="634" w:type="pct"/>
            <w:tcBorders>
              <w:top w:val="single" w:sz="2" w:space="0" w:color="000000"/>
              <w:left w:val="nil"/>
              <w:bottom w:val="single" w:sz="2" w:space="0" w:color="000000"/>
              <w:right w:val="nil"/>
            </w:tcBorders>
            <w:shd w:val="clear" w:color="auto" w:fill="auto"/>
            <w:vAlign w:val="center"/>
            <w:hideMark/>
          </w:tcPr>
          <w:p w14:paraId="6FE0B8FE"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98,34</w:t>
            </w:r>
          </w:p>
        </w:tc>
        <w:tc>
          <w:tcPr>
            <w:tcW w:w="678" w:type="pct"/>
            <w:tcBorders>
              <w:top w:val="single" w:sz="2" w:space="0" w:color="000000"/>
              <w:left w:val="nil"/>
              <w:bottom w:val="single" w:sz="2" w:space="0" w:color="000000"/>
              <w:right w:val="nil"/>
            </w:tcBorders>
            <w:shd w:val="clear" w:color="auto" w:fill="auto"/>
            <w:vAlign w:val="center"/>
          </w:tcPr>
          <w:p w14:paraId="73FA694E" w14:textId="58B16402" w:rsidR="007C3208" w:rsidRPr="00B739A9" w:rsidRDefault="0095075B" w:rsidP="00B739A9">
            <w:pPr>
              <w:spacing w:after="0"/>
              <w:jc w:val="right"/>
              <w:rPr>
                <w:rFonts w:ascii="Arial Narrow" w:hAnsi="Arial Narrow" w:cs="Calibri"/>
                <w:color w:val="000000"/>
                <w:sz w:val="18"/>
                <w:szCs w:val="18"/>
              </w:rPr>
            </w:pPr>
            <w:r>
              <w:rPr>
                <w:rFonts w:ascii="Arial Narrow" w:hAnsi="Arial Narrow"/>
                <w:color w:val="000000"/>
                <w:sz w:val="18"/>
              </w:rPr>
              <w:t>13,78</w:t>
            </w:r>
          </w:p>
        </w:tc>
        <w:tc>
          <w:tcPr>
            <w:tcW w:w="428" w:type="pct"/>
            <w:tcBorders>
              <w:top w:val="single" w:sz="2" w:space="0" w:color="000000"/>
              <w:left w:val="nil"/>
              <w:bottom w:val="single" w:sz="2" w:space="0" w:color="000000"/>
              <w:right w:val="nil"/>
            </w:tcBorders>
            <w:vAlign w:val="center"/>
          </w:tcPr>
          <w:p w14:paraId="27C51923" w14:textId="53B5FB03"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olor w:val="000000"/>
                <w:sz w:val="18"/>
              </w:rPr>
              <w:t>112,11</w:t>
            </w:r>
          </w:p>
        </w:tc>
        <w:tc>
          <w:tcPr>
            <w:tcW w:w="552" w:type="pct"/>
            <w:tcBorders>
              <w:top w:val="single" w:sz="2" w:space="0" w:color="000000"/>
              <w:left w:val="nil"/>
              <w:bottom w:val="single" w:sz="2" w:space="0" w:color="000000"/>
              <w:right w:val="nil"/>
            </w:tcBorders>
            <w:vAlign w:val="center"/>
          </w:tcPr>
          <w:p w14:paraId="60063D61" w14:textId="0226C554"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olor w:val="000000"/>
                <w:sz w:val="18"/>
              </w:rPr>
              <w:t>11</w:t>
            </w:r>
          </w:p>
        </w:tc>
        <w:tc>
          <w:tcPr>
            <w:tcW w:w="641" w:type="pct"/>
            <w:tcBorders>
              <w:top w:val="single" w:sz="2" w:space="0" w:color="000000"/>
              <w:left w:val="nil"/>
              <w:bottom w:val="single" w:sz="2" w:space="0" w:color="000000"/>
              <w:right w:val="nil"/>
            </w:tcBorders>
            <w:vAlign w:val="center"/>
          </w:tcPr>
          <w:p w14:paraId="7BAE32BA" w14:textId="5C152BFC"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olor w:val="000000"/>
                <w:sz w:val="18"/>
              </w:rPr>
              <w:t>5,02</w:t>
            </w:r>
          </w:p>
        </w:tc>
        <w:tc>
          <w:tcPr>
            <w:tcW w:w="637" w:type="pct"/>
            <w:tcBorders>
              <w:top w:val="single" w:sz="2" w:space="0" w:color="000000"/>
              <w:left w:val="nil"/>
              <w:bottom w:val="single" w:sz="2" w:space="0" w:color="000000"/>
              <w:right w:val="nil"/>
            </w:tcBorders>
            <w:vAlign w:val="center"/>
          </w:tcPr>
          <w:p w14:paraId="3C6C8592" w14:textId="57048C4B" w:rsidR="007C3208" w:rsidRPr="00B739A9" w:rsidRDefault="0095075B" w:rsidP="00B739A9">
            <w:pPr>
              <w:spacing w:after="0"/>
              <w:jc w:val="right"/>
              <w:rPr>
                <w:rFonts w:ascii="Arial Narrow" w:hAnsi="Arial Narrow" w:cs="Calibri"/>
                <w:color w:val="000000"/>
                <w:sz w:val="18"/>
                <w:szCs w:val="18"/>
              </w:rPr>
            </w:pPr>
            <w:r>
              <w:rPr>
                <w:rFonts w:ascii="Arial Narrow" w:hAnsi="Arial Narrow"/>
                <w:color w:val="000000"/>
                <w:sz w:val="18"/>
              </w:rPr>
              <w:t>5</w:t>
            </w:r>
          </w:p>
        </w:tc>
      </w:tr>
      <w:tr w:rsidR="00B739A9" w:rsidRPr="00B739A9" w14:paraId="600925CE"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4A0F419B"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Hezkuntza</w:t>
            </w:r>
          </w:p>
        </w:tc>
        <w:tc>
          <w:tcPr>
            <w:tcW w:w="634" w:type="pct"/>
            <w:tcBorders>
              <w:top w:val="single" w:sz="2" w:space="0" w:color="000000"/>
              <w:left w:val="nil"/>
              <w:bottom w:val="single" w:sz="2" w:space="0" w:color="000000"/>
              <w:right w:val="nil"/>
            </w:tcBorders>
            <w:shd w:val="clear" w:color="auto" w:fill="auto"/>
            <w:vAlign w:val="center"/>
            <w:hideMark/>
          </w:tcPr>
          <w:p w14:paraId="1EE4A399"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83,70</w:t>
            </w:r>
          </w:p>
        </w:tc>
        <w:tc>
          <w:tcPr>
            <w:tcW w:w="678" w:type="pct"/>
            <w:tcBorders>
              <w:top w:val="single" w:sz="2" w:space="0" w:color="000000"/>
              <w:left w:val="nil"/>
              <w:bottom w:val="single" w:sz="2" w:space="0" w:color="000000"/>
              <w:right w:val="nil"/>
            </w:tcBorders>
            <w:shd w:val="clear" w:color="auto" w:fill="auto"/>
            <w:vAlign w:val="center"/>
          </w:tcPr>
          <w:p w14:paraId="49B4C505"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0,00</w:t>
            </w:r>
          </w:p>
        </w:tc>
        <w:tc>
          <w:tcPr>
            <w:tcW w:w="428" w:type="pct"/>
            <w:tcBorders>
              <w:top w:val="single" w:sz="2" w:space="0" w:color="000000"/>
              <w:left w:val="nil"/>
              <w:bottom w:val="single" w:sz="2" w:space="0" w:color="000000"/>
              <w:right w:val="nil"/>
            </w:tcBorders>
            <w:vAlign w:val="center"/>
          </w:tcPr>
          <w:p w14:paraId="3FE06869"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83,70</w:t>
            </w:r>
          </w:p>
        </w:tc>
        <w:tc>
          <w:tcPr>
            <w:tcW w:w="552" w:type="pct"/>
            <w:tcBorders>
              <w:top w:val="single" w:sz="2" w:space="0" w:color="000000"/>
              <w:left w:val="nil"/>
              <w:bottom w:val="single" w:sz="2" w:space="0" w:color="000000"/>
              <w:right w:val="nil"/>
            </w:tcBorders>
            <w:vAlign w:val="center"/>
          </w:tcPr>
          <w:p w14:paraId="559003C7"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8</w:t>
            </w:r>
          </w:p>
        </w:tc>
        <w:tc>
          <w:tcPr>
            <w:tcW w:w="641" w:type="pct"/>
            <w:tcBorders>
              <w:top w:val="single" w:sz="2" w:space="0" w:color="000000"/>
              <w:left w:val="nil"/>
              <w:bottom w:val="single" w:sz="2" w:space="0" w:color="000000"/>
              <w:right w:val="nil"/>
            </w:tcBorders>
            <w:vAlign w:val="center"/>
          </w:tcPr>
          <w:p w14:paraId="483C1CA1"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12,02</w:t>
            </w:r>
          </w:p>
        </w:tc>
        <w:tc>
          <w:tcPr>
            <w:tcW w:w="637" w:type="pct"/>
            <w:tcBorders>
              <w:top w:val="single" w:sz="2" w:space="0" w:color="000000"/>
              <w:left w:val="nil"/>
              <w:bottom w:val="single" w:sz="2" w:space="0" w:color="000000"/>
              <w:right w:val="nil"/>
            </w:tcBorders>
            <w:vAlign w:val="center"/>
          </w:tcPr>
          <w:p w14:paraId="6583CC58"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17</w:t>
            </w:r>
          </w:p>
        </w:tc>
      </w:tr>
      <w:tr w:rsidR="00B739A9" w:rsidRPr="00B739A9" w14:paraId="41B2D1AB"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15FF0B82"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Etxebizitza eta hirigintza</w:t>
            </w:r>
          </w:p>
        </w:tc>
        <w:tc>
          <w:tcPr>
            <w:tcW w:w="634" w:type="pct"/>
            <w:tcBorders>
              <w:top w:val="single" w:sz="2" w:space="0" w:color="000000"/>
              <w:left w:val="nil"/>
              <w:bottom w:val="single" w:sz="2" w:space="0" w:color="000000"/>
              <w:right w:val="nil"/>
            </w:tcBorders>
            <w:shd w:val="clear" w:color="auto" w:fill="auto"/>
            <w:vAlign w:val="center"/>
            <w:hideMark/>
          </w:tcPr>
          <w:p w14:paraId="68E0DA14"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80,92</w:t>
            </w:r>
          </w:p>
        </w:tc>
        <w:tc>
          <w:tcPr>
            <w:tcW w:w="678" w:type="pct"/>
            <w:tcBorders>
              <w:top w:val="single" w:sz="2" w:space="0" w:color="000000"/>
              <w:left w:val="nil"/>
              <w:bottom w:val="single" w:sz="2" w:space="0" w:color="000000"/>
              <w:right w:val="nil"/>
            </w:tcBorders>
            <w:shd w:val="clear" w:color="auto" w:fill="auto"/>
            <w:vAlign w:val="center"/>
          </w:tcPr>
          <w:p w14:paraId="398ED83A"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0,36</w:t>
            </w:r>
          </w:p>
        </w:tc>
        <w:tc>
          <w:tcPr>
            <w:tcW w:w="428" w:type="pct"/>
            <w:tcBorders>
              <w:top w:val="single" w:sz="2" w:space="0" w:color="000000"/>
              <w:left w:val="nil"/>
              <w:bottom w:val="single" w:sz="2" w:space="0" w:color="000000"/>
              <w:right w:val="nil"/>
            </w:tcBorders>
            <w:vAlign w:val="center"/>
          </w:tcPr>
          <w:p w14:paraId="6C49E218"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81,28</w:t>
            </w:r>
          </w:p>
        </w:tc>
        <w:tc>
          <w:tcPr>
            <w:tcW w:w="552" w:type="pct"/>
            <w:tcBorders>
              <w:top w:val="single" w:sz="2" w:space="0" w:color="000000"/>
              <w:left w:val="nil"/>
              <w:bottom w:val="single" w:sz="2" w:space="0" w:color="000000"/>
              <w:right w:val="nil"/>
            </w:tcBorders>
            <w:vAlign w:val="center"/>
          </w:tcPr>
          <w:p w14:paraId="29B325E0"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8</w:t>
            </w:r>
          </w:p>
        </w:tc>
        <w:tc>
          <w:tcPr>
            <w:tcW w:w="641" w:type="pct"/>
            <w:tcBorders>
              <w:top w:val="single" w:sz="2" w:space="0" w:color="000000"/>
              <w:left w:val="nil"/>
              <w:bottom w:val="single" w:sz="2" w:space="0" w:color="000000"/>
              <w:right w:val="nil"/>
            </w:tcBorders>
            <w:vAlign w:val="center"/>
          </w:tcPr>
          <w:p w14:paraId="420B688B"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11,02</w:t>
            </w:r>
          </w:p>
        </w:tc>
        <w:tc>
          <w:tcPr>
            <w:tcW w:w="637" w:type="pct"/>
            <w:tcBorders>
              <w:top w:val="single" w:sz="2" w:space="0" w:color="000000"/>
              <w:left w:val="nil"/>
              <w:bottom w:val="single" w:sz="2" w:space="0" w:color="000000"/>
              <w:right w:val="nil"/>
            </w:tcBorders>
            <w:vAlign w:val="center"/>
          </w:tcPr>
          <w:p w14:paraId="632BF140"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16</w:t>
            </w:r>
          </w:p>
        </w:tc>
      </w:tr>
      <w:tr w:rsidR="00B739A9" w:rsidRPr="00B739A9" w14:paraId="5B2CA9F2"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429E1B97"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Gizarte zerbitzuak eta gizarte sustapena</w:t>
            </w:r>
          </w:p>
        </w:tc>
        <w:tc>
          <w:tcPr>
            <w:tcW w:w="634" w:type="pct"/>
            <w:tcBorders>
              <w:top w:val="single" w:sz="2" w:space="0" w:color="000000"/>
              <w:left w:val="nil"/>
              <w:bottom w:val="single" w:sz="2" w:space="0" w:color="000000"/>
              <w:right w:val="nil"/>
            </w:tcBorders>
            <w:shd w:val="clear" w:color="auto" w:fill="auto"/>
            <w:vAlign w:val="center"/>
            <w:hideMark/>
          </w:tcPr>
          <w:p w14:paraId="6DEB9AB2"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80,00</w:t>
            </w:r>
          </w:p>
        </w:tc>
        <w:tc>
          <w:tcPr>
            <w:tcW w:w="678" w:type="pct"/>
            <w:tcBorders>
              <w:top w:val="single" w:sz="2" w:space="0" w:color="000000"/>
              <w:left w:val="nil"/>
              <w:bottom w:val="single" w:sz="2" w:space="0" w:color="000000"/>
              <w:right w:val="nil"/>
            </w:tcBorders>
            <w:shd w:val="clear" w:color="auto" w:fill="auto"/>
            <w:vAlign w:val="center"/>
          </w:tcPr>
          <w:p w14:paraId="156AB805"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0,00</w:t>
            </w:r>
          </w:p>
        </w:tc>
        <w:tc>
          <w:tcPr>
            <w:tcW w:w="428" w:type="pct"/>
            <w:tcBorders>
              <w:top w:val="single" w:sz="2" w:space="0" w:color="000000"/>
              <w:left w:val="nil"/>
              <w:bottom w:val="single" w:sz="2" w:space="0" w:color="000000"/>
              <w:right w:val="nil"/>
            </w:tcBorders>
            <w:vAlign w:val="center"/>
          </w:tcPr>
          <w:p w14:paraId="79C8D875"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80,00</w:t>
            </w:r>
          </w:p>
        </w:tc>
        <w:tc>
          <w:tcPr>
            <w:tcW w:w="552" w:type="pct"/>
            <w:tcBorders>
              <w:top w:val="single" w:sz="2" w:space="0" w:color="000000"/>
              <w:left w:val="nil"/>
              <w:bottom w:val="single" w:sz="2" w:space="0" w:color="000000"/>
              <w:right w:val="nil"/>
            </w:tcBorders>
            <w:vAlign w:val="center"/>
          </w:tcPr>
          <w:p w14:paraId="03073777"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8</w:t>
            </w:r>
          </w:p>
        </w:tc>
        <w:tc>
          <w:tcPr>
            <w:tcW w:w="641" w:type="pct"/>
            <w:tcBorders>
              <w:top w:val="single" w:sz="2" w:space="0" w:color="000000"/>
              <w:left w:val="nil"/>
              <w:bottom w:val="single" w:sz="2" w:space="0" w:color="000000"/>
              <w:right w:val="nil"/>
            </w:tcBorders>
            <w:vAlign w:val="center"/>
          </w:tcPr>
          <w:p w14:paraId="6EB9F919"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4,19</w:t>
            </w:r>
          </w:p>
        </w:tc>
        <w:tc>
          <w:tcPr>
            <w:tcW w:w="637" w:type="pct"/>
            <w:tcBorders>
              <w:top w:val="single" w:sz="2" w:space="0" w:color="000000"/>
              <w:left w:val="nil"/>
              <w:bottom w:val="single" w:sz="2" w:space="0" w:color="000000"/>
              <w:right w:val="nil"/>
            </w:tcBorders>
            <w:vAlign w:val="center"/>
          </w:tcPr>
          <w:p w14:paraId="68AED84D"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6</w:t>
            </w:r>
          </w:p>
        </w:tc>
      </w:tr>
      <w:tr w:rsidR="00B739A9" w:rsidRPr="00B739A9" w14:paraId="46544E09"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tcPr>
          <w:p w14:paraId="79251E11"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Herritarren segurtasuna eta mugikortasuna</w:t>
            </w:r>
          </w:p>
        </w:tc>
        <w:tc>
          <w:tcPr>
            <w:tcW w:w="634" w:type="pct"/>
            <w:tcBorders>
              <w:top w:val="single" w:sz="2" w:space="0" w:color="000000"/>
              <w:left w:val="nil"/>
              <w:bottom w:val="single" w:sz="2" w:space="0" w:color="000000"/>
              <w:right w:val="nil"/>
            </w:tcBorders>
            <w:shd w:val="clear" w:color="auto" w:fill="auto"/>
            <w:vAlign w:val="center"/>
          </w:tcPr>
          <w:p w14:paraId="0F9BEF15"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64,05</w:t>
            </w:r>
          </w:p>
        </w:tc>
        <w:tc>
          <w:tcPr>
            <w:tcW w:w="678" w:type="pct"/>
            <w:tcBorders>
              <w:top w:val="single" w:sz="2" w:space="0" w:color="000000"/>
              <w:left w:val="nil"/>
              <w:bottom w:val="single" w:sz="2" w:space="0" w:color="000000"/>
              <w:right w:val="nil"/>
            </w:tcBorders>
            <w:shd w:val="clear" w:color="auto" w:fill="auto"/>
            <w:vAlign w:val="center"/>
          </w:tcPr>
          <w:p w14:paraId="12FFA4B5"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0,00</w:t>
            </w:r>
          </w:p>
        </w:tc>
        <w:tc>
          <w:tcPr>
            <w:tcW w:w="428" w:type="pct"/>
            <w:tcBorders>
              <w:top w:val="single" w:sz="2" w:space="0" w:color="000000"/>
              <w:left w:val="nil"/>
              <w:bottom w:val="single" w:sz="2" w:space="0" w:color="000000"/>
              <w:right w:val="nil"/>
            </w:tcBorders>
            <w:vAlign w:val="center"/>
          </w:tcPr>
          <w:p w14:paraId="2D66AD35"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64,05</w:t>
            </w:r>
          </w:p>
        </w:tc>
        <w:tc>
          <w:tcPr>
            <w:tcW w:w="552" w:type="pct"/>
            <w:tcBorders>
              <w:top w:val="single" w:sz="2" w:space="0" w:color="000000"/>
              <w:left w:val="nil"/>
              <w:bottom w:val="single" w:sz="2" w:space="0" w:color="000000"/>
              <w:right w:val="nil"/>
            </w:tcBorders>
            <w:vAlign w:val="center"/>
          </w:tcPr>
          <w:p w14:paraId="69FF5382"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6</w:t>
            </w:r>
          </w:p>
        </w:tc>
        <w:tc>
          <w:tcPr>
            <w:tcW w:w="641" w:type="pct"/>
            <w:tcBorders>
              <w:top w:val="single" w:sz="2" w:space="0" w:color="000000"/>
              <w:left w:val="nil"/>
              <w:bottom w:val="single" w:sz="2" w:space="0" w:color="000000"/>
              <w:right w:val="nil"/>
            </w:tcBorders>
            <w:vAlign w:val="center"/>
          </w:tcPr>
          <w:p w14:paraId="26125B5B"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6,65</w:t>
            </w:r>
          </w:p>
        </w:tc>
        <w:tc>
          <w:tcPr>
            <w:tcW w:w="637" w:type="pct"/>
            <w:tcBorders>
              <w:top w:val="single" w:sz="2" w:space="0" w:color="000000"/>
              <w:left w:val="nil"/>
              <w:bottom w:val="single" w:sz="2" w:space="0" w:color="000000"/>
              <w:right w:val="nil"/>
            </w:tcBorders>
            <w:vAlign w:val="center"/>
          </w:tcPr>
          <w:p w14:paraId="4E75B50F"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12</w:t>
            </w:r>
          </w:p>
        </w:tc>
      </w:tr>
      <w:tr w:rsidR="00B739A9" w:rsidRPr="00B739A9" w14:paraId="7FA0522C"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1EB5D512"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Kirola</w:t>
            </w:r>
          </w:p>
        </w:tc>
        <w:tc>
          <w:tcPr>
            <w:tcW w:w="634" w:type="pct"/>
            <w:tcBorders>
              <w:top w:val="single" w:sz="2" w:space="0" w:color="000000"/>
              <w:left w:val="nil"/>
              <w:bottom w:val="single" w:sz="2" w:space="0" w:color="000000"/>
              <w:right w:val="nil"/>
            </w:tcBorders>
            <w:shd w:val="clear" w:color="auto" w:fill="auto"/>
            <w:vAlign w:val="center"/>
            <w:hideMark/>
          </w:tcPr>
          <w:p w14:paraId="53184092"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63,29</w:t>
            </w:r>
          </w:p>
        </w:tc>
        <w:tc>
          <w:tcPr>
            <w:tcW w:w="678" w:type="pct"/>
            <w:tcBorders>
              <w:top w:val="single" w:sz="2" w:space="0" w:color="000000"/>
              <w:left w:val="nil"/>
              <w:bottom w:val="single" w:sz="2" w:space="0" w:color="000000"/>
              <w:right w:val="nil"/>
            </w:tcBorders>
            <w:shd w:val="clear" w:color="auto" w:fill="auto"/>
            <w:vAlign w:val="center"/>
          </w:tcPr>
          <w:p w14:paraId="6A60F24A"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0,00</w:t>
            </w:r>
          </w:p>
        </w:tc>
        <w:tc>
          <w:tcPr>
            <w:tcW w:w="428" w:type="pct"/>
            <w:tcBorders>
              <w:top w:val="single" w:sz="2" w:space="0" w:color="000000"/>
              <w:left w:val="nil"/>
              <w:bottom w:val="single" w:sz="2" w:space="0" w:color="000000"/>
              <w:right w:val="nil"/>
            </w:tcBorders>
            <w:vAlign w:val="center"/>
          </w:tcPr>
          <w:p w14:paraId="1C0B3BA2"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63,29</w:t>
            </w:r>
          </w:p>
        </w:tc>
        <w:tc>
          <w:tcPr>
            <w:tcW w:w="552" w:type="pct"/>
            <w:tcBorders>
              <w:top w:val="single" w:sz="2" w:space="0" w:color="000000"/>
              <w:left w:val="nil"/>
              <w:bottom w:val="single" w:sz="2" w:space="0" w:color="000000"/>
              <w:right w:val="nil"/>
            </w:tcBorders>
            <w:vAlign w:val="center"/>
          </w:tcPr>
          <w:p w14:paraId="14EAB887"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6</w:t>
            </w:r>
          </w:p>
        </w:tc>
        <w:tc>
          <w:tcPr>
            <w:tcW w:w="641" w:type="pct"/>
            <w:tcBorders>
              <w:top w:val="single" w:sz="2" w:space="0" w:color="000000"/>
              <w:left w:val="nil"/>
              <w:bottom w:val="single" w:sz="2" w:space="0" w:color="000000"/>
              <w:right w:val="nil"/>
            </w:tcBorders>
            <w:vAlign w:val="center"/>
          </w:tcPr>
          <w:p w14:paraId="7926080E"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6,05</w:t>
            </w:r>
          </w:p>
        </w:tc>
        <w:tc>
          <w:tcPr>
            <w:tcW w:w="637" w:type="pct"/>
            <w:tcBorders>
              <w:top w:val="single" w:sz="2" w:space="0" w:color="000000"/>
              <w:left w:val="nil"/>
              <w:bottom w:val="single" w:sz="2" w:space="0" w:color="000000"/>
              <w:right w:val="nil"/>
            </w:tcBorders>
            <w:vAlign w:val="center"/>
          </w:tcPr>
          <w:p w14:paraId="7A622172"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11</w:t>
            </w:r>
          </w:p>
        </w:tc>
      </w:tr>
      <w:tr w:rsidR="00B739A9" w:rsidRPr="00B739A9" w14:paraId="79C98FA8"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2AE8A228"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Kultura</w:t>
            </w:r>
          </w:p>
        </w:tc>
        <w:tc>
          <w:tcPr>
            <w:tcW w:w="634" w:type="pct"/>
            <w:tcBorders>
              <w:top w:val="single" w:sz="2" w:space="0" w:color="000000"/>
              <w:left w:val="nil"/>
              <w:bottom w:val="single" w:sz="2" w:space="0" w:color="000000"/>
              <w:right w:val="nil"/>
            </w:tcBorders>
            <w:shd w:val="clear" w:color="auto" w:fill="auto"/>
            <w:vAlign w:val="center"/>
            <w:hideMark/>
          </w:tcPr>
          <w:p w14:paraId="7E30890C"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53,50</w:t>
            </w:r>
          </w:p>
        </w:tc>
        <w:tc>
          <w:tcPr>
            <w:tcW w:w="678" w:type="pct"/>
            <w:tcBorders>
              <w:top w:val="single" w:sz="2" w:space="0" w:color="000000"/>
              <w:left w:val="nil"/>
              <w:bottom w:val="single" w:sz="2" w:space="0" w:color="000000"/>
              <w:right w:val="nil"/>
            </w:tcBorders>
            <w:shd w:val="clear" w:color="auto" w:fill="auto"/>
            <w:vAlign w:val="center"/>
          </w:tcPr>
          <w:p w14:paraId="3C6D7CE8"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0,00</w:t>
            </w:r>
          </w:p>
        </w:tc>
        <w:tc>
          <w:tcPr>
            <w:tcW w:w="428" w:type="pct"/>
            <w:tcBorders>
              <w:top w:val="single" w:sz="2" w:space="0" w:color="000000"/>
              <w:left w:val="nil"/>
              <w:bottom w:val="single" w:sz="2" w:space="0" w:color="000000"/>
              <w:right w:val="nil"/>
            </w:tcBorders>
            <w:vAlign w:val="center"/>
          </w:tcPr>
          <w:p w14:paraId="33995A82"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53,50</w:t>
            </w:r>
          </w:p>
        </w:tc>
        <w:tc>
          <w:tcPr>
            <w:tcW w:w="552" w:type="pct"/>
            <w:tcBorders>
              <w:top w:val="single" w:sz="2" w:space="0" w:color="000000"/>
              <w:left w:val="nil"/>
              <w:bottom w:val="single" w:sz="2" w:space="0" w:color="000000"/>
              <w:right w:val="nil"/>
            </w:tcBorders>
            <w:vAlign w:val="center"/>
          </w:tcPr>
          <w:p w14:paraId="4E6894D6"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5</w:t>
            </w:r>
          </w:p>
        </w:tc>
        <w:tc>
          <w:tcPr>
            <w:tcW w:w="641" w:type="pct"/>
            <w:tcBorders>
              <w:top w:val="single" w:sz="2" w:space="0" w:color="000000"/>
              <w:left w:val="nil"/>
              <w:bottom w:val="single" w:sz="2" w:space="0" w:color="000000"/>
              <w:right w:val="nil"/>
            </w:tcBorders>
            <w:vAlign w:val="center"/>
          </w:tcPr>
          <w:p w14:paraId="42605B94"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8,93</w:t>
            </w:r>
          </w:p>
        </w:tc>
        <w:tc>
          <w:tcPr>
            <w:tcW w:w="637" w:type="pct"/>
            <w:tcBorders>
              <w:top w:val="single" w:sz="2" w:space="0" w:color="000000"/>
              <w:left w:val="nil"/>
              <w:bottom w:val="single" w:sz="2" w:space="0" w:color="000000"/>
              <w:right w:val="nil"/>
            </w:tcBorders>
            <w:vAlign w:val="center"/>
          </w:tcPr>
          <w:p w14:paraId="72A4FFC0"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20</w:t>
            </w:r>
          </w:p>
        </w:tc>
      </w:tr>
      <w:tr w:rsidR="00B739A9" w:rsidRPr="00B739A9" w14:paraId="60FC2990"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46A7BA44"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Pentsioak</w:t>
            </w:r>
          </w:p>
        </w:tc>
        <w:tc>
          <w:tcPr>
            <w:tcW w:w="634" w:type="pct"/>
            <w:tcBorders>
              <w:top w:val="single" w:sz="2" w:space="0" w:color="000000"/>
              <w:left w:val="nil"/>
              <w:bottom w:val="single" w:sz="2" w:space="0" w:color="000000"/>
              <w:right w:val="nil"/>
            </w:tcBorders>
            <w:shd w:val="clear" w:color="auto" w:fill="auto"/>
            <w:vAlign w:val="center"/>
            <w:hideMark/>
          </w:tcPr>
          <w:p w14:paraId="147D5C50"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53,43</w:t>
            </w:r>
          </w:p>
        </w:tc>
        <w:tc>
          <w:tcPr>
            <w:tcW w:w="678" w:type="pct"/>
            <w:tcBorders>
              <w:top w:val="single" w:sz="2" w:space="0" w:color="000000"/>
              <w:left w:val="nil"/>
              <w:bottom w:val="single" w:sz="2" w:space="0" w:color="000000"/>
              <w:right w:val="nil"/>
            </w:tcBorders>
            <w:shd w:val="clear" w:color="auto" w:fill="auto"/>
            <w:vAlign w:val="center"/>
          </w:tcPr>
          <w:p w14:paraId="40B13C18"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0,00</w:t>
            </w:r>
          </w:p>
        </w:tc>
        <w:tc>
          <w:tcPr>
            <w:tcW w:w="428" w:type="pct"/>
            <w:tcBorders>
              <w:top w:val="single" w:sz="2" w:space="0" w:color="000000"/>
              <w:left w:val="nil"/>
              <w:bottom w:val="single" w:sz="2" w:space="0" w:color="000000"/>
              <w:right w:val="nil"/>
            </w:tcBorders>
            <w:vAlign w:val="center"/>
          </w:tcPr>
          <w:p w14:paraId="2D4985F8"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53,43</w:t>
            </w:r>
          </w:p>
        </w:tc>
        <w:tc>
          <w:tcPr>
            <w:tcW w:w="552" w:type="pct"/>
            <w:tcBorders>
              <w:top w:val="single" w:sz="2" w:space="0" w:color="000000"/>
              <w:left w:val="nil"/>
              <w:bottom w:val="single" w:sz="2" w:space="0" w:color="000000"/>
              <w:right w:val="nil"/>
            </w:tcBorders>
            <w:vAlign w:val="center"/>
          </w:tcPr>
          <w:p w14:paraId="2A581CC0"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5</w:t>
            </w:r>
          </w:p>
        </w:tc>
        <w:tc>
          <w:tcPr>
            <w:tcW w:w="641" w:type="pct"/>
            <w:tcBorders>
              <w:top w:val="single" w:sz="2" w:space="0" w:color="000000"/>
              <w:left w:val="nil"/>
              <w:bottom w:val="single" w:sz="2" w:space="0" w:color="000000"/>
              <w:right w:val="nil"/>
            </w:tcBorders>
            <w:vAlign w:val="center"/>
          </w:tcPr>
          <w:p w14:paraId="0EACD813"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-0,02</w:t>
            </w:r>
          </w:p>
        </w:tc>
        <w:tc>
          <w:tcPr>
            <w:tcW w:w="637" w:type="pct"/>
            <w:tcBorders>
              <w:top w:val="single" w:sz="2" w:space="0" w:color="000000"/>
              <w:left w:val="nil"/>
              <w:bottom w:val="single" w:sz="2" w:space="0" w:color="000000"/>
              <w:right w:val="nil"/>
            </w:tcBorders>
            <w:vAlign w:val="center"/>
          </w:tcPr>
          <w:p w14:paraId="53AF8648"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w:t>
            </w:r>
          </w:p>
        </w:tc>
      </w:tr>
      <w:tr w:rsidR="00B739A9" w:rsidRPr="00B739A9" w14:paraId="7BC05157"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658D0A26"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Zor publikoa</w:t>
            </w:r>
          </w:p>
        </w:tc>
        <w:tc>
          <w:tcPr>
            <w:tcW w:w="634" w:type="pct"/>
            <w:tcBorders>
              <w:top w:val="single" w:sz="2" w:space="0" w:color="000000"/>
              <w:left w:val="nil"/>
              <w:bottom w:val="single" w:sz="2" w:space="0" w:color="000000"/>
              <w:right w:val="nil"/>
            </w:tcBorders>
            <w:shd w:val="clear" w:color="auto" w:fill="auto"/>
            <w:vAlign w:val="center"/>
            <w:hideMark/>
          </w:tcPr>
          <w:p w14:paraId="3A972C54"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39,14</w:t>
            </w:r>
          </w:p>
        </w:tc>
        <w:tc>
          <w:tcPr>
            <w:tcW w:w="678" w:type="pct"/>
            <w:tcBorders>
              <w:top w:val="single" w:sz="2" w:space="0" w:color="000000"/>
              <w:left w:val="nil"/>
              <w:bottom w:val="single" w:sz="2" w:space="0" w:color="000000"/>
              <w:right w:val="nil"/>
            </w:tcBorders>
            <w:shd w:val="clear" w:color="auto" w:fill="auto"/>
            <w:vAlign w:val="center"/>
          </w:tcPr>
          <w:p w14:paraId="4D481F6A"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0,00</w:t>
            </w:r>
          </w:p>
        </w:tc>
        <w:tc>
          <w:tcPr>
            <w:tcW w:w="428" w:type="pct"/>
            <w:tcBorders>
              <w:top w:val="single" w:sz="2" w:space="0" w:color="000000"/>
              <w:left w:val="nil"/>
              <w:bottom w:val="single" w:sz="2" w:space="0" w:color="000000"/>
              <w:right w:val="nil"/>
            </w:tcBorders>
            <w:vAlign w:val="center"/>
          </w:tcPr>
          <w:p w14:paraId="387596A7"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39,14</w:t>
            </w:r>
          </w:p>
        </w:tc>
        <w:tc>
          <w:tcPr>
            <w:tcW w:w="552" w:type="pct"/>
            <w:tcBorders>
              <w:top w:val="single" w:sz="2" w:space="0" w:color="000000"/>
              <w:left w:val="nil"/>
              <w:bottom w:val="single" w:sz="2" w:space="0" w:color="000000"/>
              <w:right w:val="nil"/>
            </w:tcBorders>
            <w:vAlign w:val="center"/>
          </w:tcPr>
          <w:p w14:paraId="5055DCC4"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4</w:t>
            </w:r>
          </w:p>
        </w:tc>
        <w:tc>
          <w:tcPr>
            <w:tcW w:w="641" w:type="pct"/>
            <w:tcBorders>
              <w:top w:val="single" w:sz="2" w:space="0" w:color="000000"/>
              <w:left w:val="nil"/>
              <w:bottom w:val="single" w:sz="2" w:space="0" w:color="000000"/>
              <w:right w:val="nil"/>
            </w:tcBorders>
            <w:vAlign w:val="center"/>
          </w:tcPr>
          <w:p w14:paraId="617706FA"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9,89</w:t>
            </w:r>
          </w:p>
        </w:tc>
        <w:tc>
          <w:tcPr>
            <w:tcW w:w="637" w:type="pct"/>
            <w:tcBorders>
              <w:top w:val="single" w:sz="2" w:space="0" w:color="000000"/>
              <w:left w:val="nil"/>
              <w:bottom w:val="single" w:sz="2" w:space="0" w:color="000000"/>
              <w:right w:val="nil"/>
            </w:tcBorders>
            <w:vAlign w:val="center"/>
          </w:tcPr>
          <w:p w14:paraId="3848D7E0"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34</w:t>
            </w:r>
          </w:p>
        </w:tc>
      </w:tr>
      <w:tr w:rsidR="00B739A9" w:rsidRPr="00B739A9" w14:paraId="446A1809"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69B26250"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Garraio publikoa</w:t>
            </w:r>
          </w:p>
        </w:tc>
        <w:tc>
          <w:tcPr>
            <w:tcW w:w="634" w:type="pct"/>
            <w:tcBorders>
              <w:top w:val="single" w:sz="2" w:space="0" w:color="000000"/>
              <w:left w:val="nil"/>
              <w:bottom w:val="single" w:sz="2" w:space="0" w:color="000000"/>
              <w:right w:val="nil"/>
            </w:tcBorders>
            <w:shd w:val="clear" w:color="auto" w:fill="auto"/>
            <w:vAlign w:val="center"/>
            <w:hideMark/>
          </w:tcPr>
          <w:p w14:paraId="40EC0000"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29,39</w:t>
            </w:r>
          </w:p>
        </w:tc>
        <w:tc>
          <w:tcPr>
            <w:tcW w:w="678" w:type="pct"/>
            <w:tcBorders>
              <w:top w:val="single" w:sz="2" w:space="0" w:color="000000"/>
              <w:left w:val="nil"/>
              <w:bottom w:val="single" w:sz="2" w:space="0" w:color="000000"/>
              <w:right w:val="nil"/>
            </w:tcBorders>
            <w:shd w:val="clear" w:color="auto" w:fill="auto"/>
            <w:vAlign w:val="center"/>
          </w:tcPr>
          <w:p w14:paraId="40E34138"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-0,51</w:t>
            </w:r>
          </w:p>
        </w:tc>
        <w:tc>
          <w:tcPr>
            <w:tcW w:w="428" w:type="pct"/>
            <w:tcBorders>
              <w:top w:val="single" w:sz="2" w:space="0" w:color="000000"/>
              <w:left w:val="nil"/>
              <w:bottom w:val="single" w:sz="2" w:space="0" w:color="000000"/>
              <w:right w:val="nil"/>
            </w:tcBorders>
            <w:vAlign w:val="center"/>
          </w:tcPr>
          <w:p w14:paraId="311915E8"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28,89</w:t>
            </w:r>
          </w:p>
        </w:tc>
        <w:tc>
          <w:tcPr>
            <w:tcW w:w="552" w:type="pct"/>
            <w:tcBorders>
              <w:top w:val="single" w:sz="2" w:space="0" w:color="000000"/>
              <w:left w:val="nil"/>
              <w:bottom w:val="single" w:sz="2" w:space="0" w:color="000000"/>
              <w:right w:val="nil"/>
            </w:tcBorders>
            <w:vAlign w:val="center"/>
          </w:tcPr>
          <w:p w14:paraId="2A2176D0"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3</w:t>
            </w:r>
          </w:p>
        </w:tc>
        <w:tc>
          <w:tcPr>
            <w:tcW w:w="641" w:type="pct"/>
            <w:tcBorders>
              <w:top w:val="single" w:sz="2" w:space="0" w:color="000000"/>
              <w:left w:val="nil"/>
              <w:bottom w:val="single" w:sz="2" w:space="0" w:color="000000"/>
              <w:right w:val="nil"/>
            </w:tcBorders>
            <w:vAlign w:val="center"/>
          </w:tcPr>
          <w:p w14:paraId="491A8E2E"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5,56</w:t>
            </w:r>
          </w:p>
        </w:tc>
        <w:tc>
          <w:tcPr>
            <w:tcW w:w="637" w:type="pct"/>
            <w:tcBorders>
              <w:top w:val="single" w:sz="2" w:space="0" w:color="000000"/>
              <w:left w:val="nil"/>
              <w:bottom w:val="single" w:sz="2" w:space="0" w:color="000000"/>
              <w:right w:val="nil"/>
            </w:tcBorders>
            <w:vAlign w:val="center"/>
          </w:tcPr>
          <w:p w14:paraId="1D8EB8EE" w14:textId="77777777" w:rsidR="007C3208" w:rsidRPr="00B739A9" w:rsidRDefault="007C3208" w:rsidP="00B739A9">
            <w:pPr>
              <w:spacing w:after="0"/>
              <w:jc w:val="right"/>
              <w:rPr>
                <w:rFonts w:ascii="Arial Narrow" w:hAnsi="Arial Narrow" w:cs="Calibri"/>
                <w:color w:val="000000"/>
                <w:sz w:val="18"/>
                <w:szCs w:val="18"/>
              </w:rPr>
            </w:pPr>
            <w:r>
              <w:rPr>
                <w:rFonts w:ascii="Arial Narrow" w:hAnsi="Arial Narrow"/>
                <w:color w:val="000000"/>
                <w:sz w:val="18"/>
              </w:rPr>
              <w:t>24</w:t>
            </w:r>
          </w:p>
        </w:tc>
      </w:tr>
      <w:tr w:rsidR="00B739A9" w:rsidRPr="00B739A9" w14:paraId="4E577F1A"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22DF4701" w14:textId="77777777" w:rsidR="007C3208" w:rsidRPr="00B739A9" w:rsidRDefault="007C3208" w:rsidP="00B739A9">
            <w:pPr>
              <w:spacing w:after="0"/>
              <w:ind w:firstLine="0"/>
              <w:rPr>
                <w:rFonts w:ascii="Arial Narrow" w:hAnsi="Arial Narrow" w:cs="Calibri"/>
                <w:color w:val="000000"/>
                <w:sz w:val="18"/>
                <w:szCs w:val="18"/>
              </w:rPr>
            </w:pPr>
            <w:r>
              <w:rPr>
                <w:rFonts w:ascii="Arial Narrow" w:hAnsi="Arial Narrow"/>
                <w:color w:val="000000"/>
                <w:sz w:val="18"/>
              </w:rPr>
              <w:t>Beste batzuk</w:t>
            </w:r>
          </w:p>
        </w:tc>
        <w:tc>
          <w:tcPr>
            <w:tcW w:w="634" w:type="pct"/>
            <w:tcBorders>
              <w:top w:val="single" w:sz="2" w:space="0" w:color="000000"/>
              <w:left w:val="nil"/>
              <w:bottom w:val="single" w:sz="2" w:space="0" w:color="000000"/>
              <w:right w:val="nil"/>
            </w:tcBorders>
            <w:shd w:val="clear" w:color="auto" w:fill="auto"/>
            <w:vAlign w:val="center"/>
            <w:hideMark/>
          </w:tcPr>
          <w:p w14:paraId="1994A392" w14:textId="77777777" w:rsidR="007C3208" w:rsidRPr="00B739A9" w:rsidRDefault="007C3208" w:rsidP="00222910">
            <w:pPr>
              <w:spacing w:after="0"/>
              <w:ind w:hanging="67"/>
              <w:jc w:val="right"/>
              <w:rPr>
                <w:rFonts w:ascii="Arial Narrow" w:hAnsi="Arial Narrow" w:cs="Calibri"/>
                <w:color w:val="000000"/>
                <w:sz w:val="18"/>
                <w:szCs w:val="18"/>
              </w:rPr>
            </w:pPr>
            <w:r>
              <w:rPr>
                <w:rFonts w:ascii="Arial Narrow" w:hAnsi="Arial Narrow"/>
                <w:color w:val="000000"/>
                <w:sz w:val="18"/>
              </w:rPr>
              <w:t>135,35</w:t>
            </w:r>
          </w:p>
        </w:tc>
        <w:tc>
          <w:tcPr>
            <w:tcW w:w="678" w:type="pct"/>
            <w:tcBorders>
              <w:top w:val="single" w:sz="2" w:space="0" w:color="000000"/>
              <w:left w:val="nil"/>
              <w:bottom w:val="single" w:sz="2" w:space="0" w:color="000000"/>
              <w:right w:val="nil"/>
            </w:tcBorders>
            <w:shd w:val="clear" w:color="auto" w:fill="auto"/>
            <w:vAlign w:val="center"/>
          </w:tcPr>
          <w:p w14:paraId="600C16F3" w14:textId="747EDF40" w:rsidR="007C3208" w:rsidRPr="00B739A9" w:rsidRDefault="0095075B" w:rsidP="00B739A9">
            <w:pPr>
              <w:spacing w:after="0"/>
              <w:jc w:val="right"/>
              <w:rPr>
                <w:rFonts w:ascii="Arial Narrow" w:hAnsi="Arial Narrow" w:cs="Calibri"/>
                <w:color w:val="000000"/>
                <w:sz w:val="18"/>
                <w:szCs w:val="18"/>
              </w:rPr>
            </w:pPr>
            <w:r>
              <w:rPr>
                <w:rFonts w:ascii="Arial Narrow" w:hAnsi="Arial Narrow"/>
                <w:color w:val="000000"/>
                <w:sz w:val="18"/>
              </w:rPr>
              <w:t>4,95</w:t>
            </w:r>
          </w:p>
        </w:tc>
        <w:tc>
          <w:tcPr>
            <w:tcW w:w="428" w:type="pct"/>
            <w:tcBorders>
              <w:top w:val="single" w:sz="2" w:space="0" w:color="000000"/>
              <w:left w:val="nil"/>
              <w:bottom w:val="single" w:sz="2" w:space="0" w:color="000000"/>
              <w:right w:val="nil"/>
            </w:tcBorders>
            <w:vAlign w:val="center"/>
          </w:tcPr>
          <w:p w14:paraId="74BE4C33" w14:textId="645F783A"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olor w:val="000000"/>
                <w:sz w:val="18"/>
              </w:rPr>
              <w:t>140,29</w:t>
            </w:r>
          </w:p>
        </w:tc>
        <w:tc>
          <w:tcPr>
            <w:tcW w:w="552" w:type="pct"/>
            <w:tcBorders>
              <w:top w:val="single" w:sz="2" w:space="0" w:color="000000"/>
              <w:left w:val="nil"/>
              <w:bottom w:val="single" w:sz="2" w:space="0" w:color="000000"/>
              <w:right w:val="nil"/>
            </w:tcBorders>
            <w:vAlign w:val="center"/>
          </w:tcPr>
          <w:p w14:paraId="15C6873E" w14:textId="77777777" w:rsidR="007C3208" w:rsidRPr="00B739A9" w:rsidRDefault="007C3208" w:rsidP="00B739A9">
            <w:pPr>
              <w:spacing w:after="0"/>
              <w:ind w:firstLine="0"/>
              <w:jc w:val="right"/>
              <w:rPr>
                <w:rFonts w:ascii="Arial Narrow" w:hAnsi="Arial Narrow" w:cs="Calibri"/>
                <w:color w:val="000000"/>
                <w:sz w:val="18"/>
                <w:szCs w:val="18"/>
              </w:rPr>
            </w:pPr>
            <w:r>
              <w:rPr>
                <w:rFonts w:ascii="Arial Narrow" w:hAnsi="Arial Narrow"/>
                <w:color w:val="000000"/>
                <w:sz w:val="18"/>
              </w:rPr>
              <w:t>14</w:t>
            </w:r>
          </w:p>
        </w:tc>
        <w:tc>
          <w:tcPr>
            <w:tcW w:w="641" w:type="pct"/>
            <w:tcBorders>
              <w:top w:val="single" w:sz="2" w:space="0" w:color="000000"/>
              <w:left w:val="nil"/>
              <w:bottom w:val="single" w:sz="2" w:space="0" w:color="000000"/>
              <w:right w:val="nil"/>
            </w:tcBorders>
            <w:vAlign w:val="center"/>
          </w:tcPr>
          <w:p w14:paraId="36220CF1" w14:textId="4F03A1C5"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olor w:val="000000"/>
                <w:sz w:val="18"/>
              </w:rPr>
              <w:t>20,84</w:t>
            </w:r>
          </w:p>
        </w:tc>
        <w:tc>
          <w:tcPr>
            <w:tcW w:w="637" w:type="pct"/>
            <w:tcBorders>
              <w:top w:val="single" w:sz="2" w:space="0" w:color="000000"/>
              <w:left w:val="nil"/>
              <w:bottom w:val="single" w:sz="2" w:space="0" w:color="000000"/>
              <w:right w:val="nil"/>
            </w:tcBorders>
            <w:vAlign w:val="center"/>
          </w:tcPr>
          <w:p w14:paraId="4C2A823A" w14:textId="1BB27C1B" w:rsidR="007C3208" w:rsidRPr="00B739A9" w:rsidRDefault="0095075B" w:rsidP="00B739A9">
            <w:pPr>
              <w:spacing w:after="0"/>
              <w:jc w:val="right"/>
              <w:rPr>
                <w:rFonts w:ascii="Arial Narrow" w:hAnsi="Arial Narrow" w:cs="Calibri"/>
                <w:color w:val="000000"/>
                <w:sz w:val="18"/>
                <w:szCs w:val="18"/>
              </w:rPr>
            </w:pPr>
            <w:r>
              <w:rPr>
                <w:rFonts w:ascii="Arial Narrow" w:hAnsi="Arial Narrow"/>
                <w:color w:val="000000"/>
                <w:sz w:val="18"/>
              </w:rPr>
              <w:t>17</w:t>
            </w:r>
          </w:p>
        </w:tc>
      </w:tr>
      <w:tr w:rsidR="00B739A9" w:rsidRPr="00B739A9" w14:paraId="1F2BA2FC" w14:textId="77777777" w:rsidTr="00E422E0">
        <w:trPr>
          <w:trHeight w:val="284"/>
          <w:jc w:val="center"/>
        </w:trPr>
        <w:tc>
          <w:tcPr>
            <w:tcW w:w="1430" w:type="pct"/>
            <w:tcBorders>
              <w:top w:val="nil"/>
              <w:left w:val="nil"/>
              <w:bottom w:val="single" w:sz="4" w:space="0" w:color="000000"/>
              <w:right w:val="nil"/>
            </w:tcBorders>
            <w:shd w:val="clear" w:color="auto" w:fill="FABF8F" w:themeFill="accent6" w:themeFillTint="99"/>
            <w:vAlign w:val="center"/>
            <w:hideMark/>
          </w:tcPr>
          <w:p w14:paraId="093C51A0" w14:textId="77777777" w:rsidR="007C3208" w:rsidRPr="00B739A9" w:rsidRDefault="007C3208" w:rsidP="00B739A9">
            <w:pPr>
              <w:pStyle w:val="cuadroCabe"/>
              <w:spacing w:line="240" w:lineRule="auto"/>
              <w:rPr>
                <w:rFonts w:cs="Arial"/>
                <w:sz w:val="16"/>
                <w:szCs w:val="16"/>
              </w:rPr>
            </w:pPr>
            <w:r>
              <w:rPr>
                <w:sz w:val="16"/>
              </w:rPr>
              <w:t xml:space="preserve"> Guztira</w:t>
            </w:r>
          </w:p>
        </w:tc>
        <w:tc>
          <w:tcPr>
            <w:tcW w:w="634" w:type="pct"/>
            <w:tcBorders>
              <w:top w:val="nil"/>
              <w:left w:val="nil"/>
              <w:bottom w:val="single" w:sz="4" w:space="0" w:color="000000"/>
              <w:right w:val="nil"/>
            </w:tcBorders>
            <w:shd w:val="clear" w:color="auto" w:fill="FABF8F" w:themeFill="accent6" w:themeFillTint="99"/>
            <w:vAlign w:val="center"/>
            <w:hideMark/>
          </w:tcPr>
          <w:p w14:paraId="52DF5EA8" w14:textId="77777777" w:rsidR="007C3208" w:rsidRPr="00B739A9" w:rsidRDefault="007C3208" w:rsidP="00222910">
            <w:pPr>
              <w:spacing w:after="0"/>
              <w:ind w:hanging="67"/>
              <w:jc w:val="right"/>
              <w:rPr>
                <w:rFonts w:ascii="Arial" w:hAnsi="Arial" w:cs="Arial"/>
                <w:color w:val="000000"/>
                <w:sz w:val="16"/>
                <w:szCs w:val="16"/>
              </w:rPr>
            </w:pPr>
            <w:r>
              <w:rPr>
                <w:rFonts w:ascii="Arial" w:hAnsi="Arial"/>
                <w:color w:val="000000"/>
                <w:sz w:val="16"/>
              </w:rPr>
              <w:t>891,40</w:t>
            </w:r>
          </w:p>
        </w:tc>
        <w:tc>
          <w:tcPr>
            <w:tcW w:w="678" w:type="pct"/>
            <w:tcBorders>
              <w:top w:val="nil"/>
              <w:left w:val="nil"/>
              <w:bottom w:val="single" w:sz="4" w:space="0" w:color="000000"/>
              <w:right w:val="nil"/>
            </w:tcBorders>
            <w:shd w:val="clear" w:color="auto" w:fill="FABF8F" w:themeFill="accent6" w:themeFillTint="99"/>
            <w:vAlign w:val="center"/>
          </w:tcPr>
          <w:p w14:paraId="51722880" w14:textId="77777777" w:rsidR="007C3208" w:rsidRPr="00B739A9" w:rsidRDefault="007C3208" w:rsidP="00B739A9">
            <w:pPr>
              <w:spacing w:after="0"/>
              <w:jc w:val="right"/>
              <w:rPr>
                <w:rFonts w:ascii="Arial" w:hAnsi="Arial" w:cs="Arial"/>
                <w:color w:val="000000"/>
                <w:sz w:val="16"/>
                <w:szCs w:val="16"/>
              </w:rPr>
            </w:pPr>
            <w:r>
              <w:rPr>
                <w:rFonts w:ascii="Arial" w:hAnsi="Arial"/>
                <w:color w:val="000000"/>
                <w:sz w:val="16"/>
              </w:rPr>
              <w:t>97,47</w:t>
            </w:r>
          </w:p>
        </w:tc>
        <w:tc>
          <w:tcPr>
            <w:tcW w:w="428" w:type="pct"/>
            <w:tcBorders>
              <w:top w:val="nil"/>
              <w:left w:val="nil"/>
              <w:bottom w:val="single" w:sz="4" w:space="0" w:color="000000"/>
              <w:right w:val="nil"/>
            </w:tcBorders>
            <w:shd w:val="clear" w:color="auto" w:fill="FABF8F" w:themeFill="accent6" w:themeFillTint="99"/>
            <w:vAlign w:val="center"/>
          </w:tcPr>
          <w:p w14:paraId="60827D78" w14:textId="77777777" w:rsidR="007C3208" w:rsidRPr="00B739A9" w:rsidRDefault="007C3208" w:rsidP="00B739A9">
            <w:pPr>
              <w:spacing w:after="0"/>
              <w:ind w:firstLine="0"/>
              <w:jc w:val="right"/>
              <w:rPr>
                <w:rFonts w:ascii="Arial" w:hAnsi="Arial" w:cs="Arial"/>
                <w:color w:val="000000"/>
                <w:sz w:val="16"/>
                <w:szCs w:val="16"/>
              </w:rPr>
            </w:pPr>
            <w:r>
              <w:rPr>
                <w:rFonts w:ascii="Arial" w:hAnsi="Arial"/>
                <w:color w:val="000000"/>
                <w:sz w:val="16"/>
              </w:rPr>
              <w:t>988,87</w:t>
            </w:r>
          </w:p>
        </w:tc>
        <w:tc>
          <w:tcPr>
            <w:tcW w:w="552" w:type="pct"/>
            <w:tcBorders>
              <w:top w:val="nil"/>
              <w:left w:val="nil"/>
              <w:bottom w:val="single" w:sz="4" w:space="0" w:color="000000"/>
              <w:right w:val="nil"/>
            </w:tcBorders>
            <w:shd w:val="clear" w:color="auto" w:fill="FABF8F" w:themeFill="accent6" w:themeFillTint="99"/>
            <w:vAlign w:val="center"/>
          </w:tcPr>
          <w:p w14:paraId="0EB8FAC1" w14:textId="77777777" w:rsidR="007C3208" w:rsidRPr="00B739A9" w:rsidRDefault="007C3208" w:rsidP="00B739A9">
            <w:pPr>
              <w:spacing w:after="0"/>
              <w:ind w:firstLine="0"/>
              <w:jc w:val="right"/>
              <w:rPr>
                <w:rFonts w:ascii="Arial" w:hAnsi="Arial" w:cs="Arial"/>
                <w:sz w:val="16"/>
                <w:szCs w:val="16"/>
              </w:rPr>
            </w:pPr>
            <w:r>
              <w:rPr>
                <w:rFonts w:ascii="Arial" w:hAnsi="Arial"/>
                <w:sz w:val="16"/>
              </w:rPr>
              <w:t>100</w:t>
            </w:r>
          </w:p>
        </w:tc>
        <w:tc>
          <w:tcPr>
            <w:tcW w:w="641" w:type="pct"/>
            <w:tcBorders>
              <w:top w:val="nil"/>
              <w:left w:val="nil"/>
              <w:bottom w:val="single" w:sz="4" w:space="0" w:color="000000"/>
              <w:right w:val="nil"/>
            </w:tcBorders>
            <w:shd w:val="clear" w:color="auto" w:fill="FABF8F" w:themeFill="accent6" w:themeFillTint="99"/>
            <w:vAlign w:val="center"/>
          </w:tcPr>
          <w:p w14:paraId="1AAB4928" w14:textId="77777777" w:rsidR="007C3208" w:rsidRPr="00B739A9" w:rsidRDefault="007C3208" w:rsidP="00B739A9">
            <w:pPr>
              <w:spacing w:after="0"/>
              <w:ind w:firstLine="0"/>
              <w:jc w:val="right"/>
              <w:rPr>
                <w:rFonts w:ascii="Arial" w:hAnsi="Arial" w:cs="Arial"/>
                <w:color w:val="000000"/>
                <w:sz w:val="16"/>
                <w:szCs w:val="16"/>
              </w:rPr>
            </w:pPr>
            <w:r>
              <w:rPr>
                <w:rFonts w:ascii="Arial" w:hAnsi="Arial"/>
                <w:color w:val="000000"/>
                <w:sz w:val="16"/>
              </w:rPr>
              <w:t>111,25</w:t>
            </w:r>
          </w:p>
        </w:tc>
        <w:tc>
          <w:tcPr>
            <w:tcW w:w="637" w:type="pct"/>
            <w:tcBorders>
              <w:top w:val="nil"/>
              <w:left w:val="nil"/>
              <w:bottom w:val="single" w:sz="4" w:space="0" w:color="000000"/>
              <w:right w:val="nil"/>
            </w:tcBorders>
            <w:shd w:val="clear" w:color="auto" w:fill="FABF8F" w:themeFill="accent6" w:themeFillTint="99"/>
            <w:vAlign w:val="center"/>
          </w:tcPr>
          <w:p w14:paraId="415384D1" w14:textId="77777777" w:rsidR="007C3208" w:rsidRPr="00B739A9" w:rsidRDefault="007C3208" w:rsidP="00B739A9">
            <w:pPr>
              <w:spacing w:after="0"/>
              <w:jc w:val="right"/>
              <w:rPr>
                <w:rFonts w:ascii="Arial" w:hAnsi="Arial" w:cs="Arial"/>
                <w:color w:val="000000"/>
                <w:sz w:val="16"/>
                <w:szCs w:val="16"/>
              </w:rPr>
            </w:pPr>
            <w:r>
              <w:rPr>
                <w:rFonts w:ascii="Arial" w:hAnsi="Arial"/>
                <w:color w:val="000000"/>
                <w:sz w:val="16"/>
              </w:rPr>
              <w:t>13</w:t>
            </w:r>
          </w:p>
        </w:tc>
      </w:tr>
    </w:tbl>
    <w:p w14:paraId="62431CDC" w14:textId="77777777" w:rsidR="007C3208" w:rsidRPr="00033257" w:rsidRDefault="007C3208" w:rsidP="007C3208">
      <w:pPr>
        <w:pStyle w:val="texto"/>
        <w:spacing w:after="40"/>
        <w:jc w:val="right"/>
        <w:rPr>
          <w:rFonts w:ascii="Arial Narrow" w:hAnsi="Arial Narrow"/>
          <w:color w:val="000000" w:themeColor="text1"/>
          <w:sz w:val="18"/>
          <w:szCs w:val="18"/>
        </w:rPr>
      </w:pPr>
    </w:p>
    <w:p w14:paraId="062209F7" w14:textId="45CDCF80" w:rsidR="007C3208" w:rsidRPr="00033257" w:rsidRDefault="007C3208" w:rsidP="00B739A9">
      <w:pPr>
        <w:pStyle w:val="texto"/>
        <w:spacing w:before="120"/>
        <w:rPr>
          <w:color w:val="000000" w:themeColor="text1"/>
        </w:rPr>
      </w:pPr>
      <w:r>
        <w:rPr>
          <w:color w:val="000000" w:themeColor="text1"/>
        </w:rPr>
        <w:t>Datu bateratuek erakusten dute “Ongizate komunitarioaren” eta “Zerbitzu orokorren” arloko politikek biltzen dituztela gastu handienak, guztizkoaren ehuneko 19 eta 11, hurrenez hurren. Ondoren, “Hezkuntza”, “Etxebizitza eta hirigintza” eta “Gizarte zerbitzuak eta gizarte sustapena” politikak daude; horietako bakoitza guztizko gastuaren ehuneko zortzi da.</w:t>
      </w:r>
    </w:p>
    <w:p w14:paraId="75788B5C" w14:textId="77777777" w:rsidR="00EC4C05" w:rsidRPr="00033257" w:rsidRDefault="00EC4C05" w:rsidP="007C3208">
      <w:pPr>
        <w:pStyle w:val="texto"/>
        <w:spacing w:after="120"/>
        <w:rPr>
          <w:color w:val="000000" w:themeColor="text1"/>
        </w:rPr>
      </w:pPr>
      <w:r>
        <w:rPr>
          <w:color w:val="000000" w:themeColor="text1"/>
        </w:rPr>
        <w:t>“Ongizate komunitarioaren” politikako finkatutako gastuaren ehuneko 45 hondakinen bilketa, kudeaketa eta tratamenduari dagokio, eta ehuneko 23 edateko uraren etxez etxeko hornidurari. Politika horretan sartzen dira, halaber, argiteria publikoko, bide garbiketako eta estolderiako gastuak, besteak beste.</w:t>
      </w:r>
    </w:p>
    <w:p w14:paraId="49631DE6" w14:textId="77777777" w:rsidR="007947DB" w:rsidRPr="00033257" w:rsidRDefault="007C3208" w:rsidP="007C3208">
      <w:pPr>
        <w:pStyle w:val="texto"/>
        <w:spacing w:after="120"/>
        <w:rPr>
          <w:color w:val="000000" w:themeColor="text1"/>
        </w:rPr>
      </w:pPr>
      <w:r>
        <w:rPr>
          <w:color w:val="000000" w:themeColor="text1"/>
        </w:rPr>
        <w:lastRenderedPageBreak/>
        <w:t>Urte arteko alderaketan, deigarria da “Ongizate komunitarioa” eta “Etxebizitza eta hirigintza” arloetan izandako gastu hazkundeak, batez ere kapital gastuaren bilakaerari dagozkionak, bai eta “Hezkuntzan” izandakoak ere, gastu arruntaren eta kapital gastuaren artean zati ia berdinetan banatuta.</w:t>
      </w:r>
    </w:p>
    <w:p w14:paraId="16287F21" w14:textId="77777777" w:rsidR="00E72E7F" w:rsidRPr="00033257" w:rsidRDefault="00E72E7F" w:rsidP="00B739A9">
      <w:pPr>
        <w:pStyle w:val="texto"/>
        <w:spacing w:after="0"/>
        <w:rPr>
          <w:color w:val="000000" w:themeColor="text1"/>
        </w:rPr>
      </w:pPr>
    </w:p>
    <w:p w14:paraId="7500368A" w14:textId="113366C7" w:rsidR="002A4BE9" w:rsidRPr="00033257" w:rsidRDefault="002A4BE9" w:rsidP="00F56DDD">
      <w:pPr>
        <w:pStyle w:val="atitulo2"/>
      </w:pPr>
      <w:bookmarkStart w:id="73" w:name="_Toc465686690"/>
      <w:bookmarkStart w:id="74" w:name="_Toc529773884"/>
      <w:bookmarkStart w:id="75" w:name="_Toc24100145"/>
      <w:bookmarkStart w:id="76" w:name="_Toc52348293"/>
      <w:bookmarkStart w:id="77" w:name="_Toc123547409"/>
      <w:bookmarkStart w:id="78" w:name="_Toc151635600"/>
      <w:r>
        <w:t>VI.3</w:t>
      </w:r>
      <w:bookmarkEnd w:id="73"/>
      <w:r>
        <w:t xml:space="preserve"> Adierazleak</w:t>
      </w:r>
      <w:bookmarkEnd w:id="74"/>
      <w:bookmarkEnd w:id="75"/>
      <w:bookmarkEnd w:id="76"/>
      <w:bookmarkEnd w:id="77"/>
      <w:bookmarkEnd w:id="78"/>
    </w:p>
    <w:p w14:paraId="7F597901" w14:textId="77777777" w:rsidR="002A4BE9" w:rsidRPr="00033257" w:rsidRDefault="002A4BE9" w:rsidP="007F034F">
      <w:pPr>
        <w:pStyle w:val="texto"/>
        <w:spacing w:after="240"/>
        <w:rPr>
          <w:color w:val="000000" w:themeColor="text1"/>
        </w:rPr>
      </w:pPr>
      <w:r>
        <w:rPr>
          <w:color w:val="000000" w:themeColor="text1"/>
        </w:rPr>
        <w:t>Beheko taulan, toki sektore publikoan gastatutako 100 euroko kopuru bakoitzaren banaketa erakusten dugu, bai eta finantzaketa ere, sozietateen bateratzea kontuan hartu gabe:</w:t>
      </w:r>
    </w:p>
    <w:tbl>
      <w:tblPr>
        <w:tblW w:w="8953" w:type="dxa"/>
        <w:jc w:val="center"/>
        <w:tblBorders>
          <w:top w:val="single" w:sz="4" w:space="0" w:color="auto"/>
          <w:bottom w:val="single" w:sz="4" w:space="0" w:color="auto"/>
          <w:insideH w:val="single" w:sz="2" w:space="0" w:color="auto"/>
        </w:tblBorders>
        <w:tblLook w:val="01E0" w:firstRow="1" w:lastRow="1" w:firstColumn="1" w:lastColumn="1" w:noHBand="0" w:noVBand="0"/>
      </w:tblPr>
      <w:tblGrid>
        <w:gridCol w:w="2444"/>
        <w:gridCol w:w="641"/>
        <w:gridCol w:w="641"/>
        <w:gridCol w:w="641"/>
        <w:gridCol w:w="2546"/>
        <w:gridCol w:w="641"/>
        <w:gridCol w:w="692"/>
        <w:gridCol w:w="707"/>
      </w:tblGrid>
      <w:tr w:rsidR="007F034F" w:rsidRPr="00B739A9" w14:paraId="5A5C562D" w14:textId="77777777" w:rsidTr="00B739A9">
        <w:trPr>
          <w:trHeight w:val="255"/>
          <w:jc w:val="center"/>
        </w:trPr>
        <w:tc>
          <w:tcPr>
            <w:tcW w:w="2494" w:type="dxa"/>
            <w:shd w:val="clear" w:color="auto" w:fill="FABF8F" w:themeFill="accent6" w:themeFillTint="99"/>
            <w:vAlign w:val="center"/>
          </w:tcPr>
          <w:p w14:paraId="3C19CD9E" w14:textId="77777777" w:rsidR="007F034F" w:rsidRPr="00B739A9" w:rsidRDefault="007F034F" w:rsidP="007F034F">
            <w:pPr>
              <w:pStyle w:val="cuadroCabe"/>
              <w:spacing w:line="240" w:lineRule="auto"/>
              <w:rPr>
                <w:rFonts w:cs="Arial"/>
                <w:szCs w:val="18"/>
              </w:rPr>
            </w:pPr>
            <w:r>
              <w:t>Gastuaren izaera</w:t>
            </w:r>
          </w:p>
        </w:tc>
        <w:tc>
          <w:tcPr>
            <w:tcW w:w="612" w:type="dxa"/>
            <w:shd w:val="clear" w:color="auto" w:fill="FABF8F" w:themeFill="accent6" w:themeFillTint="99"/>
            <w:vAlign w:val="center"/>
          </w:tcPr>
          <w:p w14:paraId="26C68D88" w14:textId="77777777" w:rsidR="007F034F" w:rsidRPr="00B739A9" w:rsidRDefault="007F034F" w:rsidP="007F034F">
            <w:pPr>
              <w:pStyle w:val="cuadroCabe"/>
              <w:spacing w:line="240" w:lineRule="auto"/>
              <w:jc w:val="right"/>
              <w:rPr>
                <w:rFonts w:cs="Arial"/>
                <w:szCs w:val="18"/>
              </w:rPr>
            </w:pPr>
            <w:r>
              <w:t>2019</w:t>
            </w:r>
          </w:p>
        </w:tc>
        <w:tc>
          <w:tcPr>
            <w:tcW w:w="605" w:type="dxa"/>
            <w:shd w:val="clear" w:color="auto" w:fill="FABF8F" w:themeFill="accent6" w:themeFillTint="99"/>
            <w:vAlign w:val="center"/>
          </w:tcPr>
          <w:p w14:paraId="12406FD9" w14:textId="77777777" w:rsidR="007F034F" w:rsidRPr="00B739A9" w:rsidRDefault="007F034F" w:rsidP="007F034F">
            <w:pPr>
              <w:pStyle w:val="cuadroCabe"/>
              <w:spacing w:line="240" w:lineRule="auto"/>
              <w:jc w:val="right"/>
              <w:rPr>
                <w:rFonts w:cs="Arial"/>
                <w:szCs w:val="18"/>
              </w:rPr>
            </w:pPr>
            <w:r>
              <w:t>2020</w:t>
            </w:r>
          </w:p>
        </w:tc>
        <w:tc>
          <w:tcPr>
            <w:tcW w:w="637" w:type="dxa"/>
            <w:tcBorders>
              <w:top w:val="single" w:sz="4" w:space="0" w:color="auto"/>
              <w:bottom w:val="single" w:sz="2" w:space="0" w:color="auto"/>
              <w:right w:val="single" w:sz="4" w:space="0" w:color="auto"/>
            </w:tcBorders>
            <w:shd w:val="clear" w:color="auto" w:fill="FABF8F" w:themeFill="accent6" w:themeFillTint="99"/>
            <w:vAlign w:val="center"/>
          </w:tcPr>
          <w:p w14:paraId="007151C5" w14:textId="77777777" w:rsidR="007F034F" w:rsidRPr="00B739A9" w:rsidRDefault="007F034F" w:rsidP="007F034F">
            <w:pPr>
              <w:pStyle w:val="cuadroCabe"/>
              <w:spacing w:line="240" w:lineRule="auto"/>
              <w:jc w:val="right"/>
              <w:rPr>
                <w:rFonts w:cs="Arial"/>
                <w:szCs w:val="18"/>
              </w:rPr>
            </w:pPr>
            <w:r>
              <w:t>2021</w:t>
            </w:r>
          </w:p>
        </w:tc>
        <w:tc>
          <w:tcPr>
            <w:tcW w:w="2598" w:type="dxa"/>
            <w:tcBorders>
              <w:left w:val="single" w:sz="4" w:space="0" w:color="auto"/>
            </w:tcBorders>
            <w:shd w:val="clear" w:color="auto" w:fill="FABF8F" w:themeFill="accent6" w:themeFillTint="99"/>
            <w:vAlign w:val="center"/>
          </w:tcPr>
          <w:p w14:paraId="20EC0789" w14:textId="77777777" w:rsidR="007F034F" w:rsidRPr="00B739A9" w:rsidRDefault="007F034F" w:rsidP="007F034F">
            <w:pPr>
              <w:pStyle w:val="cuadroCabe"/>
              <w:spacing w:line="240" w:lineRule="auto"/>
              <w:rPr>
                <w:rFonts w:cs="Arial"/>
                <w:szCs w:val="18"/>
              </w:rPr>
            </w:pPr>
            <w:r>
              <w:t>Finantzaketa iturria</w:t>
            </w:r>
          </w:p>
        </w:tc>
        <w:tc>
          <w:tcPr>
            <w:tcW w:w="605" w:type="dxa"/>
            <w:shd w:val="clear" w:color="auto" w:fill="FABF8F" w:themeFill="accent6" w:themeFillTint="99"/>
            <w:vAlign w:val="center"/>
          </w:tcPr>
          <w:p w14:paraId="190286A4" w14:textId="77777777" w:rsidR="007F034F" w:rsidRPr="00B739A9" w:rsidRDefault="007F034F" w:rsidP="007F034F">
            <w:pPr>
              <w:pStyle w:val="cuadroCabe"/>
              <w:spacing w:line="240" w:lineRule="auto"/>
              <w:jc w:val="right"/>
              <w:rPr>
                <w:rFonts w:cs="Arial"/>
                <w:szCs w:val="18"/>
              </w:rPr>
            </w:pPr>
            <w:r>
              <w:t>2019</w:t>
            </w:r>
          </w:p>
        </w:tc>
        <w:tc>
          <w:tcPr>
            <w:tcW w:w="693" w:type="dxa"/>
            <w:shd w:val="clear" w:color="auto" w:fill="FABF8F" w:themeFill="accent6" w:themeFillTint="99"/>
            <w:vAlign w:val="center"/>
          </w:tcPr>
          <w:p w14:paraId="0D42C9D5" w14:textId="77777777" w:rsidR="007F034F" w:rsidRPr="00B739A9" w:rsidRDefault="007F034F" w:rsidP="007F034F">
            <w:pPr>
              <w:pStyle w:val="cuadroCabe"/>
              <w:spacing w:line="240" w:lineRule="auto"/>
              <w:jc w:val="right"/>
              <w:rPr>
                <w:rFonts w:cs="Arial"/>
                <w:szCs w:val="18"/>
              </w:rPr>
            </w:pPr>
            <w:r>
              <w:t>2020</w:t>
            </w:r>
          </w:p>
        </w:tc>
        <w:tc>
          <w:tcPr>
            <w:tcW w:w="709" w:type="dxa"/>
            <w:shd w:val="clear" w:color="auto" w:fill="FABF8F" w:themeFill="accent6" w:themeFillTint="99"/>
            <w:vAlign w:val="center"/>
          </w:tcPr>
          <w:p w14:paraId="55BFB259" w14:textId="77777777" w:rsidR="007F034F" w:rsidRPr="00B739A9" w:rsidRDefault="007F034F" w:rsidP="007F034F">
            <w:pPr>
              <w:pStyle w:val="cuadroCabe"/>
              <w:spacing w:line="240" w:lineRule="auto"/>
              <w:jc w:val="right"/>
              <w:rPr>
                <w:rFonts w:cs="Arial"/>
                <w:szCs w:val="18"/>
              </w:rPr>
            </w:pPr>
            <w:r>
              <w:t>2021</w:t>
            </w:r>
          </w:p>
        </w:tc>
      </w:tr>
      <w:tr w:rsidR="007F034F" w:rsidRPr="00033257" w14:paraId="75F888F9" w14:textId="77777777" w:rsidTr="00B739A9">
        <w:trPr>
          <w:trHeight w:val="255"/>
          <w:jc w:val="center"/>
        </w:trPr>
        <w:tc>
          <w:tcPr>
            <w:tcW w:w="2494" w:type="dxa"/>
            <w:vAlign w:val="center"/>
          </w:tcPr>
          <w:p w14:paraId="759CABFD" w14:textId="77777777" w:rsidR="007F034F" w:rsidRPr="00033257" w:rsidRDefault="007F034F" w:rsidP="007F034F">
            <w:pPr>
              <w:pStyle w:val="cuatexto"/>
              <w:spacing w:line="240" w:lineRule="auto"/>
              <w:rPr>
                <w:szCs w:val="20"/>
              </w:rPr>
            </w:pPr>
            <w:r>
              <w:t>Langileak</w:t>
            </w:r>
          </w:p>
        </w:tc>
        <w:tc>
          <w:tcPr>
            <w:tcW w:w="612" w:type="dxa"/>
            <w:vAlign w:val="center"/>
          </w:tcPr>
          <w:p w14:paraId="1EA9D8CF" w14:textId="77777777" w:rsidR="007F034F" w:rsidRPr="00033257" w:rsidRDefault="007F034F" w:rsidP="007F034F">
            <w:pPr>
              <w:pStyle w:val="cuatexto"/>
              <w:spacing w:line="240" w:lineRule="auto"/>
              <w:jc w:val="right"/>
              <w:rPr>
                <w:szCs w:val="20"/>
              </w:rPr>
            </w:pPr>
            <w:r>
              <w:t>34</w:t>
            </w:r>
          </w:p>
        </w:tc>
        <w:tc>
          <w:tcPr>
            <w:tcW w:w="605" w:type="dxa"/>
            <w:vAlign w:val="center"/>
          </w:tcPr>
          <w:p w14:paraId="347BE502" w14:textId="77777777" w:rsidR="007F034F" w:rsidRPr="00033257" w:rsidRDefault="007F034F" w:rsidP="007F034F">
            <w:pPr>
              <w:pStyle w:val="cuatexto"/>
              <w:spacing w:line="240" w:lineRule="auto"/>
              <w:jc w:val="right"/>
              <w:rPr>
                <w:szCs w:val="20"/>
              </w:rPr>
            </w:pPr>
            <w:r>
              <w:t>39</w:t>
            </w:r>
          </w:p>
        </w:tc>
        <w:tc>
          <w:tcPr>
            <w:tcW w:w="637" w:type="dxa"/>
            <w:tcBorders>
              <w:top w:val="single" w:sz="2" w:space="0" w:color="auto"/>
              <w:bottom w:val="single" w:sz="2" w:space="0" w:color="auto"/>
              <w:right w:val="single" w:sz="4" w:space="0" w:color="auto"/>
            </w:tcBorders>
            <w:vAlign w:val="center"/>
          </w:tcPr>
          <w:p w14:paraId="5AFB958C" w14:textId="77777777" w:rsidR="007F034F" w:rsidRPr="00033257" w:rsidRDefault="007F034F" w:rsidP="007F034F">
            <w:pPr>
              <w:pStyle w:val="cuatexto"/>
              <w:spacing w:line="240" w:lineRule="auto"/>
              <w:jc w:val="right"/>
              <w:rPr>
                <w:szCs w:val="20"/>
              </w:rPr>
            </w:pPr>
            <w:r>
              <w:t>36</w:t>
            </w:r>
          </w:p>
        </w:tc>
        <w:tc>
          <w:tcPr>
            <w:tcW w:w="2598" w:type="dxa"/>
            <w:tcBorders>
              <w:left w:val="single" w:sz="4" w:space="0" w:color="auto"/>
            </w:tcBorders>
            <w:vAlign w:val="center"/>
          </w:tcPr>
          <w:p w14:paraId="13191017" w14:textId="77777777" w:rsidR="007F034F" w:rsidRPr="00033257" w:rsidRDefault="007F034F" w:rsidP="007F034F">
            <w:pPr>
              <w:pStyle w:val="cuatexto"/>
              <w:spacing w:line="240" w:lineRule="auto"/>
              <w:rPr>
                <w:szCs w:val="20"/>
              </w:rPr>
            </w:pPr>
            <w:r>
              <w:t>Zerga bidezko diru-sarrerak</w:t>
            </w:r>
          </w:p>
        </w:tc>
        <w:tc>
          <w:tcPr>
            <w:tcW w:w="605" w:type="dxa"/>
            <w:vAlign w:val="center"/>
          </w:tcPr>
          <w:p w14:paraId="43FBD11F" w14:textId="77777777" w:rsidR="007F034F" w:rsidRPr="00033257" w:rsidRDefault="007F034F" w:rsidP="007F034F">
            <w:pPr>
              <w:pStyle w:val="cuatexto"/>
              <w:spacing w:line="240" w:lineRule="auto"/>
              <w:jc w:val="right"/>
              <w:rPr>
                <w:szCs w:val="20"/>
              </w:rPr>
            </w:pPr>
            <w:r>
              <w:t>45</w:t>
            </w:r>
          </w:p>
        </w:tc>
        <w:tc>
          <w:tcPr>
            <w:tcW w:w="693" w:type="dxa"/>
            <w:vAlign w:val="center"/>
          </w:tcPr>
          <w:p w14:paraId="64397A95" w14:textId="77777777" w:rsidR="007F034F" w:rsidRPr="00033257" w:rsidRDefault="007F034F" w:rsidP="007F034F">
            <w:pPr>
              <w:pStyle w:val="cuatexto"/>
              <w:spacing w:line="240" w:lineRule="auto"/>
              <w:jc w:val="right"/>
              <w:rPr>
                <w:szCs w:val="20"/>
              </w:rPr>
            </w:pPr>
            <w:r>
              <w:t>44</w:t>
            </w:r>
          </w:p>
        </w:tc>
        <w:tc>
          <w:tcPr>
            <w:tcW w:w="709" w:type="dxa"/>
            <w:vAlign w:val="center"/>
          </w:tcPr>
          <w:p w14:paraId="7DED4AF3" w14:textId="77777777" w:rsidR="007F034F" w:rsidRPr="00033257" w:rsidRDefault="007F034F" w:rsidP="007F034F">
            <w:pPr>
              <w:pStyle w:val="cuadroCabe"/>
              <w:spacing w:line="240" w:lineRule="auto"/>
              <w:jc w:val="right"/>
              <w:rPr>
                <w:rFonts w:ascii="Arial Narrow" w:hAnsi="Arial Narrow"/>
                <w:sz w:val="20"/>
                <w:szCs w:val="20"/>
              </w:rPr>
            </w:pPr>
            <w:r>
              <w:rPr>
                <w:rFonts w:ascii="Arial Narrow" w:hAnsi="Arial Narrow"/>
                <w:sz w:val="20"/>
              </w:rPr>
              <w:t>45</w:t>
            </w:r>
          </w:p>
        </w:tc>
      </w:tr>
      <w:tr w:rsidR="007F034F" w:rsidRPr="00033257" w14:paraId="5732478A" w14:textId="77777777" w:rsidTr="00B739A9">
        <w:trPr>
          <w:trHeight w:val="255"/>
          <w:jc w:val="center"/>
        </w:trPr>
        <w:tc>
          <w:tcPr>
            <w:tcW w:w="2494" w:type="dxa"/>
            <w:vAlign w:val="center"/>
          </w:tcPr>
          <w:p w14:paraId="150E767A" w14:textId="77777777" w:rsidR="007F034F" w:rsidRPr="00033257" w:rsidRDefault="007F034F" w:rsidP="007F034F">
            <w:pPr>
              <w:pStyle w:val="cuatexto"/>
              <w:spacing w:line="240" w:lineRule="auto"/>
              <w:rPr>
                <w:szCs w:val="20"/>
              </w:rPr>
            </w:pPr>
            <w:r>
              <w:t>Ondasun arruntak eta zerbitzuak</w:t>
            </w:r>
          </w:p>
        </w:tc>
        <w:tc>
          <w:tcPr>
            <w:tcW w:w="612" w:type="dxa"/>
            <w:vAlign w:val="center"/>
          </w:tcPr>
          <w:p w14:paraId="434292C4" w14:textId="77777777" w:rsidR="007F034F" w:rsidRPr="00033257" w:rsidRDefault="007F034F" w:rsidP="007F034F">
            <w:pPr>
              <w:pStyle w:val="cuatexto"/>
              <w:spacing w:line="240" w:lineRule="auto"/>
              <w:jc w:val="right"/>
              <w:rPr>
                <w:szCs w:val="20"/>
              </w:rPr>
            </w:pPr>
            <w:r>
              <w:t>32</w:t>
            </w:r>
          </w:p>
        </w:tc>
        <w:tc>
          <w:tcPr>
            <w:tcW w:w="605" w:type="dxa"/>
            <w:vAlign w:val="center"/>
          </w:tcPr>
          <w:p w14:paraId="1A5C49E1" w14:textId="77777777" w:rsidR="007F034F" w:rsidRPr="00033257" w:rsidRDefault="007F034F" w:rsidP="007F034F">
            <w:pPr>
              <w:pStyle w:val="cuatexto"/>
              <w:spacing w:line="240" w:lineRule="auto"/>
              <w:jc w:val="right"/>
              <w:rPr>
                <w:szCs w:val="20"/>
              </w:rPr>
            </w:pPr>
            <w:r>
              <w:t>32</w:t>
            </w:r>
          </w:p>
        </w:tc>
        <w:tc>
          <w:tcPr>
            <w:tcW w:w="637" w:type="dxa"/>
            <w:tcBorders>
              <w:top w:val="single" w:sz="2" w:space="0" w:color="auto"/>
              <w:bottom w:val="single" w:sz="2" w:space="0" w:color="auto"/>
              <w:right w:val="single" w:sz="4" w:space="0" w:color="auto"/>
            </w:tcBorders>
            <w:vAlign w:val="center"/>
          </w:tcPr>
          <w:p w14:paraId="7CE58F48" w14:textId="77777777" w:rsidR="007F034F" w:rsidRPr="00033257" w:rsidRDefault="007F034F" w:rsidP="007F034F">
            <w:pPr>
              <w:pStyle w:val="cuatexto"/>
              <w:spacing w:line="240" w:lineRule="auto"/>
              <w:jc w:val="right"/>
              <w:rPr>
                <w:szCs w:val="20"/>
              </w:rPr>
            </w:pPr>
            <w:r>
              <w:t>33</w:t>
            </w:r>
          </w:p>
        </w:tc>
        <w:tc>
          <w:tcPr>
            <w:tcW w:w="2598" w:type="dxa"/>
            <w:tcBorders>
              <w:left w:val="single" w:sz="4" w:space="0" w:color="auto"/>
            </w:tcBorders>
            <w:vAlign w:val="center"/>
          </w:tcPr>
          <w:p w14:paraId="44AADE69" w14:textId="77777777" w:rsidR="007F034F" w:rsidRPr="00033257" w:rsidRDefault="007F034F" w:rsidP="007F034F">
            <w:pPr>
              <w:pStyle w:val="cuatexto"/>
              <w:spacing w:line="240" w:lineRule="auto"/>
              <w:rPr>
                <w:szCs w:val="20"/>
              </w:rPr>
            </w:pPr>
            <w:r>
              <w:t>Transferentziengatiko diru-sarrerak</w:t>
            </w:r>
          </w:p>
        </w:tc>
        <w:tc>
          <w:tcPr>
            <w:tcW w:w="605" w:type="dxa"/>
            <w:vAlign w:val="center"/>
          </w:tcPr>
          <w:p w14:paraId="6089FD39" w14:textId="77777777" w:rsidR="007F034F" w:rsidRPr="00033257" w:rsidRDefault="007F034F" w:rsidP="007F034F">
            <w:pPr>
              <w:pStyle w:val="cuatexto"/>
              <w:spacing w:line="240" w:lineRule="auto"/>
              <w:jc w:val="right"/>
              <w:rPr>
                <w:szCs w:val="20"/>
              </w:rPr>
            </w:pPr>
            <w:r>
              <w:t>48</w:t>
            </w:r>
          </w:p>
        </w:tc>
        <w:tc>
          <w:tcPr>
            <w:tcW w:w="693" w:type="dxa"/>
            <w:vAlign w:val="center"/>
          </w:tcPr>
          <w:p w14:paraId="68861898" w14:textId="77777777" w:rsidR="007F034F" w:rsidRPr="00033257" w:rsidRDefault="007F034F" w:rsidP="007F034F">
            <w:pPr>
              <w:pStyle w:val="cuatexto"/>
              <w:spacing w:line="240" w:lineRule="auto"/>
              <w:jc w:val="right"/>
              <w:rPr>
                <w:szCs w:val="20"/>
              </w:rPr>
            </w:pPr>
            <w:r>
              <w:t>50</w:t>
            </w:r>
          </w:p>
        </w:tc>
        <w:tc>
          <w:tcPr>
            <w:tcW w:w="709" w:type="dxa"/>
            <w:vAlign w:val="center"/>
          </w:tcPr>
          <w:p w14:paraId="763AF537" w14:textId="77777777" w:rsidR="007F034F" w:rsidRPr="00033257" w:rsidRDefault="007F034F" w:rsidP="007F034F">
            <w:pPr>
              <w:pStyle w:val="cuadroCabe"/>
              <w:spacing w:line="240" w:lineRule="auto"/>
              <w:jc w:val="right"/>
              <w:rPr>
                <w:rFonts w:ascii="Arial Narrow" w:hAnsi="Arial Narrow"/>
                <w:sz w:val="20"/>
                <w:szCs w:val="20"/>
              </w:rPr>
            </w:pPr>
            <w:r>
              <w:rPr>
                <w:rFonts w:ascii="Arial Narrow" w:hAnsi="Arial Narrow"/>
                <w:sz w:val="20"/>
              </w:rPr>
              <w:t>47</w:t>
            </w:r>
          </w:p>
        </w:tc>
      </w:tr>
      <w:tr w:rsidR="007F034F" w:rsidRPr="00033257" w14:paraId="35C47496" w14:textId="77777777" w:rsidTr="00B739A9">
        <w:trPr>
          <w:trHeight w:val="255"/>
          <w:jc w:val="center"/>
        </w:trPr>
        <w:tc>
          <w:tcPr>
            <w:tcW w:w="2494" w:type="dxa"/>
            <w:vAlign w:val="center"/>
          </w:tcPr>
          <w:p w14:paraId="20063C1D" w14:textId="77777777" w:rsidR="007F034F" w:rsidRPr="00033257" w:rsidRDefault="007F034F" w:rsidP="007F034F">
            <w:pPr>
              <w:pStyle w:val="cuatexto"/>
              <w:spacing w:line="240" w:lineRule="auto"/>
              <w:rPr>
                <w:szCs w:val="20"/>
              </w:rPr>
            </w:pPr>
            <w:r>
              <w:t>Transferentziengatiko gastuak</w:t>
            </w:r>
          </w:p>
        </w:tc>
        <w:tc>
          <w:tcPr>
            <w:tcW w:w="612" w:type="dxa"/>
            <w:vAlign w:val="center"/>
          </w:tcPr>
          <w:p w14:paraId="22F65FF9" w14:textId="77777777" w:rsidR="007F034F" w:rsidRPr="00033257" w:rsidRDefault="007F034F" w:rsidP="007F034F">
            <w:pPr>
              <w:pStyle w:val="cuatexto"/>
              <w:spacing w:line="240" w:lineRule="auto"/>
              <w:jc w:val="right"/>
              <w:rPr>
                <w:szCs w:val="20"/>
              </w:rPr>
            </w:pPr>
            <w:r>
              <w:t>10</w:t>
            </w:r>
          </w:p>
        </w:tc>
        <w:tc>
          <w:tcPr>
            <w:tcW w:w="605" w:type="dxa"/>
            <w:vAlign w:val="center"/>
          </w:tcPr>
          <w:p w14:paraId="46335038" w14:textId="77777777" w:rsidR="007F034F" w:rsidRPr="00033257" w:rsidRDefault="007F034F" w:rsidP="007F034F">
            <w:pPr>
              <w:pStyle w:val="cuatexto"/>
              <w:spacing w:line="240" w:lineRule="auto"/>
              <w:jc w:val="right"/>
              <w:rPr>
                <w:szCs w:val="20"/>
              </w:rPr>
            </w:pPr>
            <w:r>
              <w:t>11</w:t>
            </w:r>
          </w:p>
        </w:tc>
        <w:tc>
          <w:tcPr>
            <w:tcW w:w="637" w:type="dxa"/>
            <w:tcBorders>
              <w:top w:val="single" w:sz="2" w:space="0" w:color="auto"/>
              <w:bottom w:val="single" w:sz="2" w:space="0" w:color="auto"/>
              <w:right w:val="single" w:sz="4" w:space="0" w:color="auto"/>
            </w:tcBorders>
            <w:vAlign w:val="center"/>
          </w:tcPr>
          <w:p w14:paraId="734B4ECA" w14:textId="77777777" w:rsidR="007F034F" w:rsidRPr="00033257" w:rsidRDefault="007F034F" w:rsidP="007F034F">
            <w:pPr>
              <w:pStyle w:val="cuatexto"/>
              <w:spacing w:line="240" w:lineRule="auto"/>
              <w:jc w:val="right"/>
              <w:rPr>
                <w:szCs w:val="20"/>
              </w:rPr>
            </w:pPr>
            <w:r>
              <w:t>11</w:t>
            </w:r>
          </w:p>
        </w:tc>
        <w:tc>
          <w:tcPr>
            <w:tcW w:w="2598" w:type="dxa"/>
            <w:tcBorders>
              <w:left w:val="single" w:sz="4" w:space="0" w:color="auto"/>
            </w:tcBorders>
            <w:vAlign w:val="center"/>
          </w:tcPr>
          <w:p w14:paraId="74537823" w14:textId="77777777" w:rsidR="007F034F" w:rsidRPr="00033257" w:rsidRDefault="007F034F" w:rsidP="00E72E7F">
            <w:pPr>
              <w:pStyle w:val="cuatexto"/>
              <w:spacing w:line="240" w:lineRule="auto"/>
              <w:rPr>
                <w:szCs w:val="20"/>
              </w:rPr>
            </w:pPr>
            <w:r>
              <w:t>Ondare bidezko diru-sarrerak eta bestelakoak</w:t>
            </w:r>
          </w:p>
        </w:tc>
        <w:tc>
          <w:tcPr>
            <w:tcW w:w="605" w:type="dxa"/>
            <w:vAlign w:val="center"/>
          </w:tcPr>
          <w:p w14:paraId="73004FEB" w14:textId="77777777" w:rsidR="007F034F" w:rsidRPr="00033257" w:rsidRDefault="007F034F" w:rsidP="007F034F">
            <w:pPr>
              <w:pStyle w:val="cuatexto"/>
              <w:spacing w:line="240" w:lineRule="auto"/>
              <w:jc w:val="right"/>
              <w:rPr>
                <w:szCs w:val="20"/>
              </w:rPr>
            </w:pPr>
            <w:r>
              <w:t>6</w:t>
            </w:r>
          </w:p>
        </w:tc>
        <w:tc>
          <w:tcPr>
            <w:tcW w:w="693" w:type="dxa"/>
            <w:vAlign w:val="center"/>
          </w:tcPr>
          <w:p w14:paraId="3BC2995D" w14:textId="77777777" w:rsidR="007F034F" w:rsidRPr="00033257" w:rsidRDefault="007F034F" w:rsidP="007F034F">
            <w:pPr>
              <w:pStyle w:val="cuatexto"/>
              <w:spacing w:line="240" w:lineRule="auto"/>
              <w:jc w:val="right"/>
              <w:rPr>
                <w:szCs w:val="20"/>
              </w:rPr>
            </w:pPr>
            <w:r>
              <w:t>4</w:t>
            </w:r>
          </w:p>
        </w:tc>
        <w:tc>
          <w:tcPr>
            <w:tcW w:w="709" w:type="dxa"/>
            <w:vAlign w:val="center"/>
          </w:tcPr>
          <w:p w14:paraId="53A562C3" w14:textId="77777777" w:rsidR="007F034F" w:rsidRPr="00033257" w:rsidRDefault="007F034F" w:rsidP="007F034F">
            <w:pPr>
              <w:pStyle w:val="cuadroCabe"/>
              <w:spacing w:line="240" w:lineRule="auto"/>
              <w:jc w:val="right"/>
              <w:rPr>
                <w:rFonts w:ascii="Arial Narrow" w:hAnsi="Arial Narrow"/>
                <w:sz w:val="20"/>
                <w:szCs w:val="20"/>
              </w:rPr>
            </w:pPr>
            <w:r>
              <w:rPr>
                <w:rFonts w:ascii="Arial Narrow" w:hAnsi="Arial Narrow"/>
                <w:sz w:val="20"/>
              </w:rPr>
              <w:t>6</w:t>
            </w:r>
          </w:p>
        </w:tc>
      </w:tr>
      <w:tr w:rsidR="007F034F" w:rsidRPr="00033257" w14:paraId="5F715A66" w14:textId="77777777" w:rsidTr="00B739A9">
        <w:trPr>
          <w:trHeight w:val="255"/>
          <w:jc w:val="center"/>
        </w:trPr>
        <w:tc>
          <w:tcPr>
            <w:tcW w:w="2494" w:type="dxa"/>
            <w:vAlign w:val="center"/>
          </w:tcPr>
          <w:p w14:paraId="6665EDD3" w14:textId="77777777" w:rsidR="007F034F" w:rsidRPr="00033257" w:rsidRDefault="007F034F" w:rsidP="007F034F">
            <w:pPr>
              <w:pStyle w:val="cuatexto"/>
              <w:spacing w:line="240" w:lineRule="auto"/>
              <w:rPr>
                <w:szCs w:val="20"/>
              </w:rPr>
            </w:pPr>
            <w:r>
              <w:t>Inbertsio errealak</w:t>
            </w:r>
          </w:p>
        </w:tc>
        <w:tc>
          <w:tcPr>
            <w:tcW w:w="612" w:type="dxa"/>
            <w:vAlign w:val="center"/>
          </w:tcPr>
          <w:p w14:paraId="6C375A72" w14:textId="77777777" w:rsidR="007F034F" w:rsidRPr="00033257" w:rsidRDefault="007F034F" w:rsidP="007F034F">
            <w:pPr>
              <w:pStyle w:val="cuatexto"/>
              <w:spacing w:line="240" w:lineRule="auto"/>
              <w:jc w:val="right"/>
              <w:rPr>
                <w:szCs w:val="20"/>
              </w:rPr>
            </w:pPr>
            <w:r>
              <w:t>21</w:t>
            </w:r>
          </w:p>
        </w:tc>
        <w:tc>
          <w:tcPr>
            <w:tcW w:w="605" w:type="dxa"/>
            <w:vAlign w:val="center"/>
          </w:tcPr>
          <w:p w14:paraId="4B7EE69E" w14:textId="77777777" w:rsidR="007F034F" w:rsidRPr="00033257" w:rsidRDefault="007F034F" w:rsidP="007F034F">
            <w:pPr>
              <w:pStyle w:val="cuatexto"/>
              <w:spacing w:line="240" w:lineRule="auto"/>
              <w:jc w:val="right"/>
              <w:rPr>
                <w:szCs w:val="20"/>
              </w:rPr>
            </w:pPr>
            <w:r>
              <w:t>14</w:t>
            </w:r>
          </w:p>
        </w:tc>
        <w:tc>
          <w:tcPr>
            <w:tcW w:w="637" w:type="dxa"/>
            <w:tcBorders>
              <w:top w:val="single" w:sz="2" w:space="0" w:color="auto"/>
              <w:bottom w:val="single" w:sz="2" w:space="0" w:color="auto"/>
              <w:right w:val="single" w:sz="4" w:space="0" w:color="auto"/>
            </w:tcBorders>
            <w:vAlign w:val="center"/>
          </w:tcPr>
          <w:p w14:paraId="5D9857E1" w14:textId="77777777" w:rsidR="007F034F" w:rsidRPr="00033257" w:rsidRDefault="007F034F" w:rsidP="007F034F">
            <w:pPr>
              <w:pStyle w:val="cuatexto"/>
              <w:spacing w:line="240" w:lineRule="auto"/>
              <w:jc w:val="right"/>
              <w:rPr>
                <w:szCs w:val="20"/>
              </w:rPr>
            </w:pPr>
            <w:r>
              <w:t>18</w:t>
            </w:r>
          </w:p>
        </w:tc>
        <w:tc>
          <w:tcPr>
            <w:tcW w:w="2598" w:type="dxa"/>
            <w:tcBorders>
              <w:left w:val="single" w:sz="4" w:space="0" w:color="auto"/>
            </w:tcBorders>
            <w:vAlign w:val="center"/>
          </w:tcPr>
          <w:p w14:paraId="7B32674B" w14:textId="77777777" w:rsidR="007F034F" w:rsidRPr="00033257" w:rsidRDefault="007F034F" w:rsidP="007F034F">
            <w:pPr>
              <w:pStyle w:val="cuatexto"/>
              <w:spacing w:line="240" w:lineRule="auto"/>
              <w:rPr>
                <w:szCs w:val="20"/>
              </w:rPr>
            </w:pPr>
            <w:r>
              <w:t>Inbertsioak besterentzea</w:t>
            </w:r>
          </w:p>
        </w:tc>
        <w:tc>
          <w:tcPr>
            <w:tcW w:w="605" w:type="dxa"/>
            <w:vAlign w:val="center"/>
          </w:tcPr>
          <w:p w14:paraId="6B965A47" w14:textId="77777777" w:rsidR="007F034F" w:rsidRPr="00033257" w:rsidRDefault="007F034F" w:rsidP="007F034F">
            <w:pPr>
              <w:pStyle w:val="cuatexto"/>
              <w:spacing w:line="240" w:lineRule="auto"/>
              <w:jc w:val="right"/>
              <w:rPr>
                <w:szCs w:val="20"/>
              </w:rPr>
            </w:pPr>
            <w:r>
              <w:t>1</w:t>
            </w:r>
          </w:p>
        </w:tc>
        <w:tc>
          <w:tcPr>
            <w:tcW w:w="693" w:type="dxa"/>
            <w:vAlign w:val="center"/>
          </w:tcPr>
          <w:p w14:paraId="511F3AB7" w14:textId="77777777" w:rsidR="007F034F" w:rsidRPr="00033257" w:rsidRDefault="007F034F" w:rsidP="007F034F">
            <w:pPr>
              <w:pStyle w:val="cuatexto"/>
              <w:spacing w:line="240" w:lineRule="auto"/>
              <w:jc w:val="right"/>
              <w:rPr>
                <w:szCs w:val="20"/>
              </w:rPr>
            </w:pPr>
            <w:r>
              <w:t>1</w:t>
            </w:r>
          </w:p>
        </w:tc>
        <w:tc>
          <w:tcPr>
            <w:tcW w:w="709" w:type="dxa"/>
            <w:vAlign w:val="center"/>
          </w:tcPr>
          <w:p w14:paraId="39507054" w14:textId="77777777" w:rsidR="007F034F" w:rsidRPr="00033257" w:rsidRDefault="007F034F" w:rsidP="007F034F">
            <w:pPr>
              <w:pStyle w:val="cuadroCabe"/>
              <w:spacing w:line="240" w:lineRule="auto"/>
              <w:jc w:val="right"/>
              <w:rPr>
                <w:rFonts w:ascii="Arial Narrow" w:hAnsi="Arial Narrow"/>
                <w:sz w:val="20"/>
                <w:szCs w:val="20"/>
              </w:rPr>
            </w:pPr>
            <w:r>
              <w:rPr>
                <w:rFonts w:ascii="Arial Narrow" w:hAnsi="Arial Narrow"/>
                <w:sz w:val="20"/>
              </w:rPr>
              <w:t>1</w:t>
            </w:r>
          </w:p>
        </w:tc>
      </w:tr>
      <w:tr w:rsidR="007F034F" w:rsidRPr="00033257" w14:paraId="31903F0C" w14:textId="77777777" w:rsidTr="00B739A9">
        <w:trPr>
          <w:trHeight w:val="255"/>
          <w:jc w:val="center"/>
        </w:trPr>
        <w:tc>
          <w:tcPr>
            <w:tcW w:w="2494" w:type="dxa"/>
            <w:vAlign w:val="center"/>
          </w:tcPr>
          <w:p w14:paraId="649DF794" w14:textId="77777777" w:rsidR="007F034F" w:rsidRPr="00033257" w:rsidRDefault="007F034F" w:rsidP="007F034F">
            <w:pPr>
              <w:pStyle w:val="cuatexto"/>
              <w:spacing w:line="240" w:lineRule="auto"/>
              <w:rPr>
                <w:szCs w:val="20"/>
              </w:rPr>
            </w:pPr>
            <w:r>
              <w:t>Finantza-zama</w:t>
            </w:r>
          </w:p>
        </w:tc>
        <w:tc>
          <w:tcPr>
            <w:tcW w:w="612" w:type="dxa"/>
            <w:vAlign w:val="center"/>
          </w:tcPr>
          <w:p w14:paraId="3C1ED14B" w14:textId="77777777" w:rsidR="007F034F" w:rsidRPr="00033257" w:rsidRDefault="007F034F" w:rsidP="007F034F">
            <w:pPr>
              <w:pStyle w:val="cuatexto"/>
              <w:spacing w:line="240" w:lineRule="auto"/>
              <w:jc w:val="right"/>
              <w:rPr>
                <w:szCs w:val="20"/>
              </w:rPr>
            </w:pPr>
            <w:r>
              <w:t>3</w:t>
            </w:r>
          </w:p>
        </w:tc>
        <w:tc>
          <w:tcPr>
            <w:tcW w:w="605" w:type="dxa"/>
            <w:vAlign w:val="center"/>
          </w:tcPr>
          <w:p w14:paraId="7CD048C6" w14:textId="77777777" w:rsidR="007F034F" w:rsidRPr="00033257" w:rsidRDefault="007F034F" w:rsidP="007F034F">
            <w:pPr>
              <w:pStyle w:val="cuatexto"/>
              <w:spacing w:line="240" w:lineRule="auto"/>
              <w:jc w:val="right"/>
              <w:rPr>
                <w:szCs w:val="20"/>
              </w:rPr>
            </w:pPr>
            <w:r>
              <w:t>4</w:t>
            </w:r>
          </w:p>
        </w:tc>
        <w:tc>
          <w:tcPr>
            <w:tcW w:w="637" w:type="dxa"/>
            <w:tcBorders>
              <w:top w:val="single" w:sz="2" w:space="0" w:color="auto"/>
              <w:bottom w:val="single" w:sz="2" w:space="0" w:color="auto"/>
              <w:right w:val="single" w:sz="4" w:space="0" w:color="auto"/>
            </w:tcBorders>
            <w:vAlign w:val="center"/>
          </w:tcPr>
          <w:p w14:paraId="54A90BE3" w14:textId="77777777" w:rsidR="007F034F" w:rsidRPr="00033257" w:rsidRDefault="007F034F" w:rsidP="007F034F">
            <w:pPr>
              <w:pStyle w:val="cuatexto"/>
              <w:spacing w:line="240" w:lineRule="auto"/>
              <w:jc w:val="right"/>
              <w:rPr>
                <w:szCs w:val="20"/>
              </w:rPr>
            </w:pPr>
            <w:r>
              <w:t>3</w:t>
            </w:r>
          </w:p>
        </w:tc>
        <w:tc>
          <w:tcPr>
            <w:tcW w:w="2598" w:type="dxa"/>
            <w:tcBorders>
              <w:left w:val="single" w:sz="4" w:space="0" w:color="auto"/>
            </w:tcBorders>
            <w:vAlign w:val="center"/>
          </w:tcPr>
          <w:p w14:paraId="0E7481A9" w14:textId="77777777" w:rsidR="007F034F" w:rsidRPr="00033257" w:rsidRDefault="007F034F" w:rsidP="007F034F">
            <w:pPr>
              <w:pStyle w:val="cuatexto"/>
              <w:spacing w:line="240" w:lineRule="auto"/>
              <w:rPr>
                <w:szCs w:val="20"/>
              </w:rPr>
            </w:pPr>
            <w:r>
              <w:t>Zorpetzea</w:t>
            </w:r>
          </w:p>
        </w:tc>
        <w:tc>
          <w:tcPr>
            <w:tcW w:w="605" w:type="dxa"/>
            <w:vAlign w:val="center"/>
          </w:tcPr>
          <w:p w14:paraId="0A5B7069" w14:textId="77777777" w:rsidR="007F034F" w:rsidRPr="00033257" w:rsidRDefault="007F034F" w:rsidP="007F034F">
            <w:pPr>
              <w:pStyle w:val="cuatexto"/>
              <w:spacing w:line="240" w:lineRule="auto"/>
              <w:jc w:val="right"/>
              <w:rPr>
                <w:szCs w:val="20"/>
              </w:rPr>
            </w:pPr>
            <w:r>
              <w:t>-</w:t>
            </w:r>
          </w:p>
        </w:tc>
        <w:tc>
          <w:tcPr>
            <w:tcW w:w="693" w:type="dxa"/>
            <w:vAlign w:val="center"/>
          </w:tcPr>
          <w:p w14:paraId="0295336A" w14:textId="77777777" w:rsidR="007F034F" w:rsidRPr="00033257" w:rsidRDefault="007F034F" w:rsidP="007F034F">
            <w:pPr>
              <w:pStyle w:val="cuatexto"/>
              <w:spacing w:line="240" w:lineRule="auto"/>
              <w:jc w:val="right"/>
              <w:rPr>
                <w:szCs w:val="20"/>
              </w:rPr>
            </w:pPr>
            <w:r>
              <w:t>1</w:t>
            </w:r>
          </w:p>
        </w:tc>
        <w:tc>
          <w:tcPr>
            <w:tcW w:w="709" w:type="dxa"/>
            <w:vAlign w:val="center"/>
          </w:tcPr>
          <w:p w14:paraId="3A6AE620" w14:textId="77777777" w:rsidR="007F034F" w:rsidRPr="00033257" w:rsidRDefault="007F034F" w:rsidP="007F034F">
            <w:pPr>
              <w:pStyle w:val="cuadroCabe"/>
              <w:spacing w:line="240" w:lineRule="auto"/>
              <w:jc w:val="right"/>
              <w:rPr>
                <w:rFonts w:ascii="Arial Narrow" w:hAnsi="Arial Narrow"/>
                <w:sz w:val="20"/>
                <w:szCs w:val="20"/>
              </w:rPr>
            </w:pPr>
            <w:r>
              <w:rPr>
                <w:rFonts w:ascii="Arial Narrow" w:hAnsi="Arial Narrow"/>
                <w:sz w:val="20"/>
              </w:rPr>
              <w:t>0</w:t>
            </w:r>
          </w:p>
        </w:tc>
      </w:tr>
      <w:tr w:rsidR="007F034F" w:rsidRPr="00B739A9" w14:paraId="0CAFDBC1" w14:textId="77777777" w:rsidTr="00B739A9">
        <w:trPr>
          <w:trHeight w:val="255"/>
          <w:jc w:val="center"/>
        </w:trPr>
        <w:tc>
          <w:tcPr>
            <w:tcW w:w="2494" w:type="dxa"/>
            <w:shd w:val="clear" w:color="auto" w:fill="FABF8F" w:themeFill="accent6" w:themeFillTint="99"/>
            <w:vAlign w:val="center"/>
          </w:tcPr>
          <w:p w14:paraId="5BE93A62" w14:textId="77777777" w:rsidR="007F034F" w:rsidRPr="00B739A9" w:rsidRDefault="007F034F" w:rsidP="007F034F">
            <w:pPr>
              <w:pStyle w:val="cuadroCabe"/>
              <w:spacing w:line="240" w:lineRule="auto"/>
              <w:rPr>
                <w:rFonts w:cs="Arial"/>
                <w:szCs w:val="18"/>
              </w:rPr>
            </w:pPr>
          </w:p>
        </w:tc>
        <w:tc>
          <w:tcPr>
            <w:tcW w:w="612" w:type="dxa"/>
            <w:shd w:val="clear" w:color="auto" w:fill="FABF8F" w:themeFill="accent6" w:themeFillTint="99"/>
            <w:vAlign w:val="center"/>
          </w:tcPr>
          <w:p w14:paraId="07DDE0E2" w14:textId="77777777" w:rsidR="007F034F" w:rsidRPr="00B739A9" w:rsidRDefault="007F034F" w:rsidP="007F034F">
            <w:pPr>
              <w:pStyle w:val="cuadroCabe"/>
              <w:spacing w:line="240" w:lineRule="auto"/>
              <w:jc w:val="right"/>
              <w:rPr>
                <w:rFonts w:cs="Arial"/>
                <w:szCs w:val="18"/>
              </w:rPr>
            </w:pPr>
            <w:r>
              <w:t>100</w:t>
            </w:r>
          </w:p>
        </w:tc>
        <w:tc>
          <w:tcPr>
            <w:tcW w:w="605" w:type="dxa"/>
            <w:shd w:val="clear" w:color="auto" w:fill="FABF8F" w:themeFill="accent6" w:themeFillTint="99"/>
            <w:vAlign w:val="center"/>
          </w:tcPr>
          <w:p w14:paraId="5362C256" w14:textId="77777777" w:rsidR="007F034F" w:rsidRPr="00B739A9" w:rsidRDefault="007F034F" w:rsidP="007F034F">
            <w:pPr>
              <w:pStyle w:val="cuadroCabe"/>
              <w:spacing w:line="240" w:lineRule="auto"/>
              <w:jc w:val="right"/>
              <w:rPr>
                <w:rFonts w:cs="Arial"/>
                <w:szCs w:val="18"/>
              </w:rPr>
            </w:pPr>
            <w:r>
              <w:t>100</w:t>
            </w:r>
          </w:p>
        </w:tc>
        <w:tc>
          <w:tcPr>
            <w:tcW w:w="637" w:type="dxa"/>
            <w:tcBorders>
              <w:top w:val="single" w:sz="2" w:space="0" w:color="auto"/>
              <w:bottom w:val="single" w:sz="4" w:space="0" w:color="auto"/>
              <w:right w:val="single" w:sz="4" w:space="0" w:color="auto"/>
            </w:tcBorders>
            <w:shd w:val="clear" w:color="auto" w:fill="FABF8F" w:themeFill="accent6" w:themeFillTint="99"/>
            <w:vAlign w:val="center"/>
          </w:tcPr>
          <w:p w14:paraId="77F386D3" w14:textId="77777777" w:rsidR="007F034F" w:rsidRPr="00B739A9" w:rsidRDefault="007F034F" w:rsidP="007F034F">
            <w:pPr>
              <w:pStyle w:val="cuatexto"/>
              <w:spacing w:line="240" w:lineRule="auto"/>
              <w:jc w:val="right"/>
              <w:rPr>
                <w:rFonts w:ascii="Arial" w:hAnsi="Arial" w:cs="Arial"/>
                <w:sz w:val="18"/>
                <w:szCs w:val="18"/>
              </w:rPr>
            </w:pPr>
            <w:r>
              <w:rPr>
                <w:rFonts w:ascii="Arial" w:hAnsi="Arial"/>
                <w:sz w:val="18"/>
              </w:rPr>
              <w:t>100</w:t>
            </w:r>
          </w:p>
        </w:tc>
        <w:tc>
          <w:tcPr>
            <w:tcW w:w="2598" w:type="dxa"/>
            <w:tcBorders>
              <w:left w:val="single" w:sz="4" w:space="0" w:color="auto"/>
            </w:tcBorders>
            <w:shd w:val="clear" w:color="auto" w:fill="FABF8F" w:themeFill="accent6" w:themeFillTint="99"/>
            <w:vAlign w:val="center"/>
          </w:tcPr>
          <w:p w14:paraId="384BA73E" w14:textId="77777777" w:rsidR="007F034F" w:rsidRPr="00B739A9" w:rsidRDefault="007F034F" w:rsidP="007F034F">
            <w:pPr>
              <w:pStyle w:val="cuadroCabe"/>
              <w:spacing w:line="240" w:lineRule="auto"/>
              <w:rPr>
                <w:rFonts w:cs="Arial"/>
                <w:szCs w:val="18"/>
              </w:rPr>
            </w:pPr>
          </w:p>
        </w:tc>
        <w:tc>
          <w:tcPr>
            <w:tcW w:w="605" w:type="dxa"/>
            <w:shd w:val="clear" w:color="auto" w:fill="FABF8F" w:themeFill="accent6" w:themeFillTint="99"/>
            <w:vAlign w:val="center"/>
          </w:tcPr>
          <w:p w14:paraId="7937297E" w14:textId="77777777" w:rsidR="007F034F" w:rsidRPr="00B739A9" w:rsidRDefault="007F034F" w:rsidP="007F034F">
            <w:pPr>
              <w:pStyle w:val="cuadroCabe"/>
              <w:spacing w:line="240" w:lineRule="auto"/>
              <w:jc w:val="right"/>
              <w:rPr>
                <w:rFonts w:cs="Arial"/>
                <w:szCs w:val="18"/>
              </w:rPr>
            </w:pPr>
            <w:r>
              <w:t>100</w:t>
            </w:r>
          </w:p>
        </w:tc>
        <w:tc>
          <w:tcPr>
            <w:tcW w:w="693" w:type="dxa"/>
            <w:shd w:val="clear" w:color="auto" w:fill="FABF8F" w:themeFill="accent6" w:themeFillTint="99"/>
            <w:vAlign w:val="center"/>
          </w:tcPr>
          <w:p w14:paraId="5BC6D2B2" w14:textId="77777777" w:rsidR="007F034F" w:rsidRPr="00B739A9" w:rsidRDefault="007F034F" w:rsidP="007F034F">
            <w:pPr>
              <w:pStyle w:val="cuadroCabe"/>
              <w:spacing w:line="240" w:lineRule="auto"/>
              <w:jc w:val="right"/>
              <w:rPr>
                <w:rFonts w:cs="Arial"/>
                <w:szCs w:val="18"/>
              </w:rPr>
            </w:pPr>
            <w:r>
              <w:t>100</w:t>
            </w:r>
          </w:p>
        </w:tc>
        <w:tc>
          <w:tcPr>
            <w:tcW w:w="709" w:type="dxa"/>
            <w:shd w:val="clear" w:color="auto" w:fill="FABF8F" w:themeFill="accent6" w:themeFillTint="99"/>
            <w:vAlign w:val="center"/>
          </w:tcPr>
          <w:p w14:paraId="6605B3D8" w14:textId="77777777" w:rsidR="007F034F" w:rsidRPr="00B739A9" w:rsidRDefault="007F034F" w:rsidP="007F034F">
            <w:pPr>
              <w:pStyle w:val="cuadroCabe"/>
              <w:spacing w:line="240" w:lineRule="auto"/>
              <w:jc w:val="right"/>
              <w:rPr>
                <w:rFonts w:cs="Arial"/>
                <w:szCs w:val="18"/>
              </w:rPr>
            </w:pPr>
            <w:r>
              <w:t>100</w:t>
            </w:r>
          </w:p>
        </w:tc>
      </w:tr>
    </w:tbl>
    <w:p w14:paraId="440F2D01" w14:textId="22D64E9D" w:rsidR="00E72E7F" w:rsidRPr="00033257" w:rsidRDefault="009C18CA" w:rsidP="00B739A9">
      <w:pPr>
        <w:pStyle w:val="texto"/>
        <w:spacing w:before="240"/>
        <w:rPr>
          <w:color w:val="000000" w:themeColor="text1"/>
        </w:rPr>
      </w:pPr>
      <w:r>
        <w:rPr>
          <w:color w:val="000000" w:themeColor="text1"/>
        </w:rPr>
        <w:t>2021ean, toki-entitateen diru-sarreren bi iturri nagusiak transferentziak eta zerga bidezko diru-sarrerak ziren, baliabideen ehuneko 47 eta 45, hurrenez hurren. Urte arteko alderaketan, pixka bat murriztu da transferentzien ondoriozko diru-sarreren ekarpena; hala, 2021eko diru-sarreraren egitura 2019koarekin bat dator, gutxi gorabehera.</w:t>
      </w:r>
    </w:p>
    <w:p w14:paraId="09578AA1" w14:textId="77777777" w:rsidR="007F034F" w:rsidRPr="00033257" w:rsidRDefault="007F034F" w:rsidP="00E72E7F">
      <w:pPr>
        <w:pStyle w:val="texto"/>
        <w:spacing w:after="120"/>
        <w:rPr>
          <w:color w:val="000000" w:themeColor="text1"/>
        </w:rPr>
      </w:pPr>
      <w:r>
        <w:rPr>
          <w:color w:val="000000" w:themeColor="text1"/>
        </w:rPr>
        <w:t xml:space="preserve">Gastuei dagokienez, langileenak eta ondasun arruntetakoak eta zerbitzuetakoak dira nagusi, ehuneko 36 eta ehuneko 33, hurrenez hurren, eta atzetik inbertsio errealenak datoz, ehuneko 18. Urtetik urterako alderaketan, inbertsio errealen zamak gora egin duela nabarmendu behar da. Langile gastuen zama ehuneko 39tik ehuneko 36ra igaro da, kapitulu horretako gastuaren urte arteko hazkundea guztizko gastuarena baino txikiagoa delako. Hala eta guztiz ere, langile gastuek eta inbertsio errealek guztizko gastuan 2019an baino partaidetza handiagoa eta txikiagoa izaten jarraitzen dute, hurrenez hurren.  </w:t>
      </w:r>
    </w:p>
    <w:p w14:paraId="0AA6B731" w14:textId="77777777" w:rsidR="00EC4C05" w:rsidRPr="00033257" w:rsidRDefault="002A4BE9" w:rsidP="007F034F">
      <w:pPr>
        <w:pStyle w:val="texto"/>
        <w:rPr>
          <w:color w:val="000000" w:themeColor="text1"/>
        </w:rPr>
      </w:pPr>
      <w:r>
        <w:rPr>
          <w:color w:val="000000" w:themeColor="text1"/>
        </w:rPr>
        <w:t>Jarraian, toki sektore publikoaren finantza egoeraren adierazle batzuek 2017-2021 aldian zehar izan duten bilakaera ageri da:</w:t>
      </w:r>
      <w:r>
        <w:rPr>
          <w:color w:val="000000" w:themeColor="text1"/>
        </w:rPr>
        <w:br w:type="page"/>
      </w:r>
    </w:p>
    <w:p w14:paraId="1A240794" w14:textId="7645A123" w:rsidR="002A4BE9" w:rsidRPr="00033257" w:rsidRDefault="001D196E" w:rsidP="00EC4C05">
      <w:pPr>
        <w:pStyle w:val="texto"/>
        <w:spacing w:after="0"/>
        <w:jc w:val="right"/>
        <w:rPr>
          <w:rFonts w:ascii="Arial Narrow" w:hAnsi="Arial Narrow"/>
          <w:color w:val="000000" w:themeColor="text1"/>
          <w:sz w:val="18"/>
          <w:szCs w:val="18"/>
        </w:rPr>
      </w:pPr>
      <w:r>
        <w:rPr>
          <w:rFonts w:ascii="Arial Narrow" w:hAnsi="Arial Narrow"/>
          <w:color w:val="000000" w:themeColor="text1"/>
          <w:sz w:val="18"/>
        </w:rPr>
        <w:lastRenderedPageBreak/>
        <w:t>(milioiak)</w:t>
      </w:r>
    </w:p>
    <w:tbl>
      <w:tblPr>
        <w:tblW w:w="5081" w:type="pct"/>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1982"/>
        <w:gridCol w:w="714"/>
        <w:gridCol w:w="823"/>
        <w:gridCol w:w="736"/>
        <w:gridCol w:w="707"/>
        <w:gridCol w:w="707"/>
        <w:gridCol w:w="820"/>
        <w:gridCol w:w="820"/>
        <w:gridCol w:w="823"/>
        <w:gridCol w:w="9"/>
        <w:gridCol w:w="789"/>
      </w:tblGrid>
      <w:tr w:rsidR="00E72E7F" w:rsidRPr="00033257" w14:paraId="6B0F2BE2" w14:textId="77777777" w:rsidTr="00E0306B">
        <w:trPr>
          <w:trHeight w:val="255"/>
          <w:jc w:val="center"/>
        </w:trPr>
        <w:tc>
          <w:tcPr>
            <w:tcW w:w="1109" w:type="pct"/>
            <w:vMerge w:val="restart"/>
            <w:tcBorders>
              <w:top w:val="single" w:sz="4" w:space="0" w:color="auto"/>
            </w:tcBorders>
            <w:shd w:val="clear" w:color="auto" w:fill="FABF8F" w:themeFill="accent6" w:themeFillTint="99"/>
            <w:vAlign w:val="center"/>
          </w:tcPr>
          <w:p w14:paraId="1A95E82A" w14:textId="77777777" w:rsidR="00E72E7F" w:rsidRPr="009D4522" w:rsidRDefault="00E72E7F" w:rsidP="00B739A9">
            <w:pPr>
              <w:pStyle w:val="cuadroCabe"/>
              <w:spacing w:line="240" w:lineRule="auto"/>
              <w:jc w:val="left"/>
              <w:rPr>
                <w:rFonts w:cs="Arial"/>
                <w:szCs w:val="18"/>
              </w:rPr>
            </w:pPr>
            <w:r>
              <w:t>Adierazleak</w:t>
            </w:r>
          </w:p>
        </w:tc>
        <w:tc>
          <w:tcPr>
            <w:tcW w:w="3444" w:type="pct"/>
            <w:gridSpan w:val="8"/>
            <w:shd w:val="clear" w:color="auto" w:fill="FABF8F" w:themeFill="accent6" w:themeFillTint="99"/>
            <w:vAlign w:val="center"/>
          </w:tcPr>
          <w:p w14:paraId="4A1986C0" w14:textId="77777777" w:rsidR="00E72E7F" w:rsidRPr="009D4522" w:rsidRDefault="00E72E7F" w:rsidP="00E72E7F">
            <w:pPr>
              <w:pStyle w:val="cuadroCabe"/>
              <w:spacing w:line="240" w:lineRule="auto"/>
              <w:jc w:val="center"/>
              <w:rPr>
                <w:rFonts w:cs="Arial"/>
                <w:szCs w:val="18"/>
              </w:rPr>
            </w:pPr>
            <w:r>
              <w:t>Toki-entitateak, entitate bakar bat ere bateratu gabe</w:t>
            </w:r>
          </w:p>
        </w:tc>
        <w:tc>
          <w:tcPr>
            <w:tcW w:w="447" w:type="pct"/>
            <w:gridSpan w:val="2"/>
            <w:shd w:val="clear" w:color="auto" w:fill="FABF8F" w:themeFill="accent6" w:themeFillTint="99"/>
            <w:vAlign w:val="center"/>
          </w:tcPr>
          <w:p w14:paraId="4E14DF22" w14:textId="77777777" w:rsidR="00E72E7F" w:rsidRPr="00033257" w:rsidRDefault="00E72E7F" w:rsidP="00E72E7F">
            <w:pPr>
              <w:pStyle w:val="cuadroCabe"/>
              <w:spacing w:line="240" w:lineRule="auto"/>
              <w:jc w:val="right"/>
              <w:rPr>
                <w:rFonts w:ascii="Arial Narrow" w:hAnsi="Arial Narrow"/>
                <w:szCs w:val="18"/>
              </w:rPr>
            </w:pPr>
            <w:r>
              <w:rPr>
                <w:rFonts w:ascii="Arial Narrow" w:hAnsi="Arial Narrow"/>
              </w:rPr>
              <w:t>2021</w:t>
            </w:r>
            <w:r>
              <w:rPr>
                <w:rFonts w:ascii="Arial Narrow" w:hAnsi="Arial Narrow"/>
                <w:vertAlign w:val="superscript"/>
              </w:rPr>
              <w:t>1</w:t>
            </w:r>
          </w:p>
        </w:tc>
      </w:tr>
      <w:tr w:rsidR="00E0306B" w:rsidRPr="00033257" w14:paraId="2BF743F9" w14:textId="77777777" w:rsidTr="00E0306B">
        <w:trPr>
          <w:trHeight w:val="255"/>
          <w:jc w:val="center"/>
        </w:trPr>
        <w:tc>
          <w:tcPr>
            <w:tcW w:w="1109" w:type="pct"/>
            <w:vMerge/>
            <w:shd w:val="clear" w:color="auto" w:fill="FABF8F" w:themeFill="accent6" w:themeFillTint="99"/>
            <w:vAlign w:val="center"/>
            <w:hideMark/>
          </w:tcPr>
          <w:p w14:paraId="7D34F5C7" w14:textId="77777777" w:rsidR="00E72E7F" w:rsidRPr="00033257" w:rsidRDefault="00E72E7F" w:rsidP="00B739A9">
            <w:pPr>
              <w:pStyle w:val="cuadroCabe"/>
              <w:spacing w:line="240" w:lineRule="auto"/>
              <w:jc w:val="left"/>
              <w:rPr>
                <w:rFonts w:ascii="Arial Narrow" w:hAnsi="Arial Narrow"/>
                <w:szCs w:val="18"/>
              </w:rPr>
            </w:pPr>
          </w:p>
        </w:tc>
        <w:tc>
          <w:tcPr>
            <w:tcW w:w="400" w:type="pct"/>
            <w:shd w:val="clear" w:color="auto" w:fill="FABF8F" w:themeFill="accent6" w:themeFillTint="99"/>
            <w:vAlign w:val="center"/>
            <w:hideMark/>
          </w:tcPr>
          <w:p w14:paraId="48256C82" w14:textId="77777777" w:rsidR="00E72E7F" w:rsidRPr="009D4522" w:rsidRDefault="00E72E7F" w:rsidP="005B552E">
            <w:pPr>
              <w:pStyle w:val="cuadroCabe"/>
              <w:spacing w:line="240" w:lineRule="auto"/>
              <w:jc w:val="right"/>
              <w:rPr>
                <w:rFonts w:cs="Arial"/>
                <w:sz w:val="16"/>
                <w:szCs w:val="16"/>
              </w:rPr>
            </w:pPr>
            <w:r>
              <w:rPr>
                <w:sz w:val="16"/>
              </w:rPr>
              <w:t>2017</w:t>
            </w:r>
          </w:p>
        </w:tc>
        <w:tc>
          <w:tcPr>
            <w:tcW w:w="461" w:type="pct"/>
            <w:shd w:val="clear" w:color="auto" w:fill="FABF8F" w:themeFill="accent6" w:themeFillTint="99"/>
            <w:vAlign w:val="center"/>
          </w:tcPr>
          <w:p w14:paraId="722956E6" w14:textId="77777777" w:rsidR="00E72E7F" w:rsidRPr="009D4522" w:rsidRDefault="00E72E7F" w:rsidP="005B552E">
            <w:pPr>
              <w:pStyle w:val="cuadroCabe"/>
              <w:spacing w:line="240" w:lineRule="auto"/>
              <w:jc w:val="right"/>
              <w:rPr>
                <w:rFonts w:cs="Arial"/>
                <w:sz w:val="16"/>
                <w:szCs w:val="16"/>
              </w:rPr>
            </w:pPr>
            <w:r>
              <w:rPr>
                <w:sz w:val="16"/>
              </w:rPr>
              <w:t>2018</w:t>
            </w:r>
          </w:p>
        </w:tc>
        <w:tc>
          <w:tcPr>
            <w:tcW w:w="412" w:type="pct"/>
            <w:shd w:val="clear" w:color="auto" w:fill="FABF8F" w:themeFill="accent6" w:themeFillTint="99"/>
            <w:vAlign w:val="center"/>
          </w:tcPr>
          <w:p w14:paraId="2068B6A1" w14:textId="77777777" w:rsidR="00E72E7F" w:rsidRPr="009D4522" w:rsidRDefault="00E72E7F" w:rsidP="005B552E">
            <w:pPr>
              <w:pStyle w:val="cuadroCabe"/>
              <w:spacing w:line="240" w:lineRule="auto"/>
              <w:jc w:val="right"/>
              <w:rPr>
                <w:rFonts w:cs="Arial"/>
                <w:sz w:val="16"/>
                <w:szCs w:val="16"/>
              </w:rPr>
            </w:pPr>
            <w:r>
              <w:rPr>
                <w:sz w:val="16"/>
              </w:rPr>
              <w:t>2019</w:t>
            </w:r>
          </w:p>
        </w:tc>
        <w:tc>
          <w:tcPr>
            <w:tcW w:w="396" w:type="pct"/>
            <w:shd w:val="clear" w:color="auto" w:fill="FABF8F" w:themeFill="accent6" w:themeFillTint="99"/>
            <w:vAlign w:val="center"/>
          </w:tcPr>
          <w:p w14:paraId="3E9589A3" w14:textId="77777777" w:rsidR="00E72E7F" w:rsidRPr="009D4522" w:rsidRDefault="00E72E7F" w:rsidP="005B552E">
            <w:pPr>
              <w:pStyle w:val="cuadroCabe"/>
              <w:spacing w:line="240" w:lineRule="auto"/>
              <w:jc w:val="right"/>
              <w:rPr>
                <w:rFonts w:cs="Arial"/>
                <w:sz w:val="16"/>
                <w:szCs w:val="16"/>
              </w:rPr>
            </w:pPr>
            <w:r>
              <w:rPr>
                <w:sz w:val="16"/>
              </w:rPr>
              <w:t>2020</w:t>
            </w:r>
          </w:p>
        </w:tc>
        <w:tc>
          <w:tcPr>
            <w:tcW w:w="396" w:type="pct"/>
            <w:shd w:val="clear" w:color="auto" w:fill="FABF8F" w:themeFill="accent6" w:themeFillTint="99"/>
            <w:vAlign w:val="center"/>
          </w:tcPr>
          <w:p w14:paraId="62DDAFF6" w14:textId="77777777" w:rsidR="00E72E7F" w:rsidRPr="009D4522" w:rsidRDefault="00E72E7F" w:rsidP="005B552E">
            <w:pPr>
              <w:pStyle w:val="cuadroCabe"/>
              <w:spacing w:line="240" w:lineRule="auto"/>
              <w:jc w:val="right"/>
              <w:rPr>
                <w:rFonts w:cs="Arial"/>
                <w:sz w:val="16"/>
                <w:szCs w:val="16"/>
              </w:rPr>
            </w:pPr>
            <w:r>
              <w:rPr>
                <w:sz w:val="16"/>
              </w:rPr>
              <w:t>2021</w:t>
            </w:r>
          </w:p>
        </w:tc>
        <w:tc>
          <w:tcPr>
            <w:tcW w:w="459" w:type="pct"/>
            <w:shd w:val="clear" w:color="auto" w:fill="FABF8F" w:themeFill="accent6" w:themeFillTint="99"/>
            <w:vAlign w:val="center"/>
            <w:hideMark/>
          </w:tcPr>
          <w:p w14:paraId="70B6AF96" w14:textId="77777777" w:rsidR="00E72E7F" w:rsidRPr="009D4522" w:rsidRDefault="00E72E7F" w:rsidP="00E72E7F">
            <w:pPr>
              <w:pStyle w:val="cuadroCabe"/>
              <w:spacing w:line="240" w:lineRule="auto"/>
              <w:jc w:val="right"/>
              <w:rPr>
                <w:rFonts w:cs="Arial"/>
                <w:sz w:val="16"/>
                <w:szCs w:val="16"/>
              </w:rPr>
            </w:pPr>
            <w:r>
              <w:rPr>
                <w:sz w:val="16"/>
              </w:rPr>
              <w:t>2021/17 aldea (%)</w:t>
            </w:r>
          </w:p>
        </w:tc>
        <w:tc>
          <w:tcPr>
            <w:tcW w:w="459" w:type="pct"/>
            <w:shd w:val="clear" w:color="auto" w:fill="FABF8F" w:themeFill="accent6" w:themeFillTint="99"/>
            <w:vAlign w:val="center"/>
          </w:tcPr>
          <w:p w14:paraId="68678ECF" w14:textId="77777777" w:rsidR="00E72E7F" w:rsidRPr="009D4522" w:rsidRDefault="00E72E7F" w:rsidP="005B552E">
            <w:pPr>
              <w:pStyle w:val="cuadroCabe"/>
              <w:spacing w:line="240" w:lineRule="auto"/>
              <w:jc w:val="right"/>
              <w:rPr>
                <w:rFonts w:cs="Arial"/>
                <w:sz w:val="16"/>
                <w:szCs w:val="16"/>
              </w:rPr>
            </w:pPr>
            <w:r>
              <w:rPr>
                <w:sz w:val="16"/>
              </w:rPr>
              <w:t>2021/20 aldea (abs.)</w:t>
            </w:r>
          </w:p>
        </w:tc>
        <w:tc>
          <w:tcPr>
            <w:tcW w:w="466" w:type="pct"/>
            <w:gridSpan w:val="2"/>
            <w:shd w:val="clear" w:color="auto" w:fill="FABF8F" w:themeFill="accent6" w:themeFillTint="99"/>
            <w:vAlign w:val="center"/>
            <w:hideMark/>
          </w:tcPr>
          <w:p w14:paraId="00213832" w14:textId="77777777" w:rsidR="00E72E7F" w:rsidRPr="009D4522" w:rsidRDefault="00E72E7F" w:rsidP="00E72E7F">
            <w:pPr>
              <w:pStyle w:val="cuadroCabe"/>
              <w:spacing w:line="240" w:lineRule="auto"/>
              <w:jc w:val="right"/>
              <w:rPr>
                <w:rFonts w:cs="Arial"/>
                <w:sz w:val="16"/>
                <w:szCs w:val="16"/>
              </w:rPr>
            </w:pPr>
            <w:r>
              <w:rPr>
                <w:sz w:val="16"/>
              </w:rPr>
              <w:t>2021/20 aldea (%)</w:t>
            </w:r>
          </w:p>
        </w:tc>
        <w:tc>
          <w:tcPr>
            <w:tcW w:w="442" w:type="pct"/>
            <w:shd w:val="clear" w:color="auto" w:fill="FABF8F" w:themeFill="accent6" w:themeFillTint="99"/>
            <w:vAlign w:val="center"/>
          </w:tcPr>
          <w:p w14:paraId="0B4020A7" w14:textId="77777777" w:rsidR="00E72E7F" w:rsidRPr="00033257" w:rsidRDefault="00E72E7F" w:rsidP="005B552E">
            <w:pPr>
              <w:pStyle w:val="cuadroCabe"/>
              <w:spacing w:line="240" w:lineRule="auto"/>
              <w:jc w:val="right"/>
              <w:rPr>
                <w:rFonts w:ascii="Arial Narrow" w:hAnsi="Arial Narrow"/>
                <w:szCs w:val="18"/>
              </w:rPr>
            </w:pPr>
          </w:p>
        </w:tc>
      </w:tr>
      <w:tr w:rsidR="00E0306B" w:rsidRPr="00E0306B" w14:paraId="124B8488" w14:textId="77777777" w:rsidTr="00E0306B">
        <w:trPr>
          <w:trHeight w:val="255"/>
          <w:jc w:val="center"/>
        </w:trPr>
        <w:tc>
          <w:tcPr>
            <w:tcW w:w="1109" w:type="pct"/>
            <w:shd w:val="clear" w:color="auto" w:fill="auto"/>
            <w:vAlign w:val="center"/>
            <w:hideMark/>
          </w:tcPr>
          <w:p w14:paraId="095547F3" w14:textId="77777777" w:rsidR="005B552E" w:rsidRPr="00E0306B" w:rsidRDefault="005B552E" w:rsidP="00B739A9">
            <w:pPr>
              <w:pStyle w:val="cuatexto"/>
              <w:spacing w:line="240" w:lineRule="auto"/>
              <w:jc w:val="left"/>
              <w:rPr>
                <w:sz w:val="18"/>
                <w:szCs w:val="18"/>
              </w:rPr>
            </w:pPr>
            <w:r>
              <w:rPr>
                <w:sz w:val="18"/>
              </w:rPr>
              <w:t>Diru-sarrerak, guztira</w:t>
            </w:r>
          </w:p>
        </w:tc>
        <w:tc>
          <w:tcPr>
            <w:tcW w:w="400" w:type="pct"/>
            <w:shd w:val="clear" w:color="auto" w:fill="auto"/>
            <w:vAlign w:val="center"/>
            <w:hideMark/>
          </w:tcPr>
          <w:p w14:paraId="37FB2F4F"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784,48</w:t>
            </w:r>
          </w:p>
        </w:tc>
        <w:tc>
          <w:tcPr>
            <w:tcW w:w="461" w:type="pct"/>
            <w:shd w:val="clear" w:color="auto" w:fill="auto"/>
            <w:vAlign w:val="center"/>
          </w:tcPr>
          <w:p w14:paraId="357076D7"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839,48</w:t>
            </w:r>
          </w:p>
        </w:tc>
        <w:tc>
          <w:tcPr>
            <w:tcW w:w="412" w:type="pct"/>
            <w:shd w:val="clear" w:color="auto" w:fill="auto"/>
            <w:vAlign w:val="center"/>
          </w:tcPr>
          <w:p w14:paraId="7BE17003"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891,40</w:t>
            </w:r>
          </w:p>
        </w:tc>
        <w:tc>
          <w:tcPr>
            <w:tcW w:w="396" w:type="pct"/>
            <w:shd w:val="clear" w:color="auto" w:fill="auto"/>
            <w:vAlign w:val="center"/>
          </w:tcPr>
          <w:p w14:paraId="6F39DABB"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855,31</w:t>
            </w:r>
          </w:p>
        </w:tc>
        <w:tc>
          <w:tcPr>
            <w:tcW w:w="396" w:type="pct"/>
            <w:vAlign w:val="center"/>
          </w:tcPr>
          <w:p w14:paraId="0984767A"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894,42</w:t>
            </w:r>
          </w:p>
        </w:tc>
        <w:tc>
          <w:tcPr>
            <w:tcW w:w="459" w:type="pct"/>
            <w:shd w:val="clear" w:color="auto" w:fill="auto"/>
            <w:vAlign w:val="center"/>
            <w:hideMark/>
          </w:tcPr>
          <w:p w14:paraId="33434407"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14</w:t>
            </w:r>
          </w:p>
        </w:tc>
        <w:tc>
          <w:tcPr>
            <w:tcW w:w="459" w:type="pct"/>
            <w:vAlign w:val="center"/>
          </w:tcPr>
          <w:p w14:paraId="1D62250C"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39,10</w:t>
            </w:r>
          </w:p>
        </w:tc>
        <w:tc>
          <w:tcPr>
            <w:tcW w:w="466" w:type="pct"/>
            <w:gridSpan w:val="2"/>
            <w:shd w:val="clear" w:color="auto" w:fill="auto"/>
            <w:vAlign w:val="center"/>
          </w:tcPr>
          <w:p w14:paraId="04EFE100"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5</w:t>
            </w:r>
          </w:p>
        </w:tc>
        <w:tc>
          <w:tcPr>
            <w:tcW w:w="442" w:type="pct"/>
            <w:shd w:val="clear" w:color="auto" w:fill="auto"/>
            <w:vAlign w:val="center"/>
          </w:tcPr>
          <w:p w14:paraId="61EDB470"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977,03</w:t>
            </w:r>
          </w:p>
        </w:tc>
      </w:tr>
      <w:tr w:rsidR="00E0306B" w:rsidRPr="00E0306B" w14:paraId="3AB68160" w14:textId="77777777" w:rsidTr="00E0306B">
        <w:trPr>
          <w:trHeight w:val="255"/>
          <w:jc w:val="center"/>
        </w:trPr>
        <w:tc>
          <w:tcPr>
            <w:tcW w:w="1109" w:type="pct"/>
            <w:shd w:val="clear" w:color="auto" w:fill="auto"/>
            <w:vAlign w:val="center"/>
            <w:hideMark/>
          </w:tcPr>
          <w:p w14:paraId="40DFD50F" w14:textId="77777777" w:rsidR="005B552E" w:rsidRPr="00E0306B" w:rsidRDefault="005B552E" w:rsidP="00B739A9">
            <w:pPr>
              <w:pStyle w:val="cuatexto"/>
              <w:spacing w:line="240" w:lineRule="auto"/>
              <w:jc w:val="left"/>
              <w:rPr>
                <w:sz w:val="18"/>
                <w:szCs w:val="18"/>
              </w:rPr>
            </w:pPr>
            <w:r>
              <w:rPr>
                <w:sz w:val="18"/>
              </w:rPr>
              <w:t>Gastuak, guztira</w:t>
            </w:r>
          </w:p>
        </w:tc>
        <w:tc>
          <w:tcPr>
            <w:tcW w:w="400" w:type="pct"/>
            <w:shd w:val="clear" w:color="auto" w:fill="auto"/>
            <w:vAlign w:val="center"/>
            <w:hideMark/>
          </w:tcPr>
          <w:p w14:paraId="3A83F47E"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758,13</w:t>
            </w:r>
          </w:p>
        </w:tc>
        <w:tc>
          <w:tcPr>
            <w:tcW w:w="461" w:type="pct"/>
            <w:shd w:val="clear" w:color="auto" w:fill="auto"/>
            <w:vAlign w:val="center"/>
          </w:tcPr>
          <w:p w14:paraId="2EC03ED4"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787,98</w:t>
            </w:r>
          </w:p>
        </w:tc>
        <w:tc>
          <w:tcPr>
            <w:tcW w:w="412" w:type="pct"/>
            <w:shd w:val="clear" w:color="auto" w:fill="auto"/>
            <w:vAlign w:val="center"/>
          </w:tcPr>
          <w:p w14:paraId="070E8E3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885,37</w:t>
            </w:r>
          </w:p>
        </w:tc>
        <w:tc>
          <w:tcPr>
            <w:tcW w:w="396" w:type="pct"/>
            <w:shd w:val="clear" w:color="auto" w:fill="auto"/>
            <w:vAlign w:val="center"/>
          </w:tcPr>
          <w:p w14:paraId="16D8E3A4"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799,18</w:t>
            </w:r>
          </w:p>
        </w:tc>
        <w:tc>
          <w:tcPr>
            <w:tcW w:w="396" w:type="pct"/>
            <w:vAlign w:val="center"/>
          </w:tcPr>
          <w:p w14:paraId="4DEAE36D"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891,40</w:t>
            </w:r>
          </w:p>
        </w:tc>
        <w:tc>
          <w:tcPr>
            <w:tcW w:w="459" w:type="pct"/>
            <w:shd w:val="clear" w:color="auto" w:fill="auto"/>
            <w:vAlign w:val="center"/>
            <w:hideMark/>
          </w:tcPr>
          <w:p w14:paraId="4818E51F"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18</w:t>
            </w:r>
          </w:p>
        </w:tc>
        <w:tc>
          <w:tcPr>
            <w:tcW w:w="459" w:type="pct"/>
            <w:vAlign w:val="center"/>
          </w:tcPr>
          <w:p w14:paraId="44496485"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92,22</w:t>
            </w:r>
          </w:p>
        </w:tc>
        <w:tc>
          <w:tcPr>
            <w:tcW w:w="466" w:type="pct"/>
            <w:gridSpan w:val="2"/>
            <w:shd w:val="clear" w:color="auto" w:fill="auto"/>
            <w:vAlign w:val="center"/>
          </w:tcPr>
          <w:p w14:paraId="0E2297C3"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w:t>
            </w:r>
          </w:p>
        </w:tc>
        <w:tc>
          <w:tcPr>
            <w:tcW w:w="442" w:type="pct"/>
            <w:shd w:val="clear" w:color="auto" w:fill="auto"/>
            <w:vAlign w:val="center"/>
          </w:tcPr>
          <w:p w14:paraId="41FB321C"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988,87</w:t>
            </w:r>
          </w:p>
        </w:tc>
      </w:tr>
      <w:tr w:rsidR="00E0306B" w:rsidRPr="00E0306B" w14:paraId="27421896" w14:textId="77777777" w:rsidTr="00E0306B">
        <w:trPr>
          <w:trHeight w:val="255"/>
          <w:jc w:val="center"/>
        </w:trPr>
        <w:tc>
          <w:tcPr>
            <w:tcW w:w="1109" w:type="pct"/>
            <w:shd w:val="clear" w:color="auto" w:fill="auto"/>
            <w:vAlign w:val="center"/>
            <w:hideMark/>
          </w:tcPr>
          <w:p w14:paraId="44FA0E9D" w14:textId="77777777" w:rsidR="005B552E" w:rsidRPr="00E0306B" w:rsidRDefault="005B552E" w:rsidP="00B739A9">
            <w:pPr>
              <w:pStyle w:val="cuatexto"/>
              <w:spacing w:line="240" w:lineRule="auto"/>
              <w:jc w:val="left"/>
              <w:rPr>
                <w:sz w:val="18"/>
                <w:szCs w:val="18"/>
              </w:rPr>
            </w:pPr>
            <w:r>
              <w:rPr>
                <w:sz w:val="18"/>
              </w:rPr>
              <w:t>Zerga bidezko diru-sarrerak</w:t>
            </w:r>
          </w:p>
        </w:tc>
        <w:tc>
          <w:tcPr>
            <w:tcW w:w="400" w:type="pct"/>
            <w:shd w:val="clear" w:color="auto" w:fill="auto"/>
            <w:vAlign w:val="center"/>
            <w:hideMark/>
          </w:tcPr>
          <w:p w14:paraId="5A31CD3D"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368,83</w:t>
            </w:r>
          </w:p>
        </w:tc>
        <w:tc>
          <w:tcPr>
            <w:tcW w:w="461" w:type="pct"/>
            <w:shd w:val="clear" w:color="auto" w:fill="auto"/>
            <w:vAlign w:val="center"/>
          </w:tcPr>
          <w:p w14:paraId="2D9163B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385,04</w:t>
            </w:r>
          </w:p>
        </w:tc>
        <w:tc>
          <w:tcPr>
            <w:tcW w:w="412" w:type="pct"/>
            <w:shd w:val="clear" w:color="auto" w:fill="auto"/>
            <w:vAlign w:val="center"/>
          </w:tcPr>
          <w:p w14:paraId="310C3605"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402,08</w:t>
            </w:r>
          </w:p>
        </w:tc>
        <w:tc>
          <w:tcPr>
            <w:tcW w:w="396" w:type="pct"/>
            <w:shd w:val="clear" w:color="auto" w:fill="auto"/>
            <w:vAlign w:val="center"/>
          </w:tcPr>
          <w:p w14:paraId="0C14662D"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374,47</w:t>
            </w:r>
          </w:p>
        </w:tc>
        <w:tc>
          <w:tcPr>
            <w:tcW w:w="396" w:type="pct"/>
            <w:vAlign w:val="center"/>
          </w:tcPr>
          <w:p w14:paraId="1B0F5D22"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404,74</w:t>
            </w:r>
          </w:p>
        </w:tc>
        <w:tc>
          <w:tcPr>
            <w:tcW w:w="459" w:type="pct"/>
            <w:shd w:val="clear" w:color="auto" w:fill="auto"/>
            <w:vAlign w:val="center"/>
            <w:hideMark/>
          </w:tcPr>
          <w:p w14:paraId="0FA5DB3D"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10</w:t>
            </w:r>
          </w:p>
        </w:tc>
        <w:tc>
          <w:tcPr>
            <w:tcW w:w="459" w:type="pct"/>
            <w:vAlign w:val="center"/>
          </w:tcPr>
          <w:p w14:paraId="3752FC87"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30,26</w:t>
            </w:r>
          </w:p>
        </w:tc>
        <w:tc>
          <w:tcPr>
            <w:tcW w:w="466" w:type="pct"/>
            <w:gridSpan w:val="2"/>
            <w:shd w:val="clear" w:color="auto" w:fill="auto"/>
            <w:vAlign w:val="center"/>
          </w:tcPr>
          <w:p w14:paraId="26643505"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8</w:t>
            </w:r>
          </w:p>
        </w:tc>
        <w:tc>
          <w:tcPr>
            <w:tcW w:w="442" w:type="pct"/>
            <w:shd w:val="clear" w:color="auto" w:fill="auto"/>
            <w:vAlign w:val="center"/>
          </w:tcPr>
          <w:p w14:paraId="7D891FBD"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475,34</w:t>
            </w:r>
          </w:p>
        </w:tc>
      </w:tr>
      <w:tr w:rsidR="00E0306B" w:rsidRPr="00E0306B" w14:paraId="7736934A" w14:textId="77777777" w:rsidTr="00E0306B">
        <w:trPr>
          <w:trHeight w:val="255"/>
          <w:jc w:val="center"/>
        </w:trPr>
        <w:tc>
          <w:tcPr>
            <w:tcW w:w="1109" w:type="pct"/>
            <w:shd w:val="clear" w:color="auto" w:fill="auto"/>
            <w:vAlign w:val="center"/>
            <w:hideMark/>
          </w:tcPr>
          <w:p w14:paraId="2A14E8E1" w14:textId="77777777" w:rsidR="005B552E" w:rsidRPr="00E0306B" w:rsidRDefault="005B552E" w:rsidP="00B739A9">
            <w:pPr>
              <w:pStyle w:val="cuatexto"/>
              <w:spacing w:line="240" w:lineRule="auto"/>
              <w:jc w:val="left"/>
              <w:rPr>
                <w:sz w:val="18"/>
                <w:szCs w:val="18"/>
              </w:rPr>
            </w:pPr>
            <w:r>
              <w:rPr>
                <w:sz w:val="18"/>
              </w:rPr>
              <w:t>Transferentziengatiko diru-sarrerak</w:t>
            </w:r>
          </w:p>
        </w:tc>
        <w:tc>
          <w:tcPr>
            <w:tcW w:w="400" w:type="pct"/>
            <w:shd w:val="clear" w:color="auto" w:fill="auto"/>
            <w:vAlign w:val="center"/>
            <w:hideMark/>
          </w:tcPr>
          <w:p w14:paraId="60A12DB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347,39</w:t>
            </w:r>
          </w:p>
        </w:tc>
        <w:tc>
          <w:tcPr>
            <w:tcW w:w="461" w:type="pct"/>
            <w:shd w:val="clear" w:color="auto" w:fill="auto"/>
            <w:vAlign w:val="center"/>
          </w:tcPr>
          <w:p w14:paraId="12CE701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390,26</w:t>
            </w:r>
          </w:p>
        </w:tc>
        <w:tc>
          <w:tcPr>
            <w:tcW w:w="412" w:type="pct"/>
            <w:shd w:val="clear" w:color="auto" w:fill="auto"/>
            <w:vAlign w:val="center"/>
          </w:tcPr>
          <w:p w14:paraId="07A79575"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424,10</w:t>
            </w:r>
          </w:p>
        </w:tc>
        <w:tc>
          <w:tcPr>
            <w:tcW w:w="396" w:type="pct"/>
            <w:shd w:val="clear" w:color="auto" w:fill="auto"/>
            <w:vAlign w:val="center"/>
          </w:tcPr>
          <w:p w14:paraId="60ED6DC3"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429,54</w:t>
            </w:r>
          </w:p>
        </w:tc>
        <w:tc>
          <w:tcPr>
            <w:tcW w:w="396" w:type="pct"/>
            <w:vAlign w:val="center"/>
          </w:tcPr>
          <w:p w14:paraId="77E7D9AF"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421,43</w:t>
            </w:r>
          </w:p>
        </w:tc>
        <w:tc>
          <w:tcPr>
            <w:tcW w:w="459" w:type="pct"/>
            <w:shd w:val="clear" w:color="auto" w:fill="auto"/>
            <w:vAlign w:val="center"/>
            <w:hideMark/>
          </w:tcPr>
          <w:p w14:paraId="6263A498"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21</w:t>
            </w:r>
          </w:p>
        </w:tc>
        <w:tc>
          <w:tcPr>
            <w:tcW w:w="459" w:type="pct"/>
            <w:vAlign w:val="center"/>
          </w:tcPr>
          <w:p w14:paraId="6D23FA52"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-8,12</w:t>
            </w:r>
          </w:p>
        </w:tc>
        <w:tc>
          <w:tcPr>
            <w:tcW w:w="466" w:type="pct"/>
            <w:gridSpan w:val="2"/>
            <w:shd w:val="clear" w:color="auto" w:fill="auto"/>
            <w:vAlign w:val="center"/>
          </w:tcPr>
          <w:p w14:paraId="36DF6844"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w:t>
            </w:r>
          </w:p>
        </w:tc>
        <w:tc>
          <w:tcPr>
            <w:tcW w:w="442" w:type="pct"/>
            <w:shd w:val="clear" w:color="auto" w:fill="auto"/>
            <w:vAlign w:val="center"/>
          </w:tcPr>
          <w:p w14:paraId="0EEEABF9"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433,32</w:t>
            </w:r>
          </w:p>
        </w:tc>
      </w:tr>
      <w:tr w:rsidR="00E0306B" w:rsidRPr="00E0306B" w14:paraId="320C1DC3" w14:textId="77777777" w:rsidTr="00E0306B">
        <w:trPr>
          <w:trHeight w:val="255"/>
          <w:jc w:val="center"/>
        </w:trPr>
        <w:tc>
          <w:tcPr>
            <w:tcW w:w="1109" w:type="pct"/>
            <w:shd w:val="clear" w:color="auto" w:fill="auto"/>
            <w:vAlign w:val="center"/>
            <w:hideMark/>
          </w:tcPr>
          <w:p w14:paraId="73777D06" w14:textId="77777777" w:rsidR="005B552E" w:rsidRPr="00E0306B" w:rsidRDefault="005B552E" w:rsidP="00B739A9">
            <w:pPr>
              <w:pStyle w:val="cuatexto"/>
              <w:spacing w:line="240" w:lineRule="auto"/>
              <w:jc w:val="left"/>
              <w:rPr>
                <w:sz w:val="18"/>
                <w:szCs w:val="18"/>
              </w:rPr>
            </w:pPr>
            <w:r>
              <w:rPr>
                <w:sz w:val="18"/>
              </w:rPr>
              <w:t>Funtzionamendu gastuak</w:t>
            </w:r>
          </w:p>
        </w:tc>
        <w:tc>
          <w:tcPr>
            <w:tcW w:w="400" w:type="pct"/>
            <w:shd w:val="clear" w:color="auto" w:fill="auto"/>
            <w:vAlign w:val="center"/>
            <w:hideMark/>
          </w:tcPr>
          <w:p w14:paraId="5FBF08F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610,52</w:t>
            </w:r>
          </w:p>
        </w:tc>
        <w:tc>
          <w:tcPr>
            <w:tcW w:w="461" w:type="pct"/>
            <w:shd w:val="clear" w:color="auto" w:fill="auto"/>
            <w:vAlign w:val="center"/>
          </w:tcPr>
          <w:p w14:paraId="7272B372"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626,02</w:t>
            </w:r>
          </w:p>
        </w:tc>
        <w:tc>
          <w:tcPr>
            <w:tcW w:w="412" w:type="pct"/>
            <w:shd w:val="clear" w:color="auto" w:fill="auto"/>
            <w:vAlign w:val="center"/>
          </w:tcPr>
          <w:p w14:paraId="000B5CFA"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653,91</w:t>
            </w:r>
          </w:p>
        </w:tc>
        <w:tc>
          <w:tcPr>
            <w:tcW w:w="396" w:type="pct"/>
            <w:shd w:val="clear" w:color="auto" w:fill="auto"/>
            <w:vAlign w:val="center"/>
          </w:tcPr>
          <w:p w14:paraId="7878D81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643,17</w:t>
            </w:r>
          </w:p>
        </w:tc>
        <w:tc>
          <w:tcPr>
            <w:tcW w:w="396" w:type="pct"/>
            <w:vAlign w:val="center"/>
          </w:tcPr>
          <w:p w14:paraId="2CB21B8B"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690,47</w:t>
            </w:r>
          </w:p>
        </w:tc>
        <w:tc>
          <w:tcPr>
            <w:tcW w:w="459" w:type="pct"/>
            <w:shd w:val="clear" w:color="auto" w:fill="auto"/>
            <w:vAlign w:val="center"/>
            <w:hideMark/>
          </w:tcPr>
          <w:p w14:paraId="7B862D82"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w:t>
            </w:r>
          </w:p>
        </w:tc>
        <w:tc>
          <w:tcPr>
            <w:tcW w:w="459" w:type="pct"/>
            <w:vAlign w:val="center"/>
          </w:tcPr>
          <w:p w14:paraId="08B04F54"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47,30</w:t>
            </w:r>
          </w:p>
        </w:tc>
        <w:tc>
          <w:tcPr>
            <w:tcW w:w="466" w:type="pct"/>
            <w:gridSpan w:val="2"/>
            <w:shd w:val="clear" w:color="auto" w:fill="auto"/>
            <w:vAlign w:val="center"/>
          </w:tcPr>
          <w:p w14:paraId="71F3359E"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7</w:t>
            </w:r>
          </w:p>
        </w:tc>
        <w:tc>
          <w:tcPr>
            <w:tcW w:w="442" w:type="pct"/>
            <w:shd w:val="clear" w:color="auto" w:fill="auto"/>
            <w:vAlign w:val="center"/>
          </w:tcPr>
          <w:p w14:paraId="2AEE3875"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759,43</w:t>
            </w:r>
          </w:p>
        </w:tc>
      </w:tr>
      <w:tr w:rsidR="00E0306B" w:rsidRPr="00E0306B" w14:paraId="254B3144" w14:textId="77777777" w:rsidTr="00E0306B">
        <w:trPr>
          <w:trHeight w:val="255"/>
          <w:jc w:val="center"/>
        </w:trPr>
        <w:tc>
          <w:tcPr>
            <w:tcW w:w="1109" w:type="pct"/>
            <w:shd w:val="clear" w:color="auto" w:fill="auto"/>
            <w:vAlign w:val="center"/>
            <w:hideMark/>
          </w:tcPr>
          <w:p w14:paraId="3FB05D19" w14:textId="77777777" w:rsidR="005B552E" w:rsidRPr="00E0306B" w:rsidRDefault="005B552E" w:rsidP="00B739A9">
            <w:pPr>
              <w:pStyle w:val="cuatexto"/>
              <w:spacing w:line="240" w:lineRule="auto"/>
              <w:jc w:val="left"/>
              <w:rPr>
                <w:sz w:val="18"/>
                <w:szCs w:val="18"/>
              </w:rPr>
            </w:pPr>
            <w:r>
              <w:rPr>
                <w:sz w:val="18"/>
              </w:rPr>
              <w:t>Kapitaleko gastuak</w:t>
            </w:r>
          </w:p>
        </w:tc>
        <w:tc>
          <w:tcPr>
            <w:tcW w:w="400" w:type="pct"/>
            <w:shd w:val="clear" w:color="auto" w:fill="auto"/>
            <w:vAlign w:val="center"/>
            <w:hideMark/>
          </w:tcPr>
          <w:p w14:paraId="6B983B0F"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98,25</w:t>
            </w:r>
          </w:p>
        </w:tc>
        <w:tc>
          <w:tcPr>
            <w:tcW w:w="461" w:type="pct"/>
            <w:shd w:val="clear" w:color="auto" w:fill="auto"/>
            <w:vAlign w:val="center"/>
          </w:tcPr>
          <w:p w14:paraId="5AAC63D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125,09</w:t>
            </w:r>
          </w:p>
        </w:tc>
        <w:tc>
          <w:tcPr>
            <w:tcW w:w="412" w:type="pct"/>
            <w:shd w:val="clear" w:color="auto" w:fill="auto"/>
            <w:vAlign w:val="center"/>
          </w:tcPr>
          <w:p w14:paraId="3B1E031B"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199,42</w:t>
            </w:r>
          </w:p>
        </w:tc>
        <w:tc>
          <w:tcPr>
            <w:tcW w:w="396" w:type="pct"/>
            <w:shd w:val="clear" w:color="auto" w:fill="auto"/>
            <w:vAlign w:val="center"/>
          </w:tcPr>
          <w:p w14:paraId="417CC2C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123,59</w:t>
            </w:r>
          </w:p>
        </w:tc>
        <w:tc>
          <w:tcPr>
            <w:tcW w:w="396" w:type="pct"/>
            <w:vAlign w:val="center"/>
          </w:tcPr>
          <w:p w14:paraId="4251097E"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173,91</w:t>
            </w:r>
          </w:p>
        </w:tc>
        <w:tc>
          <w:tcPr>
            <w:tcW w:w="459" w:type="pct"/>
            <w:shd w:val="clear" w:color="auto" w:fill="auto"/>
            <w:vAlign w:val="center"/>
            <w:hideMark/>
          </w:tcPr>
          <w:p w14:paraId="23DB4977"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77</w:t>
            </w:r>
          </w:p>
        </w:tc>
        <w:tc>
          <w:tcPr>
            <w:tcW w:w="459" w:type="pct"/>
            <w:vAlign w:val="center"/>
          </w:tcPr>
          <w:p w14:paraId="62F48BB4"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50,33</w:t>
            </w:r>
          </w:p>
        </w:tc>
        <w:tc>
          <w:tcPr>
            <w:tcW w:w="466" w:type="pct"/>
            <w:gridSpan w:val="2"/>
            <w:shd w:val="clear" w:color="auto" w:fill="auto"/>
            <w:vAlign w:val="center"/>
          </w:tcPr>
          <w:p w14:paraId="34FC31A7"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41</w:t>
            </w:r>
          </w:p>
        </w:tc>
        <w:tc>
          <w:tcPr>
            <w:tcW w:w="442" w:type="pct"/>
            <w:shd w:val="clear" w:color="auto" w:fill="auto"/>
            <w:vAlign w:val="center"/>
          </w:tcPr>
          <w:p w14:paraId="47303B5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202,42</w:t>
            </w:r>
          </w:p>
        </w:tc>
      </w:tr>
      <w:tr w:rsidR="00E0306B" w:rsidRPr="00E0306B" w14:paraId="01F49E27" w14:textId="77777777" w:rsidTr="00E0306B">
        <w:trPr>
          <w:trHeight w:val="255"/>
          <w:jc w:val="center"/>
        </w:trPr>
        <w:tc>
          <w:tcPr>
            <w:tcW w:w="1109" w:type="pct"/>
            <w:shd w:val="clear" w:color="auto" w:fill="auto"/>
            <w:vAlign w:val="center"/>
            <w:hideMark/>
          </w:tcPr>
          <w:p w14:paraId="00A24F50" w14:textId="77777777" w:rsidR="005B552E" w:rsidRPr="00E0306B" w:rsidRDefault="005B552E" w:rsidP="00B739A9">
            <w:pPr>
              <w:pStyle w:val="cuatexto"/>
              <w:spacing w:line="240" w:lineRule="auto"/>
              <w:jc w:val="left"/>
              <w:rPr>
                <w:sz w:val="18"/>
                <w:szCs w:val="18"/>
              </w:rPr>
            </w:pPr>
            <w:r>
              <w:rPr>
                <w:sz w:val="18"/>
              </w:rPr>
              <w:t>Aurrekontu-emaitza ez-finantzarioa</w:t>
            </w:r>
          </w:p>
        </w:tc>
        <w:tc>
          <w:tcPr>
            <w:tcW w:w="400" w:type="pct"/>
            <w:shd w:val="clear" w:color="auto" w:fill="auto"/>
            <w:vAlign w:val="center"/>
            <w:hideMark/>
          </w:tcPr>
          <w:p w14:paraId="46E4407D"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62,70</w:t>
            </w:r>
          </w:p>
        </w:tc>
        <w:tc>
          <w:tcPr>
            <w:tcW w:w="461" w:type="pct"/>
            <w:shd w:val="clear" w:color="auto" w:fill="auto"/>
            <w:vAlign w:val="center"/>
          </w:tcPr>
          <w:p w14:paraId="09668693"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81,22</w:t>
            </w:r>
          </w:p>
        </w:tc>
        <w:tc>
          <w:tcPr>
            <w:tcW w:w="412" w:type="pct"/>
            <w:shd w:val="clear" w:color="auto" w:fill="auto"/>
            <w:vAlign w:val="center"/>
          </w:tcPr>
          <w:p w14:paraId="43B95490"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31,16</w:t>
            </w:r>
          </w:p>
        </w:tc>
        <w:tc>
          <w:tcPr>
            <w:tcW w:w="396" w:type="pct"/>
            <w:shd w:val="clear" w:color="auto" w:fill="auto"/>
            <w:vAlign w:val="center"/>
          </w:tcPr>
          <w:p w14:paraId="4F35E337"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78,00</w:t>
            </w:r>
          </w:p>
        </w:tc>
        <w:tc>
          <w:tcPr>
            <w:tcW w:w="396" w:type="pct"/>
            <w:vAlign w:val="center"/>
          </w:tcPr>
          <w:p w14:paraId="3C2631DA"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24,43</w:t>
            </w:r>
          </w:p>
        </w:tc>
        <w:tc>
          <w:tcPr>
            <w:tcW w:w="459" w:type="pct"/>
            <w:shd w:val="clear" w:color="auto" w:fill="auto"/>
            <w:vAlign w:val="center"/>
            <w:hideMark/>
          </w:tcPr>
          <w:p w14:paraId="5D2928C4"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-61</w:t>
            </w:r>
          </w:p>
        </w:tc>
        <w:tc>
          <w:tcPr>
            <w:tcW w:w="459" w:type="pct"/>
            <w:vAlign w:val="center"/>
          </w:tcPr>
          <w:p w14:paraId="25D6140B"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-53,56</w:t>
            </w:r>
          </w:p>
        </w:tc>
        <w:tc>
          <w:tcPr>
            <w:tcW w:w="466" w:type="pct"/>
            <w:gridSpan w:val="2"/>
            <w:shd w:val="clear" w:color="auto" w:fill="auto"/>
            <w:vAlign w:val="center"/>
          </w:tcPr>
          <w:p w14:paraId="1DB1941A"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-69</w:t>
            </w:r>
          </w:p>
        </w:tc>
        <w:tc>
          <w:tcPr>
            <w:tcW w:w="442" w:type="pct"/>
            <w:shd w:val="clear" w:color="auto" w:fill="auto"/>
            <w:vAlign w:val="center"/>
          </w:tcPr>
          <w:p w14:paraId="30B07984"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-54,96</w:t>
            </w:r>
          </w:p>
        </w:tc>
      </w:tr>
      <w:tr w:rsidR="00E0306B" w:rsidRPr="00E0306B" w14:paraId="4BFA5125" w14:textId="77777777" w:rsidTr="00E0306B">
        <w:trPr>
          <w:trHeight w:val="255"/>
          <w:jc w:val="center"/>
        </w:trPr>
        <w:tc>
          <w:tcPr>
            <w:tcW w:w="1109" w:type="pct"/>
            <w:shd w:val="clear" w:color="auto" w:fill="auto"/>
            <w:vAlign w:val="center"/>
            <w:hideMark/>
          </w:tcPr>
          <w:p w14:paraId="7F83C9CF" w14:textId="77777777" w:rsidR="005B552E" w:rsidRPr="00E0306B" w:rsidRDefault="005B552E" w:rsidP="00B739A9">
            <w:pPr>
              <w:pStyle w:val="cuatexto"/>
              <w:spacing w:line="240" w:lineRule="auto"/>
              <w:jc w:val="left"/>
              <w:rPr>
                <w:sz w:val="18"/>
                <w:szCs w:val="18"/>
              </w:rPr>
            </w:pPr>
            <w:r>
              <w:rPr>
                <w:sz w:val="18"/>
              </w:rPr>
              <w:t xml:space="preserve">Aurrezki gordina </w:t>
            </w:r>
          </w:p>
        </w:tc>
        <w:tc>
          <w:tcPr>
            <w:tcW w:w="400" w:type="pct"/>
            <w:shd w:val="clear" w:color="auto" w:fill="auto"/>
            <w:vAlign w:val="center"/>
            <w:hideMark/>
          </w:tcPr>
          <w:p w14:paraId="182B5C6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112,17</w:t>
            </w:r>
          </w:p>
        </w:tc>
        <w:tc>
          <w:tcPr>
            <w:tcW w:w="461" w:type="pct"/>
            <w:shd w:val="clear" w:color="auto" w:fill="auto"/>
            <w:vAlign w:val="center"/>
          </w:tcPr>
          <w:p w14:paraId="3AE0C032"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126,60</w:t>
            </w:r>
          </w:p>
        </w:tc>
        <w:tc>
          <w:tcPr>
            <w:tcW w:w="412" w:type="pct"/>
            <w:shd w:val="clear" w:color="auto" w:fill="auto"/>
            <w:vAlign w:val="center"/>
          </w:tcPr>
          <w:p w14:paraId="7067583D"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137,68</w:t>
            </w:r>
          </w:p>
        </w:tc>
        <w:tc>
          <w:tcPr>
            <w:tcW w:w="396" w:type="pct"/>
            <w:shd w:val="clear" w:color="auto" w:fill="auto"/>
            <w:vAlign w:val="center"/>
          </w:tcPr>
          <w:p w14:paraId="0E3C1E93"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138,84</w:t>
            </w:r>
          </w:p>
        </w:tc>
        <w:tc>
          <w:tcPr>
            <w:tcW w:w="396" w:type="pct"/>
            <w:vAlign w:val="center"/>
          </w:tcPr>
          <w:p w14:paraId="2AE73DD2"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139,09</w:t>
            </w:r>
          </w:p>
        </w:tc>
        <w:tc>
          <w:tcPr>
            <w:tcW w:w="459" w:type="pct"/>
            <w:shd w:val="clear" w:color="auto" w:fill="auto"/>
            <w:vAlign w:val="center"/>
            <w:hideMark/>
          </w:tcPr>
          <w:p w14:paraId="0AA4FC67"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24</w:t>
            </w:r>
          </w:p>
        </w:tc>
        <w:tc>
          <w:tcPr>
            <w:tcW w:w="459" w:type="pct"/>
            <w:vAlign w:val="center"/>
          </w:tcPr>
          <w:p w14:paraId="68933D51"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0,25</w:t>
            </w:r>
          </w:p>
        </w:tc>
        <w:tc>
          <w:tcPr>
            <w:tcW w:w="466" w:type="pct"/>
            <w:gridSpan w:val="2"/>
            <w:shd w:val="clear" w:color="auto" w:fill="auto"/>
            <w:vAlign w:val="center"/>
          </w:tcPr>
          <w:p w14:paraId="5D56E414"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0</w:t>
            </w:r>
          </w:p>
        </w:tc>
        <w:tc>
          <w:tcPr>
            <w:tcW w:w="442" w:type="pct"/>
            <w:shd w:val="clear" w:color="auto" w:fill="auto"/>
            <w:vAlign w:val="center"/>
          </w:tcPr>
          <w:p w14:paraId="51C03630"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148,50</w:t>
            </w:r>
          </w:p>
        </w:tc>
      </w:tr>
      <w:tr w:rsidR="00E0306B" w:rsidRPr="00E0306B" w14:paraId="58FF7218" w14:textId="77777777" w:rsidTr="00E0306B">
        <w:trPr>
          <w:trHeight w:val="255"/>
          <w:jc w:val="center"/>
        </w:trPr>
        <w:tc>
          <w:tcPr>
            <w:tcW w:w="1109" w:type="pct"/>
            <w:shd w:val="clear" w:color="auto" w:fill="auto"/>
            <w:vAlign w:val="center"/>
            <w:hideMark/>
          </w:tcPr>
          <w:p w14:paraId="649E3441" w14:textId="77777777" w:rsidR="005B552E" w:rsidRPr="00E0306B" w:rsidRDefault="005B552E" w:rsidP="00B739A9">
            <w:pPr>
              <w:pStyle w:val="cuatexto"/>
              <w:spacing w:line="240" w:lineRule="auto"/>
              <w:jc w:val="left"/>
              <w:rPr>
                <w:sz w:val="18"/>
                <w:szCs w:val="18"/>
              </w:rPr>
            </w:pPr>
            <w:r>
              <w:rPr>
                <w:sz w:val="18"/>
              </w:rPr>
              <w:t>Finantza-zama</w:t>
            </w:r>
          </w:p>
        </w:tc>
        <w:tc>
          <w:tcPr>
            <w:tcW w:w="400" w:type="pct"/>
            <w:shd w:val="clear" w:color="auto" w:fill="auto"/>
            <w:vAlign w:val="center"/>
            <w:hideMark/>
          </w:tcPr>
          <w:p w14:paraId="07F7DFB3"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47,59</w:t>
            </w:r>
          </w:p>
        </w:tc>
        <w:tc>
          <w:tcPr>
            <w:tcW w:w="461" w:type="pct"/>
            <w:shd w:val="clear" w:color="auto" w:fill="auto"/>
            <w:vAlign w:val="center"/>
          </w:tcPr>
          <w:p w14:paraId="4267821D"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35,00</w:t>
            </w:r>
          </w:p>
        </w:tc>
        <w:tc>
          <w:tcPr>
            <w:tcW w:w="412" w:type="pct"/>
            <w:shd w:val="clear" w:color="auto" w:fill="auto"/>
            <w:vAlign w:val="center"/>
          </w:tcPr>
          <w:p w14:paraId="4A87CCDF"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30,54</w:t>
            </w:r>
          </w:p>
        </w:tc>
        <w:tc>
          <w:tcPr>
            <w:tcW w:w="396" w:type="pct"/>
            <w:shd w:val="clear" w:color="auto" w:fill="auto"/>
            <w:vAlign w:val="center"/>
          </w:tcPr>
          <w:p w14:paraId="3717A9CF"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30,33</w:t>
            </w:r>
          </w:p>
        </w:tc>
        <w:tc>
          <w:tcPr>
            <w:tcW w:w="396" w:type="pct"/>
            <w:vAlign w:val="center"/>
          </w:tcPr>
          <w:p w14:paraId="5FBAD9A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26,21</w:t>
            </w:r>
          </w:p>
        </w:tc>
        <w:tc>
          <w:tcPr>
            <w:tcW w:w="459" w:type="pct"/>
            <w:shd w:val="clear" w:color="auto" w:fill="auto"/>
            <w:vAlign w:val="center"/>
            <w:hideMark/>
          </w:tcPr>
          <w:p w14:paraId="55070055"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-45</w:t>
            </w:r>
          </w:p>
        </w:tc>
        <w:tc>
          <w:tcPr>
            <w:tcW w:w="459" w:type="pct"/>
            <w:vAlign w:val="center"/>
          </w:tcPr>
          <w:p w14:paraId="587250E3"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-4,13</w:t>
            </w:r>
          </w:p>
        </w:tc>
        <w:tc>
          <w:tcPr>
            <w:tcW w:w="466" w:type="pct"/>
            <w:gridSpan w:val="2"/>
            <w:shd w:val="clear" w:color="auto" w:fill="auto"/>
            <w:vAlign w:val="center"/>
          </w:tcPr>
          <w:p w14:paraId="5E2FC84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-14</w:t>
            </w:r>
          </w:p>
        </w:tc>
        <w:tc>
          <w:tcPr>
            <w:tcW w:w="442" w:type="pct"/>
            <w:shd w:val="clear" w:color="auto" w:fill="auto"/>
            <w:vAlign w:val="center"/>
          </w:tcPr>
          <w:p w14:paraId="29D34BAD"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26,21</w:t>
            </w:r>
          </w:p>
        </w:tc>
      </w:tr>
      <w:tr w:rsidR="00E0306B" w:rsidRPr="00E0306B" w14:paraId="01DF2FD2" w14:textId="77777777" w:rsidTr="00E0306B">
        <w:trPr>
          <w:trHeight w:val="255"/>
          <w:jc w:val="center"/>
        </w:trPr>
        <w:tc>
          <w:tcPr>
            <w:tcW w:w="1109" w:type="pct"/>
            <w:shd w:val="clear" w:color="auto" w:fill="auto"/>
            <w:vAlign w:val="center"/>
            <w:hideMark/>
          </w:tcPr>
          <w:p w14:paraId="7730857D" w14:textId="77777777" w:rsidR="005B552E" w:rsidRPr="00E0306B" w:rsidRDefault="005B552E" w:rsidP="00B739A9">
            <w:pPr>
              <w:pStyle w:val="cuatexto"/>
              <w:spacing w:line="240" w:lineRule="auto"/>
              <w:jc w:val="left"/>
              <w:rPr>
                <w:sz w:val="18"/>
                <w:szCs w:val="18"/>
              </w:rPr>
            </w:pPr>
            <w:r>
              <w:rPr>
                <w:sz w:val="18"/>
              </w:rPr>
              <w:t xml:space="preserve">Aurrezki garbia </w:t>
            </w:r>
          </w:p>
        </w:tc>
        <w:tc>
          <w:tcPr>
            <w:tcW w:w="400" w:type="pct"/>
            <w:shd w:val="clear" w:color="auto" w:fill="auto"/>
            <w:vAlign w:val="center"/>
            <w:hideMark/>
          </w:tcPr>
          <w:p w14:paraId="7DE3BF1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65,58</w:t>
            </w:r>
          </w:p>
        </w:tc>
        <w:tc>
          <w:tcPr>
            <w:tcW w:w="461" w:type="pct"/>
            <w:shd w:val="clear" w:color="auto" w:fill="auto"/>
            <w:vAlign w:val="center"/>
          </w:tcPr>
          <w:p w14:paraId="3D9F5422"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91,60</w:t>
            </w:r>
          </w:p>
        </w:tc>
        <w:tc>
          <w:tcPr>
            <w:tcW w:w="412" w:type="pct"/>
            <w:shd w:val="clear" w:color="auto" w:fill="auto"/>
            <w:vAlign w:val="center"/>
          </w:tcPr>
          <w:p w14:paraId="19ECECD8"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107,14</w:t>
            </w:r>
          </w:p>
        </w:tc>
        <w:tc>
          <w:tcPr>
            <w:tcW w:w="396" w:type="pct"/>
            <w:shd w:val="clear" w:color="auto" w:fill="auto"/>
            <w:vAlign w:val="center"/>
          </w:tcPr>
          <w:p w14:paraId="6C3AABF8"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108,51</w:t>
            </w:r>
          </w:p>
        </w:tc>
        <w:tc>
          <w:tcPr>
            <w:tcW w:w="396" w:type="pct"/>
            <w:vAlign w:val="center"/>
          </w:tcPr>
          <w:p w14:paraId="788CE0EA"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112,89</w:t>
            </w:r>
          </w:p>
        </w:tc>
        <w:tc>
          <w:tcPr>
            <w:tcW w:w="459" w:type="pct"/>
            <w:shd w:val="clear" w:color="auto" w:fill="auto"/>
            <w:vAlign w:val="center"/>
            <w:hideMark/>
          </w:tcPr>
          <w:p w14:paraId="23D9E551"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72</w:t>
            </w:r>
          </w:p>
        </w:tc>
        <w:tc>
          <w:tcPr>
            <w:tcW w:w="459" w:type="pct"/>
            <w:vAlign w:val="center"/>
          </w:tcPr>
          <w:p w14:paraId="7A6CF863"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4,37</w:t>
            </w:r>
          </w:p>
        </w:tc>
        <w:tc>
          <w:tcPr>
            <w:tcW w:w="466" w:type="pct"/>
            <w:gridSpan w:val="2"/>
            <w:shd w:val="clear" w:color="auto" w:fill="auto"/>
            <w:vAlign w:val="center"/>
          </w:tcPr>
          <w:p w14:paraId="2A108F41"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w:t>
            </w:r>
          </w:p>
        </w:tc>
        <w:tc>
          <w:tcPr>
            <w:tcW w:w="442" w:type="pct"/>
            <w:shd w:val="clear" w:color="auto" w:fill="auto"/>
            <w:vAlign w:val="center"/>
          </w:tcPr>
          <w:p w14:paraId="518AA080"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122,30</w:t>
            </w:r>
          </w:p>
        </w:tc>
      </w:tr>
      <w:tr w:rsidR="00E0306B" w:rsidRPr="00E0306B" w14:paraId="63632273" w14:textId="77777777" w:rsidTr="00E0306B">
        <w:trPr>
          <w:trHeight w:val="255"/>
          <w:jc w:val="center"/>
        </w:trPr>
        <w:tc>
          <w:tcPr>
            <w:tcW w:w="1109" w:type="pct"/>
            <w:shd w:val="clear" w:color="auto" w:fill="auto"/>
            <w:vAlign w:val="center"/>
            <w:hideMark/>
          </w:tcPr>
          <w:p w14:paraId="33824BFA" w14:textId="2CB98085" w:rsidR="005B552E" w:rsidRPr="00E0306B" w:rsidRDefault="00E0306B" w:rsidP="00E0306B">
            <w:pPr>
              <w:pStyle w:val="cuatexto"/>
              <w:spacing w:line="240" w:lineRule="auto"/>
              <w:jc w:val="left"/>
              <w:rPr>
                <w:sz w:val="18"/>
                <w:szCs w:val="18"/>
              </w:rPr>
            </w:pPr>
            <w:r>
              <w:rPr>
                <w:sz w:val="18"/>
              </w:rPr>
              <w:t>Fin. zamaren indizea (fin. zamaren % sarr. arr. gabe)</w:t>
            </w:r>
          </w:p>
        </w:tc>
        <w:tc>
          <w:tcPr>
            <w:tcW w:w="400" w:type="pct"/>
            <w:shd w:val="clear" w:color="auto" w:fill="auto"/>
            <w:vAlign w:val="center"/>
            <w:hideMark/>
          </w:tcPr>
          <w:p w14:paraId="0B8123B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6,58</w:t>
            </w:r>
          </w:p>
        </w:tc>
        <w:tc>
          <w:tcPr>
            <w:tcW w:w="461" w:type="pct"/>
            <w:shd w:val="clear" w:color="auto" w:fill="auto"/>
            <w:vAlign w:val="center"/>
          </w:tcPr>
          <w:p w14:paraId="2F91A2D4"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4,65</w:t>
            </w:r>
          </w:p>
        </w:tc>
        <w:tc>
          <w:tcPr>
            <w:tcW w:w="412" w:type="pct"/>
            <w:shd w:val="clear" w:color="auto" w:fill="auto"/>
            <w:vAlign w:val="center"/>
          </w:tcPr>
          <w:p w14:paraId="3C735FF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3,86</w:t>
            </w:r>
          </w:p>
        </w:tc>
        <w:tc>
          <w:tcPr>
            <w:tcW w:w="396" w:type="pct"/>
            <w:shd w:val="clear" w:color="auto" w:fill="auto"/>
            <w:vAlign w:val="center"/>
          </w:tcPr>
          <w:p w14:paraId="039607E1"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3,88</w:t>
            </w:r>
          </w:p>
        </w:tc>
        <w:tc>
          <w:tcPr>
            <w:tcW w:w="396" w:type="pct"/>
            <w:vAlign w:val="center"/>
          </w:tcPr>
          <w:p w14:paraId="7C6B5E7B"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3,16</w:t>
            </w:r>
          </w:p>
        </w:tc>
        <w:tc>
          <w:tcPr>
            <w:tcW w:w="459" w:type="pct"/>
            <w:shd w:val="clear" w:color="auto" w:fill="auto"/>
            <w:vAlign w:val="center"/>
            <w:hideMark/>
          </w:tcPr>
          <w:p w14:paraId="467F6B67"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-52</w:t>
            </w:r>
          </w:p>
        </w:tc>
        <w:tc>
          <w:tcPr>
            <w:tcW w:w="459" w:type="pct"/>
            <w:vAlign w:val="center"/>
          </w:tcPr>
          <w:p w14:paraId="710A111B"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-0,72</w:t>
            </w:r>
          </w:p>
        </w:tc>
        <w:tc>
          <w:tcPr>
            <w:tcW w:w="466" w:type="pct"/>
            <w:gridSpan w:val="2"/>
            <w:shd w:val="clear" w:color="auto" w:fill="auto"/>
            <w:vAlign w:val="center"/>
          </w:tcPr>
          <w:p w14:paraId="453CE34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-19</w:t>
            </w:r>
          </w:p>
        </w:tc>
        <w:tc>
          <w:tcPr>
            <w:tcW w:w="442" w:type="pct"/>
            <w:shd w:val="clear" w:color="auto" w:fill="auto"/>
            <w:vAlign w:val="center"/>
          </w:tcPr>
          <w:p w14:paraId="22FAAF40"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2,89</w:t>
            </w:r>
          </w:p>
        </w:tc>
      </w:tr>
      <w:tr w:rsidR="00E0306B" w:rsidRPr="00E0306B" w14:paraId="4B1C113F" w14:textId="77777777" w:rsidTr="00E0306B">
        <w:trPr>
          <w:trHeight w:val="255"/>
          <w:jc w:val="center"/>
        </w:trPr>
        <w:tc>
          <w:tcPr>
            <w:tcW w:w="1109" w:type="pct"/>
            <w:shd w:val="clear" w:color="auto" w:fill="auto"/>
            <w:vAlign w:val="center"/>
            <w:hideMark/>
          </w:tcPr>
          <w:p w14:paraId="73BA41ED" w14:textId="77777777" w:rsidR="005B552E" w:rsidRPr="00E0306B" w:rsidRDefault="005B552E" w:rsidP="00B739A9">
            <w:pPr>
              <w:pStyle w:val="cuatexto"/>
              <w:spacing w:line="240" w:lineRule="auto"/>
              <w:jc w:val="left"/>
              <w:rPr>
                <w:sz w:val="18"/>
                <w:szCs w:val="18"/>
              </w:rPr>
            </w:pPr>
            <w:r>
              <w:rPr>
                <w:sz w:val="18"/>
              </w:rPr>
              <w:t>Aurrezki gordina/sarr. arr. (%)</w:t>
            </w:r>
          </w:p>
        </w:tc>
        <w:tc>
          <w:tcPr>
            <w:tcW w:w="400" w:type="pct"/>
            <w:shd w:val="clear" w:color="auto" w:fill="auto"/>
            <w:vAlign w:val="center"/>
            <w:hideMark/>
          </w:tcPr>
          <w:p w14:paraId="4511F602"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15,52</w:t>
            </w:r>
          </w:p>
        </w:tc>
        <w:tc>
          <w:tcPr>
            <w:tcW w:w="461" w:type="pct"/>
            <w:shd w:val="clear" w:color="auto" w:fill="auto"/>
            <w:vAlign w:val="center"/>
          </w:tcPr>
          <w:p w14:paraId="23A6C815"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16,82</w:t>
            </w:r>
          </w:p>
        </w:tc>
        <w:tc>
          <w:tcPr>
            <w:tcW w:w="412" w:type="pct"/>
            <w:shd w:val="clear" w:color="auto" w:fill="auto"/>
            <w:vAlign w:val="center"/>
          </w:tcPr>
          <w:p w14:paraId="6C76D12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17,39</w:t>
            </w:r>
          </w:p>
        </w:tc>
        <w:tc>
          <w:tcPr>
            <w:tcW w:w="396" w:type="pct"/>
            <w:shd w:val="clear" w:color="auto" w:fill="auto"/>
            <w:vAlign w:val="center"/>
          </w:tcPr>
          <w:p w14:paraId="357F0770"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17,75</w:t>
            </w:r>
          </w:p>
        </w:tc>
        <w:tc>
          <w:tcPr>
            <w:tcW w:w="396" w:type="pct"/>
            <w:vAlign w:val="center"/>
          </w:tcPr>
          <w:p w14:paraId="4A39BF5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16,77</w:t>
            </w:r>
          </w:p>
        </w:tc>
        <w:tc>
          <w:tcPr>
            <w:tcW w:w="459" w:type="pct"/>
            <w:shd w:val="clear" w:color="auto" w:fill="auto"/>
            <w:vAlign w:val="center"/>
            <w:hideMark/>
          </w:tcPr>
          <w:p w14:paraId="7303948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8</w:t>
            </w:r>
          </w:p>
        </w:tc>
        <w:tc>
          <w:tcPr>
            <w:tcW w:w="459" w:type="pct"/>
            <w:vAlign w:val="center"/>
          </w:tcPr>
          <w:p w14:paraId="5970E755"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-0,99</w:t>
            </w:r>
          </w:p>
        </w:tc>
        <w:tc>
          <w:tcPr>
            <w:tcW w:w="466" w:type="pct"/>
            <w:gridSpan w:val="2"/>
            <w:shd w:val="clear" w:color="auto" w:fill="auto"/>
            <w:vAlign w:val="center"/>
          </w:tcPr>
          <w:p w14:paraId="1AE7CD57"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-6</w:t>
            </w:r>
          </w:p>
        </w:tc>
        <w:tc>
          <w:tcPr>
            <w:tcW w:w="442" w:type="pct"/>
            <w:shd w:val="clear" w:color="auto" w:fill="auto"/>
            <w:vAlign w:val="center"/>
          </w:tcPr>
          <w:p w14:paraId="7837746F"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16,36</w:t>
            </w:r>
          </w:p>
        </w:tc>
      </w:tr>
      <w:tr w:rsidR="00E0306B" w:rsidRPr="00E0306B" w14:paraId="58553678" w14:textId="77777777" w:rsidTr="00E0306B">
        <w:trPr>
          <w:trHeight w:val="255"/>
          <w:jc w:val="center"/>
        </w:trPr>
        <w:tc>
          <w:tcPr>
            <w:tcW w:w="1109" w:type="pct"/>
            <w:shd w:val="clear" w:color="auto" w:fill="auto"/>
            <w:vAlign w:val="center"/>
            <w:hideMark/>
          </w:tcPr>
          <w:p w14:paraId="18DE8C25" w14:textId="77777777" w:rsidR="00E72E7F" w:rsidRPr="00E0306B" w:rsidRDefault="005B552E" w:rsidP="00B739A9">
            <w:pPr>
              <w:pStyle w:val="cuatexto"/>
              <w:spacing w:line="240" w:lineRule="auto"/>
              <w:jc w:val="left"/>
              <w:rPr>
                <w:sz w:val="18"/>
                <w:szCs w:val="18"/>
              </w:rPr>
            </w:pPr>
            <w:r>
              <w:rPr>
                <w:sz w:val="18"/>
              </w:rPr>
              <w:t xml:space="preserve">Zorpetzeko </w:t>
            </w:r>
          </w:p>
          <w:p w14:paraId="28C261FC" w14:textId="77777777" w:rsidR="005B552E" w:rsidRPr="00E0306B" w:rsidRDefault="005B552E" w:rsidP="00B739A9">
            <w:pPr>
              <w:pStyle w:val="cuatexto"/>
              <w:spacing w:line="240" w:lineRule="auto"/>
              <w:jc w:val="left"/>
              <w:rPr>
                <w:sz w:val="18"/>
                <w:szCs w:val="18"/>
              </w:rPr>
            </w:pPr>
            <w:r>
              <w:rPr>
                <w:sz w:val="18"/>
              </w:rPr>
              <w:t>gaitasuna (%)</w:t>
            </w:r>
          </w:p>
        </w:tc>
        <w:tc>
          <w:tcPr>
            <w:tcW w:w="400" w:type="pct"/>
            <w:shd w:val="clear" w:color="auto" w:fill="auto"/>
            <w:vAlign w:val="center"/>
            <w:hideMark/>
          </w:tcPr>
          <w:p w14:paraId="281A990E"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8,94</w:t>
            </w:r>
          </w:p>
        </w:tc>
        <w:tc>
          <w:tcPr>
            <w:tcW w:w="461" w:type="pct"/>
            <w:shd w:val="clear" w:color="auto" w:fill="auto"/>
            <w:vAlign w:val="center"/>
          </w:tcPr>
          <w:p w14:paraId="45A29E12"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12,17</w:t>
            </w:r>
          </w:p>
        </w:tc>
        <w:tc>
          <w:tcPr>
            <w:tcW w:w="412" w:type="pct"/>
            <w:shd w:val="clear" w:color="auto" w:fill="auto"/>
            <w:vAlign w:val="center"/>
          </w:tcPr>
          <w:p w14:paraId="03B69FA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13,53</w:t>
            </w:r>
          </w:p>
        </w:tc>
        <w:tc>
          <w:tcPr>
            <w:tcW w:w="396" w:type="pct"/>
            <w:shd w:val="clear" w:color="auto" w:fill="auto"/>
            <w:vAlign w:val="center"/>
          </w:tcPr>
          <w:p w14:paraId="0C20721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13,88</w:t>
            </w:r>
          </w:p>
        </w:tc>
        <w:tc>
          <w:tcPr>
            <w:tcW w:w="396" w:type="pct"/>
            <w:vAlign w:val="center"/>
          </w:tcPr>
          <w:p w14:paraId="110D5306"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13,61</w:t>
            </w:r>
          </w:p>
        </w:tc>
        <w:tc>
          <w:tcPr>
            <w:tcW w:w="459" w:type="pct"/>
            <w:shd w:val="clear" w:color="auto" w:fill="auto"/>
            <w:vAlign w:val="center"/>
            <w:hideMark/>
          </w:tcPr>
          <w:p w14:paraId="00B008B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52</w:t>
            </w:r>
          </w:p>
        </w:tc>
        <w:tc>
          <w:tcPr>
            <w:tcW w:w="459" w:type="pct"/>
            <w:vAlign w:val="center"/>
          </w:tcPr>
          <w:p w14:paraId="3CEF5F12"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-0,27</w:t>
            </w:r>
          </w:p>
        </w:tc>
        <w:tc>
          <w:tcPr>
            <w:tcW w:w="466" w:type="pct"/>
            <w:gridSpan w:val="2"/>
            <w:shd w:val="clear" w:color="auto" w:fill="auto"/>
            <w:vAlign w:val="center"/>
          </w:tcPr>
          <w:p w14:paraId="1CBA0AC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-2</w:t>
            </w:r>
          </w:p>
        </w:tc>
        <w:tc>
          <w:tcPr>
            <w:tcW w:w="442" w:type="pct"/>
            <w:shd w:val="clear" w:color="auto" w:fill="auto"/>
            <w:vAlign w:val="center"/>
          </w:tcPr>
          <w:p w14:paraId="59A68FBB"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13,47</w:t>
            </w:r>
          </w:p>
        </w:tc>
      </w:tr>
      <w:tr w:rsidR="00E0306B" w:rsidRPr="00E0306B" w14:paraId="01CD4200" w14:textId="77777777" w:rsidTr="00E0306B">
        <w:trPr>
          <w:trHeight w:val="255"/>
          <w:jc w:val="center"/>
        </w:trPr>
        <w:tc>
          <w:tcPr>
            <w:tcW w:w="1109" w:type="pct"/>
            <w:tcBorders>
              <w:bottom w:val="single" w:sz="2" w:space="0" w:color="auto"/>
            </w:tcBorders>
            <w:shd w:val="clear" w:color="auto" w:fill="auto"/>
            <w:vAlign w:val="center"/>
            <w:hideMark/>
          </w:tcPr>
          <w:p w14:paraId="0881BECC" w14:textId="77777777" w:rsidR="005B552E" w:rsidRPr="00E0306B" w:rsidRDefault="005B552E" w:rsidP="00B739A9">
            <w:pPr>
              <w:pStyle w:val="cuatexto"/>
              <w:spacing w:line="240" w:lineRule="auto"/>
              <w:jc w:val="left"/>
              <w:rPr>
                <w:sz w:val="18"/>
                <w:szCs w:val="18"/>
              </w:rPr>
            </w:pPr>
            <w:r>
              <w:rPr>
                <w:sz w:val="18"/>
              </w:rPr>
              <w:t>Zor bizia</w:t>
            </w:r>
            <w:r>
              <w:rPr>
                <w:sz w:val="18"/>
                <w:vertAlign w:val="superscript"/>
              </w:rPr>
              <w:t>2</w:t>
            </w:r>
          </w:p>
        </w:tc>
        <w:tc>
          <w:tcPr>
            <w:tcW w:w="400" w:type="pct"/>
            <w:tcBorders>
              <w:bottom w:val="single" w:sz="2" w:space="0" w:color="auto"/>
            </w:tcBorders>
            <w:shd w:val="clear" w:color="auto" w:fill="auto"/>
            <w:vAlign w:val="center"/>
            <w:hideMark/>
          </w:tcPr>
          <w:p w14:paraId="61691E9A"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234,26</w:t>
            </w:r>
          </w:p>
        </w:tc>
        <w:tc>
          <w:tcPr>
            <w:tcW w:w="461" w:type="pct"/>
            <w:tcBorders>
              <w:bottom w:val="single" w:sz="2" w:space="0" w:color="auto"/>
            </w:tcBorders>
            <w:shd w:val="clear" w:color="auto" w:fill="auto"/>
            <w:vAlign w:val="center"/>
          </w:tcPr>
          <w:p w14:paraId="7399C083"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207,63</w:t>
            </w:r>
          </w:p>
        </w:tc>
        <w:tc>
          <w:tcPr>
            <w:tcW w:w="412" w:type="pct"/>
            <w:tcBorders>
              <w:bottom w:val="single" w:sz="2" w:space="0" w:color="auto"/>
            </w:tcBorders>
            <w:shd w:val="clear" w:color="auto" w:fill="auto"/>
            <w:vAlign w:val="center"/>
          </w:tcPr>
          <w:p w14:paraId="435B9178"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179,61</w:t>
            </w:r>
          </w:p>
        </w:tc>
        <w:tc>
          <w:tcPr>
            <w:tcW w:w="396" w:type="pct"/>
            <w:tcBorders>
              <w:bottom w:val="single" w:sz="2" w:space="0" w:color="auto"/>
            </w:tcBorders>
            <w:shd w:val="clear" w:color="auto" w:fill="auto"/>
            <w:vAlign w:val="center"/>
          </w:tcPr>
          <w:p w14:paraId="11B73964"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137,74</w:t>
            </w:r>
          </w:p>
        </w:tc>
        <w:tc>
          <w:tcPr>
            <w:tcW w:w="396" w:type="pct"/>
            <w:tcBorders>
              <w:bottom w:val="single" w:sz="2" w:space="0" w:color="auto"/>
            </w:tcBorders>
            <w:vAlign w:val="center"/>
          </w:tcPr>
          <w:p w14:paraId="790D41BF"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121,68</w:t>
            </w:r>
          </w:p>
        </w:tc>
        <w:tc>
          <w:tcPr>
            <w:tcW w:w="459" w:type="pct"/>
            <w:tcBorders>
              <w:bottom w:val="single" w:sz="2" w:space="0" w:color="auto"/>
            </w:tcBorders>
            <w:shd w:val="clear" w:color="auto" w:fill="auto"/>
            <w:vAlign w:val="center"/>
            <w:hideMark/>
          </w:tcPr>
          <w:p w14:paraId="5730082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-48</w:t>
            </w:r>
          </w:p>
        </w:tc>
        <w:tc>
          <w:tcPr>
            <w:tcW w:w="459" w:type="pct"/>
            <w:tcBorders>
              <w:bottom w:val="single" w:sz="2" w:space="0" w:color="auto"/>
            </w:tcBorders>
            <w:vAlign w:val="center"/>
          </w:tcPr>
          <w:p w14:paraId="55D9D2FC"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-16,06</w:t>
            </w:r>
          </w:p>
        </w:tc>
        <w:tc>
          <w:tcPr>
            <w:tcW w:w="466" w:type="pct"/>
            <w:gridSpan w:val="2"/>
            <w:tcBorders>
              <w:bottom w:val="single" w:sz="2" w:space="0" w:color="auto"/>
            </w:tcBorders>
            <w:shd w:val="clear" w:color="auto" w:fill="auto"/>
            <w:vAlign w:val="center"/>
          </w:tcPr>
          <w:p w14:paraId="187D42AA"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w:t>
            </w:r>
          </w:p>
        </w:tc>
        <w:tc>
          <w:tcPr>
            <w:tcW w:w="442" w:type="pct"/>
            <w:tcBorders>
              <w:bottom w:val="single" w:sz="2" w:space="0" w:color="auto"/>
            </w:tcBorders>
            <w:shd w:val="clear" w:color="000000" w:fill="FFFFFF" w:themeFill="background1"/>
            <w:vAlign w:val="center"/>
          </w:tcPr>
          <w:p w14:paraId="5413BDA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121,68</w:t>
            </w:r>
          </w:p>
        </w:tc>
      </w:tr>
      <w:tr w:rsidR="00E0306B" w:rsidRPr="00E0306B" w14:paraId="1606FFB9" w14:textId="77777777" w:rsidTr="00E0306B">
        <w:trPr>
          <w:trHeight w:val="255"/>
          <w:jc w:val="center"/>
        </w:trPr>
        <w:tc>
          <w:tcPr>
            <w:tcW w:w="1109" w:type="pct"/>
            <w:tcBorders>
              <w:top w:val="single" w:sz="2" w:space="0" w:color="auto"/>
              <w:bottom w:val="single" w:sz="4" w:space="0" w:color="auto"/>
            </w:tcBorders>
            <w:shd w:val="clear" w:color="auto" w:fill="auto"/>
            <w:vAlign w:val="center"/>
            <w:hideMark/>
          </w:tcPr>
          <w:p w14:paraId="4065B49B" w14:textId="77777777" w:rsidR="005B552E" w:rsidRPr="00E0306B" w:rsidRDefault="005B552E" w:rsidP="00B739A9">
            <w:pPr>
              <w:pStyle w:val="cuatexto"/>
              <w:spacing w:line="240" w:lineRule="auto"/>
              <w:jc w:val="left"/>
              <w:rPr>
                <w:sz w:val="18"/>
                <w:szCs w:val="18"/>
              </w:rPr>
            </w:pPr>
            <w:r>
              <w:rPr>
                <w:sz w:val="18"/>
              </w:rPr>
              <w:t>Gastu orokorretarako diruzaintza-gerakina</w:t>
            </w:r>
          </w:p>
        </w:tc>
        <w:tc>
          <w:tcPr>
            <w:tcW w:w="400" w:type="pct"/>
            <w:tcBorders>
              <w:top w:val="single" w:sz="2" w:space="0" w:color="auto"/>
              <w:bottom w:val="single" w:sz="4" w:space="0" w:color="auto"/>
            </w:tcBorders>
            <w:shd w:val="clear" w:color="auto" w:fill="auto"/>
            <w:vAlign w:val="center"/>
            <w:hideMark/>
          </w:tcPr>
          <w:p w14:paraId="35939B9B"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238,45</w:t>
            </w:r>
          </w:p>
        </w:tc>
        <w:tc>
          <w:tcPr>
            <w:tcW w:w="461" w:type="pct"/>
            <w:tcBorders>
              <w:top w:val="single" w:sz="2" w:space="0" w:color="auto"/>
              <w:bottom w:val="single" w:sz="4" w:space="0" w:color="auto"/>
            </w:tcBorders>
            <w:shd w:val="clear" w:color="auto" w:fill="auto"/>
            <w:vAlign w:val="center"/>
          </w:tcPr>
          <w:p w14:paraId="31D1DB9B"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250,65</w:t>
            </w:r>
          </w:p>
        </w:tc>
        <w:tc>
          <w:tcPr>
            <w:tcW w:w="412" w:type="pct"/>
            <w:tcBorders>
              <w:top w:val="single" w:sz="2" w:space="0" w:color="auto"/>
              <w:bottom w:val="single" w:sz="4" w:space="0" w:color="auto"/>
            </w:tcBorders>
            <w:shd w:val="clear" w:color="auto" w:fill="auto"/>
            <w:vAlign w:val="center"/>
          </w:tcPr>
          <w:p w14:paraId="31ABD136"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275,17</w:t>
            </w:r>
          </w:p>
        </w:tc>
        <w:tc>
          <w:tcPr>
            <w:tcW w:w="396" w:type="pct"/>
            <w:tcBorders>
              <w:top w:val="single" w:sz="2" w:space="0" w:color="auto"/>
              <w:bottom w:val="single" w:sz="4" w:space="0" w:color="auto"/>
            </w:tcBorders>
            <w:shd w:val="clear" w:color="auto" w:fill="auto"/>
            <w:vAlign w:val="center"/>
          </w:tcPr>
          <w:p w14:paraId="446598E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301,52</w:t>
            </w:r>
          </w:p>
        </w:tc>
        <w:tc>
          <w:tcPr>
            <w:tcW w:w="396" w:type="pct"/>
            <w:tcBorders>
              <w:top w:val="single" w:sz="2" w:space="0" w:color="auto"/>
              <w:bottom w:val="single" w:sz="4" w:space="0" w:color="auto"/>
            </w:tcBorders>
            <w:vAlign w:val="center"/>
          </w:tcPr>
          <w:p w14:paraId="5BCF9389"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335,45</w:t>
            </w:r>
          </w:p>
        </w:tc>
        <w:tc>
          <w:tcPr>
            <w:tcW w:w="459" w:type="pct"/>
            <w:tcBorders>
              <w:top w:val="single" w:sz="2" w:space="0" w:color="auto"/>
              <w:bottom w:val="single" w:sz="4" w:space="0" w:color="auto"/>
            </w:tcBorders>
            <w:shd w:val="clear" w:color="auto" w:fill="auto"/>
            <w:vAlign w:val="center"/>
            <w:hideMark/>
          </w:tcPr>
          <w:p w14:paraId="03679400"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41</w:t>
            </w:r>
          </w:p>
        </w:tc>
        <w:tc>
          <w:tcPr>
            <w:tcW w:w="459" w:type="pct"/>
            <w:tcBorders>
              <w:top w:val="single" w:sz="2" w:space="0" w:color="auto"/>
              <w:bottom w:val="single" w:sz="4" w:space="0" w:color="auto"/>
            </w:tcBorders>
            <w:vAlign w:val="center"/>
          </w:tcPr>
          <w:p w14:paraId="045AB01D" w14:textId="77777777" w:rsidR="005B552E" w:rsidRPr="00E0306B" w:rsidRDefault="005B552E" w:rsidP="005B552E">
            <w:pPr>
              <w:spacing w:after="0"/>
              <w:ind w:firstLine="0"/>
              <w:jc w:val="right"/>
              <w:rPr>
                <w:rFonts w:ascii="Arial Narrow" w:hAnsi="Arial Narrow" w:cs="Calibri"/>
                <w:color w:val="000000"/>
                <w:sz w:val="18"/>
                <w:szCs w:val="18"/>
              </w:rPr>
            </w:pPr>
            <w:r>
              <w:rPr>
                <w:rFonts w:ascii="Arial Narrow" w:hAnsi="Arial Narrow"/>
                <w:color w:val="000000"/>
                <w:sz w:val="18"/>
              </w:rPr>
              <w:t>33,93</w:t>
            </w:r>
          </w:p>
        </w:tc>
        <w:tc>
          <w:tcPr>
            <w:tcW w:w="466" w:type="pct"/>
            <w:gridSpan w:val="2"/>
            <w:tcBorders>
              <w:top w:val="single" w:sz="2" w:space="0" w:color="auto"/>
              <w:bottom w:val="single" w:sz="4" w:space="0" w:color="auto"/>
            </w:tcBorders>
            <w:shd w:val="clear" w:color="auto" w:fill="auto"/>
            <w:vAlign w:val="center"/>
          </w:tcPr>
          <w:p w14:paraId="1D7208FC" w14:textId="77777777" w:rsidR="005B552E" w:rsidRPr="00E0306B" w:rsidRDefault="005B552E" w:rsidP="005B552E">
            <w:pPr>
              <w:spacing w:after="0"/>
              <w:ind w:firstLine="0"/>
              <w:jc w:val="right"/>
              <w:rPr>
                <w:rFonts w:ascii="Arial Narrow" w:hAnsi="Arial Narrow" w:cs="Calibri"/>
                <w:sz w:val="18"/>
                <w:szCs w:val="18"/>
              </w:rPr>
            </w:pPr>
            <w:r>
              <w:rPr>
                <w:rFonts w:ascii="Arial Narrow" w:hAnsi="Arial Narrow"/>
                <w:sz w:val="18"/>
              </w:rPr>
              <w:t>11</w:t>
            </w:r>
          </w:p>
        </w:tc>
        <w:tc>
          <w:tcPr>
            <w:tcW w:w="442" w:type="pct"/>
            <w:tcBorders>
              <w:top w:val="single" w:sz="2" w:space="0" w:color="auto"/>
              <w:bottom w:val="single" w:sz="4" w:space="0" w:color="auto"/>
            </w:tcBorders>
            <w:shd w:val="clear" w:color="000000" w:fill="FFFFFF" w:themeFill="background1"/>
            <w:vAlign w:val="center"/>
          </w:tcPr>
          <w:p w14:paraId="5134C058" w14:textId="77777777" w:rsidR="005B552E" w:rsidRPr="00E0306B" w:rsidRDefault="00E72E7F" w:rsidP="005B552E">
            <w:pPr>
              <w:spacing w:after="0"/>
              <w:ind w:firstLine="0"/>
              <w:jc w:val="right"/>
              <w:rPr>
                <w:rFonts w:ascii="Arial Narrow" w:hAnsi="Arial Narrow" w:cs="Calibri"/>
                <w:sz w:val="18"/>
                <w:szCs w:val="18"/>
              </w:rPr>
            </w:pPr>
            <w:r>
              <w:rPr>
                <w:rFonts w:ascii="Arial Narrow" w:hAnsi="Arial Narrow"/>
                <w:sz w:val="18"/>
              </w:rPr>
              <w:t>EE</w:t>
            </w:r>
            <w:r>
              <w:rPr>
                <w:rFonts w:ascii="Arial Narrow" w:hAnsi="Arial Narrow"/>
                <w:sz w:val="18"/>
                <w:vertAlign w:val="superscript"/>
              </w:rPr>
              <w:t>3</w:t>
            </w:r>
          </w:p>
        </w:tc>
      </w:tr>
    </w:tbl>
    <w:p w14:paraId="06B3A363" w14:textId="77777777" w:rsidR="002A4BE9" w:rsidRPr="00033257" w:rsidRDefault="002A4BE9" w:rsidP="00E0306B">
      <w:pPr>
        <w:pStyle w:val="texto"/>
        <w:spacing w:before="60" w:after="0"/>
        <w:ind w:firstLine="0"/>
        <w:rPr>
          <w:rFonts w:ascii="Arial" w:hAnsi="Arial" w:cs="Arial"/>
          <w:color w:val="000000" w:themeColor="text1"/>
          <w:sz w:val="14"/>
          <w:szCs w:val="14"/>
        </w:rPr>
      </w:pPr>
      <w:r>
        <w:rPr>
          <w:rFonts w:ascii="Arial" w:hAnsi="Arial"/>
          <w:color w:val="000000" w:themeColor="text1"/>
          <w:sz w:val="14"/>
        </w:rPr>
        <w:t>(1) Hiru sozietateekin bateratutako adierazleak.</w:t>
      </w:r>
    </w:p>
    <w:p w14:paraId="25675407" w14:textId="77777777" w:rsidR="002A4BE9" w:rsidRPr="00033257" w:rsidRDefault="00E72E7F" w:rsidP="00E422E0">
      <w:pPr>
        <w:pStyle w:val="texto"/>
        <w:spacing w:after="0"/>
        <w:ind w:firstLine="0"/>
        <w:rPr>
          <w:rFonts w:ascii="Arial" w:hAnsi="Arial" w:cs="Arial"/>
          <w:color w:val="000000" w:themeColor="text1"/>
          <w:sz w:val="14"/>
          <w:szCs w:val="14"/>
        </w:rPr>
      </w:pPr>
      <w:r>
        <w:rPr>
          <w:rFonts w:ascii="Arial" w:hAnsi="Arial"/>
          <w:color w:val="000000" w:themeColor="text1"/>
          <w:sz w:val="14"/>
        </w:rPr>
        <w:t>(2) Toki sektore publiko osoarena, barnean harturik toki-entitateak, haien EEAAk eta haiek % 100eko partaidetza duten sozietate guztiak.</w:t>
      </w:r>
    </w:p>
    <w:p w14:paraId="04610C85" w14:textId="77777777" w:rsidR="002A4BE9" w:rsidRPr="00033257" w:rsidRDefault="00E72E7F" w:rsidP="00E0306B">
      <w:pPr>
        <w:pStyle w:val="texto"/>
        <w:spacing w:after="0"/>
        <w:ind w:firstLine="0"/>
        <w:rPr>
          <w:rFonts w:ascii="Arial" w:hAnsi="Arial" w:cs="Arial"/>
          <w:color w:val="000000" w:themeColor="text1"/>
          <w:sz w:val="14"/>
          <w:szCs w:val="14"/>
        </w:rPr>
      </w:pPr>
      <w:r>
        <w:rPr>
          <w:rFonts w:ascii="Arial" w:hAnsi="Arial"/>
          <w:color w:val="000000" w:themeColor="text1"/>
          <w:sz w:val="14"/>
        </w:rPr>
        <w:t>(3) Datua ez dago eskuragarri.</w:t>
      </w:r>
    </w:p>
    <w:p w14:paraId="6CB29EE2" w14:textId="77777777" w:rsidR="002A4BE9" w:rsidRPr="00033257" w:rsidRDefault="002A4BE9" w:rsidP="00E422E0">
      <w:pPr>
        <w:pStyle w:val="texto"/>
        <w:spacing w:before="240" w:after="120"/>
        <w:rPr>
          <w:color w:val="000000" w:themeColor="text1"/>
        </w:rPr>
      </w:pPr>
      <w:r>
        <w:rPr>
          <w:color w:val="000000" w:themeColor="text1"/>
        </w:rPr>
        <w:t>Aurreko taulako datuak aztertuta, honako hauek azpimarratu behar ditugu:</w:t>
      </w:r>
    </w:p>
    <w:p w14:paraId="15215EE2" w14:textId="77777777" w:rsidR="007F034F" w:rsidRPr="00033257" w:rsidRDefault="229FD4D1"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Pr>
          <w:color w:val="000000" w:themeColor="text1"/>
        </w:rPr>
        <w:t>2021ean, diru-sarrerak ehuneko bost igo dira aurreko ekitaldiarekin alderatuta, eta 2019ko mailan kokatu dira gutxi gorabehera. 2017koekin alderatuta, ehuneko 14 igo dira.</w:t>
      </w:r>
    </w:p>
    <w:p w14:paraId="729513D7" w14:textId="0D0C791E" w:rsidR="007F034F" w:rsidRDefault="229FD4D1"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Pr>
          <w:color w:val="000000" w:themeColor="text1"/>
        </w:rPr>
        <w:t>Diru-sarreren igoera, batez ere, “Tasak, prezio publikoak eta bestelako diru-sarrerak”, “Ondareko diru-sarrerak eta herri-lurren aprobetxamendua” eta “Zeharkako zergak” izandako diru-sarreren igoeren ondoriozkoa da.</w:t>
      </w:r>
    </w:p>
    <w:p w14:paraId="46E8B871" w14:textId="77777777" w:rsidR="009C18CA" w:rsidRPr="0004039F" w:rsidRDefault="009C18CA" w:rsidP="0004039F">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Pr>
          <w:color w:val="000000" w:themeColor="text1"/>
        </w:rPr>
        <w:t>2021eko guztizko gastuak ehuneko 12 igo dira aurreko ekitaldiarekin alderatuta; 2019ko zenbatekoaren ia berdina izan da, eta 2017an baino ehuneko 18 handiagoa. </w:t>
      </w:r>
    </w:p>
    <w:p w14:paraId="68F89D11" w14:textId="77777777" w:rsidR="009C18CA" w:rsidRPr="0004039F" w:rsidRDefault="009C18CA" w:rsidP="0004039F">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Pr>
          <w:color w:val="000000" w:themeColor="text1"/>
        </w:rPr>
        <w:t>Funtzionamendu gastuak ehuneko zazpi hazi dira eta 690,47 milioi izan dira, azken bost urteetako gehieneko zenbatekoa. </w:t>
      </w:r>
    </w:p>
    <w:p w14:paraId="1B4E3143" w14:textId="77777777" w:rsidR="007F034F" w:rsidRPr="00033257" w:rsidRDefault="229FD4D1"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Pr>
          <w:color w:val="000000" w:themeColor="text1"/>
        </w:rPr>
        <w:t>Kapital gastuak ehuneko 41 handitu dira, eta 173,91 milioi izan dira. Kopuru hori azken bost urteetako handiena izan da, 2019an izan ezik, orduan gastu horiek oso handiak izan baitziren, arestian adierazitako arrazoiengatik.</w:t>
      </w:r>
    </w:p>
    <w:p w14:paraId="4AFF5D3B" w14:textId="77777777" w:rsidR="007F034F" w:rsidRPr="00033257" w:rsidRDefault="1BC26375"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Pr>
          <w:color w:val="000000" w:themeColor="text1"/>
        </w:rPr>
        <w:lastRenderedPageBreak/>
        <w:t xml:space="preserve">Finantza kargak beheranzko joerari eutsi dio, 26,21 milioira iritsi arte, hau da, 2020ko eta 2017ko kopuruak baino ehuneko 14 eta 45 gutxiago, hurrenez hurren. </w:t>
      </w:r>
    </w:p>
    <w:p w14:paraId="5DEE3C5A" w14:textId="2CB57508" w:rsidR="003B00CD" w:rsidRPr="00033257" w:rsidRDefault="1BC26375"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line="259" w:lineRule="auto"/>
        <w:ind w:left="0" w:firstLine="289"/>
        <w:rPr>
          <w:rFonts w:cs="Arial"/>
          <w:color w:val="000000" w:themeColor="text1"/>
          <w:szCs w:val="26"/>
        </w:rPr>
      </w:pPr>
      <w:r>
        <w:rPr>
          <w:color w:val="000000" w:themeColor="text1"/>
        </w:rPr>
        <w:t>Aurrekoaren ondorioz, aurrezki garbiak, funtzionamendu gastuei eta finantza kargari aurre egin ondoren, goranzko joerari eutsi dio, eta 112,89 milioi izan da, bost urte lehenagoko zifra baino ehuneko 72 gehiago.</w:t>
      </w:r>
    </w:p>
    <w:p w14:paraId="4F7D794C" w14:textId="31ED9BFE" w:rsidR="002A4BE9" w:rsidRPr="00033257"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Nafarroako toki-entitateen zor bizia, 2021aren amaieran, haien erakunde publiko guztiak eta haiek partaidetza osoa duten sozietate publikoak kontuan hartuta, 121,68 milioikoa zen, hau da, 2020koa eta 2017koa baino ehuneko 12 eta 48 txikiagoa, hurrenez hurren. Joera hori, neurri handi batean, AEFILOren eskakizunekin eta toki-entitateen kudeaketaren zuhurtziarekin lotuta dago. 2021ean 25,1 milioiko zorra amortizatu zen, eta 3,1 milioiko zor berria hitzartu. Zor biziaren batez besteko interes tasa ehuneko 1,43koa da, eta batez besteko mugaeguneratze epea, 8,23 urtekoa.</w:t>
      </w:r>
    </w:p>
    <w:p w14:paraId="5A8B89C0" w14:textId="5F537173" w:rsidR="002A4BE9"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0"/>
        <w:ind w:left="0" w:firstLine="289"/>
        <w:rPr>
          <w:rFonts w:cs="Arial"/>
          <w:color w:val="000000" w:themeColor="text1"/>
        </w:rPr>
      </w:pPr>
      <w:r>
        <w:rPr>
          <w:color w:val="000000" w:themeColor="text1"/>
        </w:rPr>
        <w:t xml:space="preserve">Gastu orokorretarako diruzaintzako gerakinak, zeina sortutako baliabideen soberakina den eta etorkizuneko ekitaldietako gastuen aurrekontu aldaketak finantzatzeko erabil daitekeen, azken urteotan izandako goranzko joerarekin jarraitzen du. 2021aren amaieran 335,45 milioikoa izan zen, hau da, ehuneko 11ko eta ehuneko 41eko gehikuntza izan zuen 2020aren eta 2017aren aldean, hurrenez hurren. </w:t>
      </w:r>
    </w:p>
    <w:p w14:paraId="4F904CB7" w14:textId="77777777" w:rsidR="002A4BE9" w:rsidRPr="00033257" w:rsidRDefault="002A4BE9" w:rsidP="00F56DDD">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after="0"/>
        <w:ind w:firstLine="0"/>
        <w:rPr>
          <w:rFonts w:cs="Arial"/>
          <w:color w:val="000000" w:themeColor="text1"/>
        </w:rPr>
      </w:pPr>
    </w:p>
    <w:p w14:paraId="6F14686C" w14:textId="70813B34" w:rsidR="002A4BE9" w:rsidRPr="00033257" w:rsidRDefault="002A4BE9" w:rsidP="00F56DDD">
      <w:pPr>
        <w:pStyle w:val="atitulo2"/>
      </w:pPr>
      <w:bookmarkStart w:id="79" w:name="_Toc123547410"/>
      <w:bookmarkStart w:id="80" w:name="_Toc151635601"/>
      <w:r>
        <w:t>VI.4 COVID-19aren eragina</w:t>
      </w:r>
      <w:bookmarkEnd w:id="79"/>
      <w:bookmarkEnd w:id="80"/>
    </w:p>
    <w:p w14:paraId="0B6BE190" w14:textId="428F8137" w:rsidR="007E3B01" w:rsidRPr="00033257" w:rsidRDefault="6736CB4E" w:rsidP="007E3B01">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r>
        <w:rPr>
          <w:color w:val="000000" w:themeColor="text1"/>
        </w:rPr>
        <w:t>COVID-19aren pandemiak aurreko ekitaldian izan zuen inpaktuaren ondoren, oro har 2021. urtea jarduera ekonomikoa eta soziala suspertzeko urtea izan zen; hala ere, jarduera horrek oraindik murrizketa handiak izan zituen, eta Espainiak ez zuen pandemiaren aurreko Barne Produktu Gordina 2022ra arte berreskuratu.</w:t>
      </w:r>
    </w:p>
    <w:p w14:paraId="53C57738" w14:textId="3FFCB77C" w:rsidR="007E3B01" w:rsidRPr="00033257" w:rsidRDefault="007E3B01" w:rsidP="007E3B01">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r>
        <w:rPr>
          <w:color w:val="000000" w:themeColor="text1"/>
        </w:rPr>
        <w:t>Eskura dauden datuekin ezin da zenbatetsi COVID-19ak toki sektore publikoaren finantza egoeran izandako eragina. Izan ere, pandemiarekin lotutako gastuak eta diru-sarrerak kasu askotan ez zaizkie egotzi aurrekontu-aplikazio berariazkoei edo identifikagarriei. Hala ere, toki-entitateen kontuak aztertuta</w:t>
      </w:r>
      <w:r w:rsidR="0023757D" w:rsidRPr="00033257">
        <w:rPr>
          <w:rStyle w:val="Refdenotaalpie"/>
          <w:rFonts w:cs="Arial"/>
          <w:color w:val="000000" w:themeColor="text1"/>
        </w:rPr>
        <w:footnoteReference w:id="3"/>
      </w:r>
      <w:r>
        <w:rPr>
          <w:color w:val="000000" w:themeColor="text1"/>
        </w:rPr>
        <w:t>, ondorio hauek atera daitezke:</w:t>
      </w:r>
    </w:p>
    <w:p w14:paraId="5EFB523D" w14:textId="77777777" w:rsidR="00133E38" w:rsidRPr="00E422E0" w:rsidRDefault="00430F3D" w:rsidP="00133E38">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spacing w:val="0"/>
        </w:rPr>
      </w:pPr>
      <w:r>
        <w:rPr>
          <w:color w:val="000000" w:themeColor="text1"/>
        </w:rPr>
        <w:t xml:space="preserve">Jarduera ekonomiko eta sozialarekin zuzenean lotutako diru-sarrerak, 2020an nabarmen murriztu zirenak, berreskuratu egin ziren, eta diru-sarrera arrunt guztiek pandemiaren aurreko mailak gainditu zituzten. </w:t>
      </w:r>
    </w:p>
    <w:p w14:paraId="60E1E795" w14:textId="77777777" w:rsidR="00F04F7B" w:rsidRPr="00033257" w:rsidRDefault="00133E38" w:rsidP="00BE7F51">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r>
        <w:rPr>
          <w:color w:val="000000" w:themeColor="text1"/>
        </w:rPr>
        <w:t xml:space="preserve">Toki-entitateen diru-sarrera arruntek 47,54 milioi egin dute gora (ehuneko sei), zerbitzuen prestazioari lotutako tasa eta prezio publikoen bilketak bultzatuta </w:t>
      </w:r>
      <w:r>
        <w:rPr>
          <w:color w:val="000000" w:themeColor="text1"/>
        </w:rPr>
        <w:lastRenderedPageBreak/>
        <w:t xml:space="preserve">(ehuneko 16 igo da), bai eta ondare bidezko diru-sarrerek eta zeharkako zergek ere (ehuneko 46 eta 49 handitu dira, hurrenez hurren). </w:t>
      </w:r>
    </w:p>
    <w:p w14:paraId="5C50FB39" w14:textId="295D0EEC" w:rsidR="00F04F7B" w:rsidRPr="00033257" w:rsidRDefault="00F04F7B" w:rsidP="00BE7F51">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r>
        <w:rPr>
          <w:color w:val="000000" w:themeColor="text1"/>
        </w:rPr>
        <w:t>Diru-sarrera arrunten gehitze horrek neutralizatu egin du transferentzia arruntengatiko diru-sarreren murrizketa (12,38 milioi), 2020an onartutako COVID-19ari lotutako aparteko laguntzak amaitzearen ondorioz. Hurrengo taulan ikus daiteke hori:</w:t>
      </w:r>
    </w:p>
    <w:p w14:paraId="09B981B0" w14:textId="3F7183A9" w:rsidR="00E72E7F" w:rsidRPr="001D196E" w:rsidRDefault="001D196E" w:rsidP="00E72E7F">
      <w:pPr>
        <w:pStyle w:val="texto"/>
        <w:tabs>
          <w:tab w:val="clear" w:pos="2835"/>
          <w:tab w:val="clear" w:pos="3969"/>
          <w:tab w:val="clear" w:pos="5103"/>
          <w:tab w:val="clear" w:pos="6237"/>
          <w:tab w:val="clear" w:pos="7371"/>
          <w:tab w:val="left" w:pos="480"/>
          <w:tab w:val="num" w:pos="644"/>
          <w:tab w:val="num" w:pos="720"/>
          <w:tab w:val="num" w:pos="1320"/>
          <w:tab w:val="num" w:pos="5606"/>
        </w:tabs>
        <w:spacing w:after="0"/>
        <w:ind w:right="141"/>
        <w:jc w:val="right"/>
        <w:rPr>
          <w:rFonts w:ascii="Arial Narrow" w:hAnsi="Arial Narrow" w:cs="Arial"/>
          <w:color w:val="000000" w:themeColor="text1"/>
          <w:sz w:val="18"/>
          <w:szCs w:val="18"/>
        </w:rPr>
      </w:pPr>
      <w:r>
        <w:rPr>
          <w:rFonts w:ascii="Arial Narrow" w:hAnsi="Arial Narrow"/>
          <w:color w:val="000000" w:themeColor="text1"/>
          <w:sz w:val="18"/>
        </w:rPr>
        <w:t>(milioiak)</w:t>
      </w:r>
    </w:p>
    <w:tbl>
      <w:tblPr>
        <w:tblW w:w="8789" w:type="dxa"/>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6663"/>
        <w:gridCol w:w="1134"/>
        <w:gridCol w:w="992"/>
      </w:tblGrid>
      <w:tr w:rsidR="00D52854" w:rsidRPr="001D196E" w14:paraId="6AACF056" w14:textId="77777777" w:rsidTr="00E422E0">
        <w:trPr>
          <w:trHeight w:val="255"/>
          <w:jc w:val="center"/>
        </w:trPr>
        <w:tc>
          <w:tcPr>
            <w:tcW w:w="6663" w:type="dxa"/>
            <w:tcBorders>
              <w:top w:val="single" w:sz="4" w:space="0" w:color="auto"/>
              <w:bottom w:val="single" w:sz="4" w:space="0" w:color="auto"/>
            </w:tcBorders>
            <w:shd w:val="clear" w:color="auto" w:fill="FABF8F" w:themeFill="accent6" w:themeFillTint="99"/>
            <w:vAlign w:val="center"/>
          </w:tcPr>
          <w:p w14:paraId="1EC5FA50" w14:textId="77777777" w:rsidR="00D52854" w:rsidRPr="001D196E" w:rsidRDefault="00D52854" w:rsidP="00D52854">
            <w:pPr>
              <w:pStyle w:val="cuatexto"/>
              <w:spacing w:line="240" w:lineRule="auto"/>
              <w:rPr>
                <w:rFonts w:ascii="Arial" w:hAnsi="Arial" w:cs="Arial"/>
                <w:sz w:val="16"/>
                <w:szCs w:val="16"/>
              </w:rPr>
            </w:pPr>
            <w:r>
              <w:rPr>
                <w:rFonts w:ascii="Arial" w:hAnsi="Arial"/>
                <w:sz w:val="16"/>
              </w:rPr>
              <w:t>Aurrekontuko partida</w:t>
            </w:r>
          </w:p>
        </w:tc>
        <w:tc>
          <w:tcPr>
            <w:tcW w:w="1134" w:type="dxa"/>
            <w:tcBorders>
              <w:top w:val="single" w:sz="4" w:space="0" w:color="auto"/>
              <w:bottom w:val="single" w:sz="4" w:space="0" w:color="auto"/>
            </w:tcBorders>
            <w:shd w:val="clear" w:color="auto" w:fill="FABF8F" w:themeFill="accent6" w:themeFillTint="99"/>
            <w:vAlign w:val="center"/>
          </w:tcPr>
          <w:p w14:paraId="4E2D8A24" w14:textId="77777777" w:rsidR="00D52854" w:rsidRPr="001D196E" w:rsidRDefault="00D52854" w:rsidP="00D52854">
            <w:pPr>
              <w:pStyle w:val="cuatexto"/>
              <w:spacing w:line="240" w:lineRule="auto"/>
              <w:jc w:val="right"/>
              <w:rPr>
                <w:rFonts w:ascii="Arial" w:hAnsi="Arial" w:cs="Arial"/>
                <w:sz w:val="16"/>
                <w:szCs w:val="16"/>
              </w:rPr>
            </w:pPr>
            <w:r>
              <w:rPr>
                <w:rFonts w:ascii="Arial" w:hAnsi="Arial"/>
                <w:sz w:val="16"/>
              </w:rPr>
              <w:t xml:space="preserve">ABG </w:t>
            </w:r>
          </w:p>
          <w:p w14:paraId="6733692C" w14:textId="441959E0" w:rsidR="00D52854" w:rsidRPr="001D196E" w:rsidRDefault="00D52854" w:rsidP="00D52854">
            <w:pPr>
              <w:pStyle w:val="cuatexto"/>
              <w:spacing w:line="240" w:lineRule="auto"/>
              <w:jc w:val="right"/>
              <w:rPr>
                <w:rFonts w:ascii="Arial" w:hAnsi="Arial" w:cs="Arial"/>
                <w:sz w:val="16"/>
                <w:szCs w:val="16"/>
              </w:rPr>
            </w:pPr>
            <w:r>
              <w:rPr>
                <w:rFonts w:ascii="Arial" w:hAnsi="Arial"/>
                <w:sz w:val="16"/>
              </w:rPr>
              <w:t>2020ko Naf. Aurr. Or.</w:t>
            </w:r>
            <w:r w:rsidRPr="001D196E">
              <w:rPr>
                <w:rStyle w:val="Refdenotaalpie"/>
                <w:rFonts w:ascii="Arial" w:hAnsi="Arial" w:cs="Arial"/>
                <w:sz w:val="16"/>
                <w:szCs w:val="16"/>
                <w:lang w:val="es-ES" w:eastAsia="es-ES"/>
              </w:rPr>
              <w:footnoteReference w:id="4"/>
            </w:r>
          </w:p>
        </w:tc>
        <w:tc>
          <w:tcPr>
            <w:tcW w:w="992" w:type="dxa"/>
            <w:tcBorders>
              <w:top w:val="single" w:sz="4" w:space="0" w:color="auto"/>
              <w:bottom w:val="single" w:sz="4" w:space="0" w:color="auto"/>
            </w:tcBorders>
            <w:shd w:val="clear" w:color="auto" w:fill="FABF8F" w:themeFill="accent6" w:themeFillTint="99"/>
            <w:vAlign w:val="center"/>
          </w:tcPr>
          <w:p w14:paraId="13360564" w14:textId="7270A9EA" w:rsidR="00D52854" w:rsidRPr="001D196E" w:rsidRDefault="00D52854" w:rsidP="00D52854">
            <w:pPr>
              <w:pStyle w:val="cuatexto"/>
              <w:spacing w:line="240" w:lineRule="auto"/>
              <w:jc w:val="right"/>
              <w:rPr>
                <w:rFonts w:ascii="Arial" w:hAnsi="Arial" w:cs="Arial"/>
                <w:sz w:val="16"/>
                <w:szCs w:val="16"/>
              </w:rPr>
            </w:pPr>
            <w:r>
              <w:rPr>
                <w:rFonts w:ascii="Arial" w:hAnsi="Arial"/>
                <w:sz w:val="16"/>
              </w:rPr>
              <w:t xml:space="preserve">ABG </w:t>
            </w:r>
          </w:p>
          <w:p w14:paraId="50EDB60C" w14:textId="77777777" w:rsidR="00D52854" w:rsidRPr="001D196E" w:rsidRDefault="00D52854" w:rsidP="00D52854">
            <w:pPr>
              <w:pStyle w:val="cuatexto"/>
              <w:spacing w:line="240" w:lineRule="auto"/>
              <w:jc w:val="right"/>
              <w:rPr>
                <w:rFonts w:ascii="Arial" w:hAnsi="Arial" w:cs="Arial"/>
                <w:sz w:val="16"/>
                <w:szCs w:val="16"/>
              </w:rPr>
            </w:pPr>
            <w:r>
              <w:rPr>
                <w:rFonts w:ascii="Arial" w:hAnsi="Arial"/>
                <w:sz w:val="16"/>
              </w:rPr>
              <w:t>2021eko Naf. Aurr. Or.</w:t>
            </w:r>
          </w:p>
        </w:tc>
      </w:tr>
      <w:tr w:rsidR="00D52854" w:rsidRPr="00033257" w14:paraId="335F8C71" w14:textId="77777777" w:rsidTr="00E422E0">
        <w:trPr>
          <w:trHeight w:val="255"/>
          <w:jc w:val="center"/>
        </w:trPr>
        <w:tc>
          <w:tcPr>
            <w:tcW w:w="6663" w:type="dxa"/>
            <w:tcBorders>
              <w:top w:val="single" w:sz="4" w:space="0" w:color="auto"/>
            </w:tcBorders>
            <w:vAlign w:val="center"/>
          </w:tcPr>
          <w:p w14:paraId="3BA6431C" w14:textId="77777777" w:rsidR="00D52854" w:rsidRPr="00033257" w:rsidRDefault="00D52854" w:rsidP="00D52854">
            <w:pPr>
              <w:pStyle w:val="cuatexto"/>
              <w:spacing w:line="240" w:lineRule="auto"/>
              <w:rPr>
                <w:sz w:val="19"/>
                <w:szCs w:val="19"/>
              </w:rPr>
            </w:pPr>
            <w:r>
              <w:rPr>
                <w:sz w:val="19"/>
              </w:rPr>
              <w:t>COVID-19a. Funts berezia (13/2020 FL - udal aurrekontuetan izandako inpaktua)</w:t>
            </w:r>
          </w:p>
        </w:tc>
        <w:tc>
          <w:tcPr>
            <w:tcW w:w="1134" w:type="dxa"/>
            <w:tcBorders>
              <w:top w:val="single" w:sz="4" w:space="0" w:color="auto"/>
            </w:tcBorders>
            <w:vAlign w:val="center"/>
          </w:tcPr>
          <w:p w14:paraId="27F3222B" w14:textId="72C942A9" w:rsidR="00D52854" w:rsidRPr="00033257" w:rsidRDefault="00D52854" w:rsidP="00D52854">
            <w:pPr>
              <w:pStyle w:val="cuatexto"/>
              <w:spacing w:line="240" w:lineRule="auto"/>
              <w:jc w:val="right"/>
              <w:rPr>
                <w:sz w:val="19"/>
                <w:szCs w:val="19"/>
              </w:rPr>
            </w:pPr>
            <w:r>
              <w:rPr>
                <w:sz w:val="19"/>
              </w:rPr>
              <w:t>10,5</w:t>
            </w:r>
          </w:p>
        </w:tc>
        <w:tc>
          <w:tcPr>
            <w:tcW w:w="992" w:type="dxa"/>
            <w:tcBorders>
              <w:top w:val="single" w:sz="4" w:space="0" w:color="auto"/>
            </w:tcBorders>
            <w:vAlign w:val="center"/>
          </w:tcPr>
          <w:p w14:paraId="6DF7B9A8" w14:textId="3A569DDE" w:rsidR="00D52854" w:rsidRPr="00033257" w:rsidRDefault="00D52854" w:rsidP="00D52854">
            <w:pPr>
              <w:pStyle w:val="cuatexto"/>
              <w:spacing w:line="240" w:lineRule="auto"/>
              <w:jc w:val="right"/>
              <w:rPr>
                <w:sz w:val="19"/>
                <w:szCs w:val="19"/>
              </w:rPr>
            </w:pPr>
            <w:r>
              <w:rPr>
                <w:sz w:val="19"/>
              </w:rPr>
              <w:t>-</w:t>
            </w:r>
          </w:p>
        </w:tc>
      </w:tr>
      <w:tr w:rsidR="00D52854" w:rsidRPr="00033257" w14:paraId="79ED37CA" w14:textId="77777777" w:rsidTr="00E422E0">
        <w:trPr>
          <w:trHeight w:val="255"/>
          <w:jc w:val="center"/>
        </w:trPr>
        <w:tc>
          <w:tcPr>
            <w:tcW w:w="6663" w:type="dxa"/>
            <w:vAlign w:val="center"/>
          </w:tcPr>
          <w:p w14:paraId="22C74928" w14:textId="77777777" w:rsidR="00D52854" w:rsidRPr="00033257" w:rsidRDefault="00D52854" w:rsidP="00D52854">
            <w:pPr>
              <w:pStyle w:val="cuatexto"/>
              <w:spacing w:line="240" w:lineRule="auto"/>
              <w:rPr>
                <w:sz w:val="19"/>
                <w:szCs w:val="19"/>
              </w:rPr>
            </w:pPr>
            <w:r>
              <w:rPr>
                <w:sz w:val="19"/>
              </w:rPr>
              <w:t>COVID-19a. Funts berezia (13/2020 FL - hiri garraioaren defizit gehigarria)</w:t>
            </w:r>
          </w:p>
        </w:tc>
        <w:tc>
          <w:tcPr>
            <w:tcW w:w="1134" w:type="dxa"/>
            <w:vAlign w:val="center"/>
          </w:tcPr>
          <w:p w14:paraId="09A178C9" w14:textId="2E0F4522" w:rsidR="00D52854" w:rsidRPr="00033257" w:rsidRDefault="00D52854" w:rsidP="00D52854">
            <w:pPr>
              <w:pStyle w:val="cuatexto"/>
              <w:spacing w:line="240" w:lineRule="auto"/>
              <w:jc w:val="right"/>
              <w:rPr>
                <w:sz w:val="19"/>
                <w:szCs w:val="19"/>
              </w:rPr>
            </w:pPr>
            <w:r>
              <w:rPr>
                <w:sz w:val="19"/>
              </w:rPr>
              <w:t xml:space="preserve">1,00 </w:t>
            </w:r>
          </w:p>
        </w:tc>
        <w:tc>
          <w:tcPr>
            <w:tcW w:w="992" w:type="dxa"/>
            <w:vAlign w:val="center"/>
          </w:tcPr>
          <w:p w14:paraId="41ED30F3" w14:textId="3572A144" w:rsidR="00D52854" w:rsidRPr="00033257" w:rsidRDefault="00D52854" w:rsidP="00D52854">
            <w:pPr>
              <w:pStyle w:val="cuatexto"/>
              <w:spacing w:line="240" w:lineRule="auto"/>
              <w:jc w:val="right"/>
              <w:rPr>
                <w:sz w:val="19"/>
                <w:szCs w:val="19"/>
              </w:rPr>
            </w:pPr>
            <w:r>
              <w:rPr>
                <w:sz w:val="19"/>
              </w:rPr>
              <w:t>-</w:t>
            </w:r>
          </w:p>
        </w:tc>
      </w:tr>
      <w:tr w:rsidR="00D52854" w:rsidRPr="00033257" w14:paraId="31689CA4" w14:textId="77777777" w:rsidTr="00E422E0">
        <w:trPr>
          <w:trHeight w:val="255"/>
          <w:jc w:val="center"/>
        </w:trPr>
        <w:tc>
          <w:tcPr>
            <w:tcW w:w="6663" w:type="dxa"/>
            <w:vAlign w:val="center"/>
          </w:tcPr>
          <w:p w14:paraId="0C361F28" w14:textId="77777777" w:rsidR="00D52854" w:rsidRPr="00033257" w:rsidRDefault="00D52854" w:rsidP="00D52854">
            <w:pPr>
              <w:pStyle w:val="cuatexto"/>
              <w:tabs>
                <w:tab w:val="clear" w:pos="7371"/>
              </w:tabs>
              <w:spacing w:line="240" w:lineRule="auto"/>
              <w:rPr>
                <w:sz w:val="19"/>
                <w:szCs w:val="19"/>
              </w:rPr>
            </w:pPr>
            <w:r>
              <w:rPr>
                <w:sz w:val="19"/>
              </w:rPr>
              <w:t>COVID-19a. Larrialdiko laguntzak (8/2020 FL)</w:t>
            </w:r>
          </w:p>
        </w:tc>
        <w:tc>
          <w:tcPr>
            <w:tcW w:w="1134" w:type="dxa"/>
            <w:vAlign w:val="center"/>
          </w:tcPr>
          <w:p w14:paraId="223F1B8D" w14:textId="1ADBE705" w:rsidR="00D52854" w:rsidRPr="00033257" w:rsidRDefault="00D52854" w:rsidP="00D52854">
            <w:pPr>
              <w:pStyle w:val="cuatexto"/>
              <w:spacing w:line="240" w:lineRule="auto"/>
              <w:jc w:val="right"/>
              <w:rPr>
                <w:color w:val="000000" w:themeColor="text1"/>
                <w:sz w:val="19"/>
                <w:szCs w:val="19"/>
              </w:rPr>
            </w:pPr>
            <w:r>
              <w:rPr>
                <w:color w:val="000000" w:themeColor="text1"/>
                <w:sz w:val="19"/>
              </w:rPr>
              <w:t xml:space="preserve">0,51 </w:t>
            </w:r>
          </w:p>
        </w:tc>
        <w:tc>
          <w:tcPr>
            <w:tcW w:w="992" w:type="dxa"/>
            <w:vAlign w:val="center"/>
          </w:tcPr>
          <w:p w14:paraId="798B00B3" w14:textId="12A36AA6" w:rsidR="00D52854" w:rsidRPr="00033257" w:rsidRDefault="00D52854" w:rsidP="00D52854">
            <w:pPr>
              <w:pStyle w:val="cuatexto"/>
              <w:spacing w:line="240" w:lineRule="auto"/>
              <w:jc w:val="right"/>
              <w:rPr>
                <w:color w:val="000000" w:themeColor="text1"/>
                <w:sz w:val="19"/>
                <w:szCs w:val="19"/>
              </w:rPr>
            </w:pPr>
            <w:r>
              <w:rPr>
                <w:color w:val="000000" w:themeColor="text1"/>
                <w:sz w:val="19"/>
              </w:rPr>
              <w:t>-</w:t>
            </w:r>
          </w:p>
        </w:tc>
      </w:tr>
      <w:tr w:rsidR="00D52854" w:rsidRPr="00033257" w14:paraId="6822A53D" w14:textId="77777777" w:rsidTr="00E422E0">
        <w:trPr>
          <w:trHeight w:val="255"/>
          <w:jc w:val="center"/>
        </w:trPr>
        <w:tc>
          <w:tcPr>
            <w:tcW w:w="6663" w:type="dxa"/>
            <w:vAlign w:val="center"/>
          </w:tcPr>
          <w:p w14:paraId="15429899" w14:textId="77777777" w:rsidR="00D52854" w:rsidRPr="00033257" w:rsidRDefault="00D52854" w:rsidP="00D52854">
            <w:pPr>
              <w:pStyle w:val="cuatexto"/>
              <w:spacing w:line="240" w:lineRule="auto"/>
              <w:rPr>
                <w:sz w:val="19"/>
                <w:szCs w:val="19"/>
              </w:rPr>
            </w:pPr>
            <w:r>
              <w:rPr>
                <w:sz w:val="19"/>
              </w:rPr>
              <w:t>COVID-19a. Etxerik gabeko pertsonentzako harrera zerbitzua (8/2020 FL eta 591/2020 Erab., azaroaren 12koa, Aurrekontuen, Ondarearen eta Politika Ekonomikoaren zuz. nagusiarena)</w:t>
            </w:r>
          </w:p>
        </w:tc>
        <w:tc>
          <w:tcPr>
            <w:tcW w:w="1134" w:type="dxa"/>
            <w:vAlign w:val="center"/>
          </w:tcPr>
          <w:p w14:paraId="1FD7287D" w14:textId="013A711A" w:rsidR="00D52854" w:rsidRPr="00033257" w:rsidRDefault="00D52854" w:rsidP="00D52854">
            <w:pPr>
              <w:pStyle w:val="cuatexto"/>
              <w:tabs>
                <w:tab w:val="clear" w:pos="2835"/>
              </w:tabs>
              <w:spacing w:line="240" w:lineRule="auto"/>
              <w:jc w:val="right"/>
              <w:rPr>
                <w:sz w:val="19"/>
                <w:szCs w:val="19"/>
              </w:rPr>
            </w:pPr>
            <w:r>
              <w:rPr>
                <w:sz w:val="19"/>
              </w:rPr>
              <w:t xml:space="preserve">0,15 </w:t>
            </w:r>
          </w:p>
        </w:tc>
        <w:tc>
          <w:tcPr>
            <w:tcW w:w="992" w:type="dxa"/>
            <w:vAlign w:val="center"/>
          </w:tcPr>
          <w:p w14:paraId="781E6FF2" w14:textId="6A10C15E" w:rsidR="00D52854" w:rsidRPr="00033257" w:rsidRDefault="00D52854" w:rsidP="00D52854">
            <w:pPr>
              <w:pStyle w:val="cuatexto"/>
              <w:tabs>
                <w:tab w:val="clear" w:pos="2835"/>
              </w:tabs>
              <w:spacing w:line="240" w:lineRule="auto"/>
              <w:jc w:val="right"/>
              <w:rPr>
                <w:sz w:val="19"/>
                <w:szCs w:val="19"/>
              </w:rPr>
            </w:pPr>
            <w:r>
              <w:rPr>
                <w:sz w:val="19"/>
              </w:rPr>
              <w:t>-</w:t>
            </w:r>
          </w:p>
        </w:tc>
      </w:tr>
      <w:tr w:rsidR="00D52854" w:rsidRPr="00033257" w14:paraId="44473DF6" w14:textId="77777777" w:rsidTr="00E422E0">
        <w:trPr>
          <w:trHeight w:val="255"/>
          <w:jc w:val="center"/>
        </w:trPr>
        <w:tc>
          <w:tcPr>
            <w:tcW w:w="6663" w:type="dxa"/>
            <w:vAlign w:val="center"/>
          </w:tcPr>
          <w:p w14:paraId="1D5B9E9F" w14:textId="77777777" w:rsidR="00D52854" w:rsidRPr="00033257" w:rsidRDefault="00D52854" w:rsidP="00D52854">
            <w:pPr>
              <w:pStyle w:val="cuatexto"/>
              <w:spacing w:line="240" w:lineRule="auto"/>
              <w:rPr>
                <w:sz w:val="19"/>
                <w:szCs w:val="19"/>
              </w:rPr>
            </w:pPr>
            <w:r>
              <w:rPr>
                <w:sz w:val="19"/>
              </w:rPr>
              <w:t>COVID-19a. Oinarrizko gizarte zerbitzuak (233/2020 Foru Agindua)</w:t>
            </w:r>
          </w:p>
        </w:tc>
        <w:tc>
          <w:tcPr>
            <w:tcW w:w="1134" w:type="dxa"/>
            <w:vAlign w:val="center"/>
          </w:tcPr>
          <w:p w14:paraId="52F95664" w14:textId="3A11B475" w:rsidR="00D52854" w:rsidRPr="00033257" w:rsidRDefault="00D52854" w:rsidP="00D52854">
            <w:pPr>
              <w:pStyle w:val="cuatexto"/>
              <w:spacing w:line="240" w:lineRule="auto"/>
              <w:jc w:val="right"/>
              <w:rPr>
                <w:sz w:val="19"/>
                <w:szCs w:val="19"/>
              </w:rPr>
            </w:pPr>
            <w:r>
              <w:rPr>
                <w:sz w:val="19"/>
              </w:rPr>
              <w:t xml:space="preserve">0,98 </w:t>
            </w:r>
          </w:p>
        </w:tc>
        <w:tc>
          <w:tcPr>
            <w:tcW w:w="992" w:type="dxa"/>
            <w:vAlign w:val="center"/>
          </w:tcPr>
          <w:p w14:paraId="6A595F49" w14:textId="1C39081F" w:rsidR="00D52854" w:rsidRPr="00033257" w:rsidRDefault="00D52854" w:rsidP="00D52854">
            <w:pPr>
              <w:pStyle w:val="cuatexto"/>
              <w:spacing w:line="240" w:lineRule="auto"/>
              <w:jc w:val="right"/>
              <w:rPr>
                <w:sz w:val="19"/>
                <w:szCs w:val="19"/>
              </w:rPr>
            </w:pPr>
            <w:r>
              <w:rPr>
                <w:sz w:val="19"/>
              </w:rPr>
              <w:t>-</w:t>
            </w:r>
          </w:p>
        </w:tc>
      </w:tr>
      <w:tr w:rsidR="00D52854" w:rsidRPr="00033257" w14:paraId="5D46C759" w14:textId="77777777" w:rsidTr="00E422E0">
        <w:trPr>
          <w:trHeight w:val="255"/>
          <w:jc w:val="center"/>
        </w:trPr>
        <w:tc>
          <w:tcPr>
            <w:tcW w:w="6663" w:type="dxa"/>
            <w:vAlign w:val="center"/>
          </w:tcPr>
          <w:p w14:paraId="55CE1C59" w14:textId="77777777" w:rsidR="00D52854" w:rsidRPr="00033257" w:rsidRDefault="00D52854" w:rsidP="00D52854">
            <w:pPr>
              <w:pStyle w:val="cuatexto"/>
              <w:spacing w:line="240" w:lineRule="auto"/>
              <w:rPr>
                <w:sz w:val="19"/>
                <w:szCs w:val="19"/>
              </w:rPr>
            </w:pPr>
            <w:r>
              <w:rPr>
                <w:sz w:val="19"/>
              </w:rPr>
              <w:t>COVID-19a. Eskola-kontzentrazioen eta hezkuntzarako erabiltzen diren udal eraikinen funtzionamendurako transferentzia</w:t>
            </w:r>
          </w:p>
        </w:tc>
        <w:tc>
          <w:tcPr>
            <w:tcW w:w="1134" w:type="dxa"/>
            <w:vAlign w:val="center"/>
          </w:tcPr>
          <w:p w14:paraId="7BD474AB" w14:textId="5444C751" w:rsidR="00D52854" w:rsidRPr="00033257" w:rsidRDefault="00D52854" w:rsidP="00D52854">
            <w:pPr>
              <w:pStyle w:val="cuatexto"/>
              <w:spacing w:line="240" w:lineRule="auto"/>
              <w:jc w:val="right"/>
              <w:rPr>
                <w:sz w:val="19"/>
                <w:szCs w:val="19"/>
              </w:rPr>
            </w:pPr>
            <w:r>
              <w:rPr>
                <w:sz w:val="19"/>
              </w:rPr>
              <w:t>-</w:t>
            </w:r>
          </w:p>
        </w:tc>
        <w:tc>
          <w:tcPr>
            <w:tcW w:w="992" w:type="dxa"/>
            <w:vAlign w:val="center"/>
          </w:tcPr>
          <w:p w14:paraId="7CFA9135" w14:textId="42741EF5" w:rsidR="00D52854" w:rsidRPr="00033257" w:rsidRDefault="00D52854" w:rsidP="00D52854">
            <w:pPr>
              <w:pStyle w:val="cuatexto"/>
              <w:spacing w:line="240" w:lineRule="auto"/>
              <w:jc w:val="right"/>
              <w:rPr>
                <w:sz w:val="19"/>
                <w:szCs w:val="19"/>
              </w:rPr>
            </w:pPr>
            <w:r>
              <w:rPr>
                <w:sz w:val="19"/>
              </w:rPr>
              <w:t>0,15</w:t>
            </w:r>
          </w:p>
        </w:tc>
      </w:tr>
      <w:tr w:rsidR="00D52854" w:rsidRPr="00033257" w14:paraId="52B98EF2" w14:textId="77777777" w:rsidTr="00E422E0">
        <w:trPr>
          <w:trHeight w:val="255"/>
          <w:jc w:val="center"/>
        </w:trPr>
        <w:tc>
          <w:tcPr>
            <w:tcW w:w="6663" w:type="dxa"/>
            <w:tcBorders>
              <w:bottom w:val="single" w:sz="4" w:space="0" w:color="auto"/>
            </w:tcBorders>
            <w:vAlign w:val="center"/>
          </w:tcPr>
          <w:p w14:paraId="6FBF7276" w14:textId="77777777" w:rsidR="00D52854" w:rsidRPr="00033257" w:rsidRDefault="00D52854" w:rsidP="00D52854">
            <w:pPr>
              <w:pStyle w:val="cuatexto"/>
              <w:spacing w:line="240" w:lineRule="auto"/>
              <w:rPr>
                <w:sz w:val="19"/>
                <w:szCs w:val="19"/>
              </w:rPr>
            </w:pPr>
            <w:r>
              <w:rPr>
                <w:sz w:val="19"/>
              </w:rPr>
              <w:t>COVID-19a. Udalekiko hitzarmenak, 0-3 urte bitarteko haurrak eskolatzeko</w:t>
            </w:r>
          </w:p>
        </w:tc>
        <w:tc>
          <w:tcPr>
            <w:tcW w:w="1134" w:type="dxa"/>
            <w:tcBorders>
              <w:bottom w:val="single" w:sz="4" w:space="0" w:color="auto"/>
            </w:tcBorders>
            <w:vAlign w:val="center"/>
          </w:tcPr>
          <w:p w14:paraId="509155B6" w14:textId="6D9F596C" w:rsidR="00D52854" w:rsidRPr="00033257" w:rsidRDefault="00D52854" w:rsidP="00D52854">
            <w:pPr>
              <w:pStyle w:val="cuatexto"/>
              <w:spacing w:line="240" w:lineRule="auto"/>
              <w:jc w:val="right"/>
              <w:rPr>
                <w:sz w:val="19"/>
                <w:szCs w:val="19"/>
              </w:rPr>
            </w:pPr>
            <w:r>
              <w:rPr>
                <w:sz w:val="19"/>
              </w:rPr>
              <w:t>-</w:t>
            </w:r>
          </w:p>
        </w:tc>
        <w:tc>
          <w:tcPr>
            <w:tcW w:w="992" w:type="dxa"/>
            <w:tcBorders>
              <w:bottom w:val="single" w:sz="4" w:space="0" w:color="auto"/>
            </w:tcBorders>
            <w:vAlign w:val="center"/>
          </w:tcPr>
          <w:p w14:paraId="5D082539" w14:textId="208CB1E5" w:rsidR="00D52854" w:rsidRPr="00033257" w:rsidRDefault="00D52854" w:rsidP="00D52854">
            <w:pPr>
              <w:pStyle w:val="cuatexto"/>
              <w:spacing w:line="240" w:lineRule="auto"/>
              <w:jc w:val="right"/>
              <w:rPr>
                <w:sz w:val="19"/>
                <w:szCs w:val="19"/>
              </w:rPr>
            </w:pPr>
            <w:r>
              <w:rPr>
                <w:sz w:val="19"/>
              </w:rPr>
              <w:t>0,60</w:t>
            </w:r>
          </w:p>
        </w:tc>
      </w:tr>
      <w:tr w:rsidR="00D52854" w:rsidRPr="001D196E" w14:paraId="0CAA1E3F" w14:textId="77777777" w:rsidTr="00E422E0">
        <w:trPr>
          <w:trHeight w:val="255"/>
          <w:jc w:val="center"/>
        </w:trPr>
        <w:tc>
          <w:tcPr>
            <w:tcW w:w="6663" w:type="dxa"/>
            <w:tcBorders>
              <w:top w:val="single" w:sz="4" w:space="0" w:color="auto"/>
              <w:bottom w:val="single" w:sz="4" w:space="0" w:color="auto"/>
            </w:tcBorders>
            <w:shd w:val="clear" w:color="auto" w:fill="FABF8F" w:themeFill="accent6" w:themeFillTint="99"/>
            <w:vAlign w:val="center"/>
          </w:tcPr>
          <w:p w14:paraId="2D692916" w14:textId="77777777" w:rsidR="00D52854" w:rsidRPr="001D196E" w:rsidRDefault="00D52854" w:rsidP="00D52854">
            <w:pPr>
              <w:pStyle w:val="cuadroCabe"/>
              <w:spacing w:line="240" w:lineRule="auto"/>
              <w:rPr>
                <w:rFonts w:cs="Arial"/>
                <w:bCs/>
                <w:sz w:val="16"/>
                <w:szCs w:val="16"/>
              </w:rPr>
            </w:pPr>
            <w:r>
              <w:rPr>
                <w:sz w:val="16"/>
              </w:rPr>
              <w:t>Toki-entitateei egindako “COVID-19” transferentzia arruntak, guztira</w:t>
            </w:r>
          </w:p>
        </w:tc>
        <w:tc>
          <w:tcPr>
            <w:tcW w:w="1134" w:type="dxa"/>
            <w:tcBorders>
              <w:top w:val="single" w:sz="4" w:space="0" w:color="auto"/>
              <w:bottom w:val="single" w:sz="4" w:space="0" w:color="auto"/>
            </w:tcBorders>
            <w:shd w:val="clear" w:color="auto" w:fill="FABF8F" w:themeFill="accent6" w:themeFillTint="99"/>
            <w:vAlign w:val="center"/>
          </w:tcPr>
          <w:p w14:paraId="69A8413B" w14:textId="15366CC3" w:rsidR="00D52854" w:rsidRPr="001D196E" w:rsidRDefault="00D52854" w:rsidP="00D52854">
            <w:pPr>
              <w:pStyle w:val="cuadroCabe"/>
              <w:spacing w:line="240" w:lineRule="auto"/>
              <w:jc w:val="right"/>
              <w:rPr>
                <w:rFonts w:cs="Arial"/>
                <w:bCs/>
                <w:sz w:val="16"/>
                <w:szCs w:val="16"/>
              </w:rPr>
            </w:pPr>
            <w:r>
              <w:rPr>
                <w:sz w:val="16"/>
              </w:rPr>
              <w:t xml:space="preserve">13,13 </w:t>
            </w:r>
          </w:p>
        </w:tc>
        <w:tc>
          <w:tcPr>
            <w:tcW w:w="992" w:type="dxa"/>
            <w:tcBorders>
              <w:top w:val="single" w:sz="4" w:space="0" w:color="auto"/>
              <w:bottom w:val="single" w:sz="4" w:space="0" w:color="auto"/>
            </w:tcBorders>
            <w:shd w:val="clear" w:color="auto" w:fill="FABF8F" w:themeFill="accent6" w:themeFillTint="99"/>
            <w:vAlign w:val="center"/>
          </w:tcPr>
          <w:p w14:paraId="65771F0E" w14:textId="729217CE" w:rsidR="00D52854" w:rsidRPr="001D196E" w:rsidRDefault="00D52854" w:rsidP="00D52854">
            <w:pPr>
              <w:pStyle w:val="cuadroCabe"/>
              <w:spacing w:line="240" w:lineRule="auto"/>
              <w:jc w:val="right"/>
              <w:rPr>
                <w:rFonts w:cs="Arial"/>
                <w:bCs/>
                <w:sz w:val="16"/>
                <w:szCs w:val="16"/>
              </w:rPr>
            </w:pPr>
            <w:r>
              <w:rPr>
                <w:sz w:val="16"/>
              </w:rPr>
              <w:t>0,75</w:t>
            </w:r>
          </w:p>
        </w:tc>
      </w:tr>
    </w:tbl>
    <w:p w14:paraId="06971CD3" w14:textId="77777777" w:rsidR="00BE7F51" w:rsidRPr="00033257" w:rsidRDefault="00BE7F51" w:rsidP="00BE7F51">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p>
    <w:p w14:paraId="1496B19A" w14:textId="77777777" w:rsidR="0023757D" w:rsidRPr="00033257" w:rsidRDefault="0023757D" w:rsidP="0023757D">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COVID-19aren pandemiaren ondoriozko funtzionamendu gastuen murrizketa berreskuratu da, baina oraindik ez osorik; horrek erakusten du jarduera oraindik ez zela guztiz berreskuratu.</w:t>
      </w:r>
    </w:p>
    <w:p w14:paraId="5168BA2A" w14:textId="1327F435" w:rsidR="0023757D" w:rsidRPr="00033257" w:rsidRDefault="33186F73" w:rsidP="0023757D">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r>
        <w:rPr>
          <w:color w:val="000000" w:themeColor="text1"/>
        </w:rPr>
        <w:t>2020ko gastu arruntaren murrizketa nagusiak “Kultura” politikari eragin zion; hala, funtzionamendu gastuak 22,7 milioi murriztu ziren aurreko ekitaldiarekin alderatuta, jarduerak, ekitaldiak eta jaiak ez egitearen ondorioz. 2021ean, politika horren gastu arruntak gora egin zuen, baina 7,8 milioitan soilik; izan ere, COVID-19ak eragindako murrizketa batzuk mantendu ziren.</w:t>
      </w:r>
    </w:p>
    <w:p w14:paraId="21F4C89E" w14:textId="3DDC13F9" w:rsidR="0023757D" w:rsidRPr="00033257" w:rsidRDefault="33186F73" w:rsidP="3710BB4A">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r>
        <w:rPr>
          <w:color w:val="000000" w:themeColor="text1"/>
        </w:rPr>
        <w:t xml:space="preserve">Hala ere, funtzionamendu gastuak, guztira, 36,56 milioi (ehuneko sei) gehiago izan dira 2019arekin alderatuta, pandemiarekin loturarik ez zuten bestelako gastuen bilakaeraren ondorioz. </w:t>
      </w:r>
    </w:p>
    <w:p w14:paraId="346D835C" w14:textId="0916C8CD" w:rsidR="0023757D" w:rsidRPr="00033257" w:rsidRDefault="33186F73" w:rsidP="0004039F">
      <w:pPr>
        <w:pStyle w:val="texto"/>
        <w:numPr>
          <w:ilvl w:val="0"/>
          <w:numId w:val="13"/>
        </w:numPr>
        <w:tabs>
          <w:tab w:val="clear" w:pos="2835"/>
          <w:tab w:val="clear" w:pos="3969"/>
          <w:tab w:val="clear" w:pos="5103"/>
          <w:tab w:val="clear" w:pos="6237"/>
          <w:tab w:val="clear" w:pos="7371"/>
          <w:tab w:val="left" w:pos="480"/>
          <w:tab w:val="num" w:pos="644"/>
          <w:tab w:val="num" w:pos="720"/>
          <w:tab w:val="num" w:pos="1320"/>
          <w:tab w:val="num" w:pos="5606"/>
        </w:tabs>
        <w:spacing w:line="259" w:lineRule="auto"/>
        <w:ind w:left="0" w:firstLine="289"/>
      </w:pPr>
      <w:r>
        <w:rPr>
          <w:color w:val="000000" w:themeColor="text1"/>
        </w:rPr>
        <w:t>Kapitaleko diru-sarrerei dagokienez, 2020an, toki-entitateek COVID-19ari lotutako kapital transferentziak jaso zituzten, 13,5 milioi eurokoak, “Tokiko ekonomia bultzatzeko inbertsioetarako kapital transferentzien aparteko funtsen” kontura. Bere izaera dela eta, diru-sarrera hori ez da jaso 2021ean, eta horrek kapitaleko diru-sarrerak murriztea ekarri du. Hala ere, funts horiekin finantzatutako inbertsioak 2021eko irailera arte gauzatu zitezkeen.</w:t>
      </w:r>
      <w:r>
        <w:t xml:space="preserve"> </w:t>
      </w:r>
    </w:p>
    <w:p w14:paraId="6256FC39" w14:textId="77777777" w:rsidR="00E422E0" w:rsidRDefault="00E422E0" w:rsidP="0004039F">
      <w:pPr>
        <w:pStyle w:val="texto"/>
        <w:rPr>
          <w:b/>
        </w:rPr>
      </w:pPr>
    </w:p>
    <w:p w14:paraId="0592EB8E" w14:textId="3A336FDB" w:rsidR="0023757D" w:rsidRPr="00BE0D4F" w:rsidRDefault="0023757D" w:rsidP="0004039F">
      <w:pPr>
        <w:pStyle w:val="texto"/>
      </w:pPr>
      <w:r>
        <w:rPr>
          <w:b/>
        </w:rPr>
        <w:t>Azken batean</w:t>
      </w:r>
      <w:r>
        <w:t xml:space="preserve">, 2021ean jarduera ekonomikoa eta soziala berreskuratu izanaren ondorioz, toki-entitateek diru-sarrera arruntak handitu dituzte, pandemiaren aurreko maila ehuneko bostean gainditu arte. Funtzionamendu gastuek bilakaera berdintsua izan dute, eta 2019ko maila ehuneko seian gainditu dute. Hala eta guztiz ere, “Kultura” arloko gastu politikaren funtzionamendu gastuak, 2021ean, 2019koak baino ehuneko 25 txikiagoak izan ziren, murrizketa batzuei eutsi zitzaielako.  Horren guztiaren ondorioz, toki-entitateek 2021ean izandako aurrezki gordin eta garbiak 2020ko eta 2019ko mailen gainetik egon ziren, Nafarroako Aurrekontu Orokorren kargurako ezohiko laguntza neurrien beharrik gabe. </w:t>
      </w:r>
    </w:p>
    <w:p w14:paraId="638617F0" w14:textId="632DA705" w:rsidR="002A4BE9" w:rsidRPr="00BE0D4F" w:rsidRDefault="002A4BE9" w:rsidP="00EC4C05">
      <w:pPr>
        <w:pStyle w:val="atitulo2"/>
        <w:spacing w:before="480" w:after="120"/>
      </w:pPr>
      <w:bookmarkStart w:id="81" w:name="_Toc529773885"/>
      <w:bookmarkStart w:id="82" w:name="_Toc24100146"/>
      <w:bookmarkStart w:id="83" w:name="_Toc52348294"/>
      <w:bookmarkStart w:id="84" w:name="_Toc123547411"/>
      <w:bookmarkStart w:id="85" w:name="_Toc151635602"/>
      <w:r>
        <w:t>VI.5 Aurrekontu egonkortasuneko eta finantza iraunkortasuneko helburuak</w:t>
      </w:r>
      <w:bookmarkEnd w:id="81"/>
      <w:bookmarkEnd w:id="82"/>
      <w:bookmarkEnd w:id="83"/>
      <w:bookmarkEnd w:id="84"/>
      <w:bookmarkEnd w:id="85"/>
    </w:p>
    <w:p w14:paraId="400170AE" w14:textId="32AD9FFC" w:rsidR="002A4BE9" w:rsidRPr="00BE0D4F" w:rsidRDefault="0004039F" w:rsidP="007F034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Toki administrazioaren esparruan, AEFILOk honako arau fiskal hauek ezartzen ditu, nahiz eta horietako batzuk 2021ean etenda egon:</w:t>
      </w:r>
    </w:p>
    <w:p w14:paraId="388C8AB9" w14:textId="77777777" w:rsidR="002A4BE9" w:rsidRPr="00BE0D4F"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 xml:space="preserve"> Aurrekontu egonkortasuna: finantzatzeko ahalmena izatea, kontabilitate nazionaleko terminoetan neurtuta.</w:t>
      </w:r>
    </w:p>
    <w:p w14:paraId="02A1DBD6" w14:textId="77777777" w:rsidR="002A4BE9" w:rsidRPr="00BE0D4F"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Gastu araua: ondorio hauetarako konputagarria den gastuaren urtetik urterako aldaketak ez du gainditu behar BPGaren epe ertaineko hazkundearen erreferentziako tasa.</w:t>
      </w:r>
    </w:p>
    <w:p w14:paraId="53467F0A" w14:textId="007DF461" w:rsidR="002A4BE9" w:rsidRPr="00BE0D4F"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Zor publikoaren jasangarritasuna: toki korporazioen zor biziak, gehiegizko defizitaren prozedurari buruzko protokoloaren arabera kalkulatuta, ez du gainditu behar barne produktu gordinaren ehuneko hiru. Praktikan, toki-entitate bakoitzaren zor biziak ezin du gainditu bere diru-sarrera arrunten ehuneko 110.</w:t>
      </w:r>
    </w:p>
    <w:p w14:paraId="2FD8E8B4" w14:textId="77777777" w:rsidR="002A4BE9" w:rsidRPr="00033257"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Pr>
          <w:color w:val="000000" w:themeColor="text1"/>
        </w:rPr>
        <w:t>Merkataritza-zorraren jasangarritasuna: hornitzaileei ordaintzeko batez besteko epeak ezin du, orokorrean, 30 eguneko muga gainditu.</w:t>
      </w:r>
    </w:p>
    <w:p w14:paraId="449EE60B" w14:textId="77777777" w:rsidR="002A4BE9" w:rsidRPr="00033257" w:rsidRDefault="002A4BE9" w:rsidP="007F034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Hori horrela, Toki Administrazioaren eta Despopulazioaren Zuzendaritza Nagusiak emandako informazioak ez du Nafarroako “Toki Administrazioa” azpisektorea mugatzen Kontabilitate Nazionaleko irizpideekin (KES-2010); aitzitik, toki-entitateei eta haien EEAAei buruzko datuak eskaintzen dira, oro har, eta, zor publikoari dagokionez, toki-entitateek partaidetza osoa duten sozietateak ere barnean hartzen dira.</w:t>
      </w:r>
    </w:p>
    <w:p w14:paraId="60D39F58" w14:textId="16109C41" w:rsidR="007F034F" w:rsidRPr="00033257" w:rsidRDefault="007F034F" w:rsidP="007F034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 xml:space="preserve">COVID-19aren pandemiak ekarritako krisi sanitario, sozial eta ekonomikoa dela-eta, Europako Batzordearen gomendioei jarraituz, 2020ko urrian Diputatuen Kongresuak aparteko larrialdi bat gertatu zela adierazi zuen, Konstituzioaren 135.4 artikuluan eta AEFILOn xedatutakoarekin bat. Hori dela eta, eten egin ziren 2020-2021 aldirako aurrekontu egonkortasunaren, zor publikoaren eta gastu arauaren helburuak, eta etenaldi hori 2022ko eta 2023ko ekitaldietara luzatu da. </w:t>
      </w:r>
    </w:p>
    <w:p w14:paraId="49F33DFB" w14:textId="591633A4" w:rsidR="002A4BE9" w:rsidRPr="00033257" w:rsidRDefault="002A4BE9" w:rsidP="007F034F">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lastRenderedPageBreak/>
        <w:t>Nolanahi ere, erantzukizun fiskala eta zuhurtzia lagun, komeni da etendako arauek aipatzen dituzten aldagaien bilakaerari ere jarraipena egitea. Hori dela eta, honako ondorio hauek atera ditugu:</w:t>
      </w:r>
    </w:p>
    <w:p w14:paraId="5F3AF5AD" w14:textId="77777777" w:rsidR="002A4BE9" w:rsidRPr="00033257" w:rsidRDefault="002A4BE9" w:rsidP="007F034F">
      <w:pPr>
        <w:tabs>
          <w:tab w:val="center" w:pos="2835"/>
          <w:tab w:val="center" w:pos="3969"/>
          <w:tab w:val="center" w:pos="5103"/>
          <w:tab w:val="center" w:pos="6237"/>
          <w:tab w:val="center" w:pos="7371"/>
        </w:tabs>
        <w:spacing w:after="0"/>
        <w:ind w:firstLine="284"/>
        <w:rPr>
          <w:color w:val="000000" w:themeColor="text1"/>
          <w:spacing w:val="6"/>
          <w:sz w:val="26"/>
          <w:szCs w:val="24"/>
        </w:rPr>
      </w:pPr>
      <w:r>
        <w:rPr>
          <w:color w:val="000000" w:themeColor="text1"/>
          <w:sz w:val="26"/>
        </w:rPr>
        <w:t>a) Aurrekontu egonkortasunaren arauari dagokionez, toki sektore publikoak 39,88 milioiko finantzaketa ahalmena du, beheko taulan xehetasunez azaltzen denez:</w:t>
      </w:r>
    </w:p>
    <w:p w14:paraId="386E260C" w14:textId="77777777" w:rsidR="005605A0" w:rsidRPr="001D196E" w:rsidRDefault="005605A0" w:rsidP="008C4213">
      <w:pPr>
        <w:pStyle w:val="texto"/>
        <w:tabs>
          <w:tab w:val="clear" w:pos="2835"/>
          <w:tab w:val="clear" w:pos="3969"/>
          <w:tab w:val="clear" w:pos="5103"/>
          <w:tab w:val="clear" w:pos="6237"/>
          <w:tab w:val="clear" w:pos="7371"/>
          <w:tab w:val="left" w:pos="480"/>
          <w:tab w:val="num" w:pos="644"/>
          <w:tab w:val="num" w:pos="720"/>
          <w:tab w:val="num" w:pos="1320"/>
          <w:tab w:val="num" w:pos="5606"/>
        </w:tabs>
        <w:spacing w:after="0"/>
        <w:ind w:right="-1"/>
        <w:jc w:val="right"/>
        <w:rPr>
          <w:rFonts w:ascii="Arial Narrow" w:hAnsi="Arial Narrow" w:cs="Arial"/>
          <w:color w:val="000000" w:themeColor="text1"/>
          <w:sz w:val="18"/>
          <w:szCs w:val="18"/>
        </w:rPr>
      </w:pPr>
      <w:r>
        <w:rPr>
          <w:rFonts w:ascii="Arial Narrow" w:hAnsi="Arial Narrow"/>
          <w:color w:val="000000" w:themeColor="text1"/>
          <w:sz w:val="18"/>
        </w:rPr>
        <w:t>(milioiak)</w:t>
      </w:r>
    </w:p>
    <w:tbl>
      <w:tblPr>
        <w:tblW w:w="8789" w:type="dxa"/>
        <w:tblBorders>
          <w:top w:val="single" w:sz="4" w:space="0" w:color="auto"/>
          <w:bottom w:val="single" w:sz="4" w:space="0" w:color="auto"/>
        </w:tblBorders>
        <w:tblLook w:val="00A0" w:firstRow="1" w:lastRow="0" w:firstColumn="1" w:lastColumn="0" w:noHBand="0" w:noVBand="0"/>
      </w:tblPr>
      <w:tblGrid>
        <w:gridCol w:w="3544"/>
        <w:gridCol w:w="1049"/>
        <w:gridCol w:w="1049"/>
        <w:gridCol w:w="1049"/>
        <w:gridCol w:w="1049"/>
        <w:gridCol w:w="1049"/>
      </w:tblGrid>
      <w:tr w:rsidR="00D52854" w:rsidRPr="001D196E" w14:paraId="1495716F" w14:textId="77777777" w:rsidTr="00D52854">
        <w:trPr>
          <w:trHeight w:val="284"/>
        </w:trPr>
        <w:tc>
          <w:tcPr>
            <w:tcW w:w="3544" w:type="dxa"/>
            <w:tcBorders>
              <w:top w:val="single" w:sz="4" w:space="0" w:color="auto"/>
              <w:bottom w:val="single" w:sz="4" w:space="0" w:color="auto"/>
            </w:tcBorders>
            <w:shd w:val="clear" w:color="auto" w:fill="FABF8F" w:themeFill="accent6" w:themeFillTint="99"/>
            <w:vAlign w:val="center"/>
          </w:tcPr>
          <w:p w14:paraId="02C9C827" w14:textId="77777777" w:rsidR="00D52854" w:rsidRPr="0004039F" w:rsidRDefault="00D52854" w:rsidP="00D52854">
            <w:pPr>
              <w:pStyle w:val="cuadroCabe"/>
              <w:rPr>
                <w:rFonts w:cs="Arial"/>
                <w:szCs w:val="18"/>
              </w:rPr>
            </w:pPr>
            <w:r>
              <w:t>Finantzaketa gaitasuna/beharra</w:t>
            </w:r>
          </w:p>
        </w:tc>
        <w:tc>
          <w:tcPr>
            <w:tcW w:w="1049" w:type="dxa"/>
            <w:tcBorders>
              <w:top w:val="single" w:sz="4" w:space="0" w:color="auto"/>
              <w:bottom w:val="single" w:sz="4" w:space="0" w:color="auto"/>
            </w:tcBorders>
            <w:shd w:val="clear" w:color="auto" w:fill="FABF8F" w:themeFill="accent6" w:themeFillTint="99"/>
            <w:vAlign w:val="center"/>
          </w:tcPr>
          <w:p w14:paraId="2A1F701D" w14:textId="77777777" w:rsidR="00D52854" w:rsidRPr="0004039F" w:rsidRDefault="00D52854" w:rsidP="00D52854">
            <w:pPr>
              <w:pStyle w:val="cuadroCabe"/>
              <w:jc w:val="right"/>
              <w:rPr>
                <w:rFonts w:cs="Arial"/>
                <w:szCs w:val="18"/>
              </w:rPr>
            </w:pPr>
          </w:p>
        </w:tc>
        <w:tc>
          <w:tcPr>
            <w:tcW w:w="1049" w:type="dxa"/>
            <w:tcBorders>
              <w:top w:val="single" w:sz="4" w:space="0" w:color="auto"/>
              <w:bottom w:val="single" w:sz="4" w:space="0" w:color="auto"/>
            </w:tcBorders>
            <w:shd w:val="clear" w:color="auto" w:fill="FABF8F" w:themeFill="accent6" w:themeFillTint="99"/>
            <w:vAlign w:val="center"/>
          </w:tcPr>
          <w:p w14:paraId="03EFCA41" w14:textId="77777777" w:rsidR="00D52854" w:rsidRPr="001D196E" w:rsidRDefault="00D52854" w:rsidP="00D52854">
            <w:pPr>
              <w:pStyle w:val="cuadroCabe"/>
              <w:jc w:val="right"/>
              <w:rPr>
                <w:rFonts w:cs="Arial"/>
                <w:szCs w:val="18"/>
              </w:rPr>
            </w:pPr>
          </w:p>
        </w:tc>
        <w:tc>
          <w:tcPr>
            <w:tcW w:w="1049" w:type="dxa"/>
            <w:tcBorders>
              <w:top w:val="single" w:sz="4" w:space="0" w:color="auto"/>
              <w:bottom w:val="single" w:sz="4" w:space="0" w:color="auto"/>
            </w:tcBorders>
            <w:shd w:val="clear" w:color="auto" w:fill="FABF8F" w:themeFill="accent6" w:themeFillTint="99"/>
            <w:vAlign w:val="center"/>
          </w:tcPr>
          <w:p w14:paraId="0CC9C4BE" w14:textId="246D99B1" w:rsidR="00D52854" w:rsidRPr="001D196E" w:rsidRDefault="00D52854" w:rsidP="00D52854">
            <w:pPr>
              <w:pStyle w:val="cuadroCabe"/>
              <w:jc w:val="right"/>
              <w:rPr>
                <w:rFonts w:cs="Arial"/>
                <w:szCs w:val="18"/>
              </w:rPr>
            </w:pPr>
            <w:r>
              <w:t>2019</w:t>
            </w:r>
          </w:p>
        </w:tc>
        <w:tc>
          <w:tcPr>
            <w:tcW w:w="1049" w:type="dxa"/>
            <w:tcBorders>
              <w:top w:val="single" w:sz="4" w:space="0" w:color="auto"/>
              <w:bottom w:val="single" w:sz="4" w:space="0" w:color="auto"/>
            </w:tcBorders>
            <w:shd w:val="clear" w:color="auto" w:fill="FABF8F" w:themeFill="accent6" w:themeFillTint="99"/>
            <w:vAlign w:val="center"/>
          </w:tcPr>
          <w:p w14:paraId="7666A927" w14:textId="0590C307" w:rsidR="00D52854" w:rsidRPr="001D196E" w:rsidRDefault="00D52854" w:rsidP="00D52854">
            <w:pPr>
              <w:pStyle w:val="cuadroCabe"/>
              <w:jc w:val="right"/>
              <w:rPr>
                <w:rFonts w:cs="Arial"/>
                <w:szCs w:val="18"/>
              </w:rPr>
            </w:pPr>
            <w:r>
              <w:t>2020</w:t>
            </w:r>
          </w:p>
        </w:tc>
        <w:tc>
          <w:tcPr>
            <w:tcW w:w="1049" w:type="dxa"/>
            <w:tcBorders>
              <w:top w:val="single" w:sz="4" w:space="0" w:color="auto"/>
              <w:bottom w:val="single" w:sz="4" w:space="0" w:color="auto"/>
            </w:tcBorders>
            <w:shd w:val="clear" w:color="auto" w:fill="FABF8F" w:themeFill="accent6" w:themeFillTint="99"/>
            <w:vAlign w:val="center"/>
          </w:tcPr>
          <w:p w14:paraId="03E6644A" w14:textId="6471A227" w:rsidR="00D52854" w:rsidRPr="001D196E" w:rsidRDefault="00D52854" w:rsidP="00D52854">
            <w:pPr>
              <w:pStyle w:val="cuadroCabe"/>
              <w:jc w:val="right"/>
              <w:rPr>
                <w:rFonts w:cs="Arial"/>
                <w:szCs w:val="18"/>
              </w:rPr>
            </w:pPr>
            <w:r>
              <w:t>2021</w:t>
            </w:r>
          </w:p>
        </w:tc>
      </w:tr>
      <w:tr w:rsidR="00D52854" w:rsidRPr="00033257" w14:paraId="78EB1E8F" w14:textId="77777777" w:rsidTr="00D52854">
        <w:trPr>
          <w:trHeight w:val="284"/>
        </w:trPr>
        <w:tc>
          <w:tcPr>
            <w:tcW w:w="3544" w:type="dxa"/>
            <w:tcBorders>
              <w:top w:val="single" w:sz="4" w:space="0" w:color="auto"/>
              <w:bottom w:val="single" w:sz="4" w:space="0" w:color="auto"/>
              <w:right w:val="nil"/>
            </w:tcBorders>
            <w:vAlign w:val="center"/>
          </w:tcPr>
          <w:p w14:paraId="5F21FE6F" w14:textId="77777777" w:rsidR="00D52854" w:rsidRPr="00033257" w:rsidRDefault="00D52854" w:rsidP="00D52854">
            <w:pPr>
              <w:pStyle w:val="cuatexto"/>
              <w:rPr>
                <w:szCs w:val="20"/>
              </w:rPr>
            </w:pPr>
            <w:r>
              <w:t>Aurrekontu-saldo ez-finantzarioa</w:t>
            </w:r>
          </w:p>
        </w:tc>
        <w:tc>
          <w:tcPr>
            <w:tcW w:w="1049" w:type="dxa"/>
            <w:tcBorders>
              <w:top w:val="single" w:sz="4" w:space="0" w:color="auto"/>
              <w:bottom w:val="single" w:sz="4" w:space="0" w:color="auto"/>
              <w:right w:val="nil"/>
            </w:tcBorders>
            <w:vAlign w:val="center"/>
          </w:tcPr>
          <w:p w14:paraId="5F96A722" w14:textId="77777777" w:rsidR="00D52854" w:rsidRPr="00033257" w:rsidRDefault="00D52854" w:rsidP="00D52854">
            <w:pPr>
              <w:pStyle w:val="cuatexto"/>
              <w:jc w:val="right"/>
              <w:rPr>
                <w:szCs w:val="20"/>
              </w:rPr>
            </w:pPr>
          </w:p>
        </w:tc>
        <w:tc>
          <w:tcPr>
            <w:tcW w:w="1049" w:type="dxa"/>
            <w:tcBorders>
              <w:top w:val="single" w:sz="4" w:space="0" w:color="auto"/>
              <w:bottom w:val="single" w:sz="4" w:space="0" w:color="auto"/>
              <w:right w:val="nil"/>
            </w:tcBorders>
            <w:vAlign w:val="center"/>
          </w:tcPr>
          <w:p w14:paraId="5B95CD12" w14:textId="77777777" w:rsidR="00D52854" w:rsidRPr="00033257" w:rsidRDefault="00D52854" w:rsidP="00D52854">
            <w:pPr>
              <w:pStyle w:val="cuatexto"/>
              <w:jc w:val="right"/>
              <w:rPr>
                <w:szCs w:val="20"/>
              </w:rPr>
            </w:pPr>
          </w:p>
        </w:tc>
        <w:tc>
          <w:tcPr>
            <w:tcW w:w="1049" w:type="dxa"/>
            <w:tcBorders>
              <w:top w:val="single" w:sz="4" w:space="0" w:color="auto"/>
              <w:bottom w:val="single" w:sz="4" w:space="0" w:color="auto"/>
            </w:tcBorders>
            <w:vAlign w:val="center"/>
          </w:tcPr>
          <w:p w14:paraId="541D44C1" w14:textId="1BADF3F2" w:rsidR="00D52854" w:rsidRPr="00033257" w:rsidRDefault="00D52854" w:rsidP="00D52854">
            <w:pPr>
              <w:pStyle w:val="cuatexto"/>
              <w:jc w:val="right"/>
              <w:rPr>
                <w:szCs w:val="20"/>
              </w:rPr>
            </w:pPr>
            <w:r>
              <w:t>31,16</w:t>
            </w:r>
          </w:p>
        </w:tc>
        <w:tc>
          <w:tcPr>
            <w:tcW w:w="1049" w:type="dxa"/>
            <w:tcBorders>
              <w:top w:val="single" w:sz="4" w:space="0" w:color="auto"/>
              <w:bottom w:val="single" w:sz="4" w:space="0" w:color="auto"/>
            </w:tcBorders>
            <w:vAlign w:val="center"/>
          </w:tcPr>
          <w:p w14:paraId="1232DBFD" w14:textId="1D968723" w:rsidR="00D52854" w:rsidRPr="00033257" w:rsidRDefault="00D52854" w:rsidP="00D52854">
            <w:pPr>
              <w:pStyle w:val="cuatexto"/>
              <w:jc w:val="right"/>
              <w:rPr>
                <w:szCs w:val="20"/>
              </w:rPr>
            </w:pPr>
            <w:r>
              <w:t>78,00</w:t>
            </w:r>
          </w:p>
        </w:tc>
        <w:tc>
          <w:tcPr>
            <w:tcW w:w="1049" w:type="dxa"/>
            <w:tcBorders>
              <w:top w:val="single" w:sz="4" w:space="0" w:color="auto"/>
              <w:bottom w:val="single" w:sz="4" w:space="0" w:color="auto"/>
            </w:tcBorders>
            <w:vAlign w:val="center"/>
          </w:tcPr>
          <w:p w14:paraId="7D386F17" w14:textId="5B742817" w:rsidR="00D52854" w:rsidRPr="00033257" w:rsidRDefault="00D52854" w:rsidP="00D52854">
            <w:pPr>
              <w:pStyle w:val="cuatexto"/>
              <w:jc w:val="right"/>
              <w:rPr>
                <w:szCs w:val="20"/>
              </w:rPr>
            </w:pPr>
            <w:r>
              <w:t>24,43</w:t>
            </w:r>
          </w:p>
        </w:tc>
      </w:tr>
      <w:tr w:rsidR="00D52854" w:rsidRPr="00033257" w14:paraId="2C06F28A" w14:textId="77777777" w:rsidTr="00D52854">
        <w:trPr>
          <w:trHeight w:val="277"/>
        </w:trPr>
        <w:tc>
          <w:tcPr>
            <w:tcW w:w="3544" w:type="dxa"/>
            <w:vMerge w:val="restart"/>
            <w:tcBorders>
              <w:top w:val="single" w:sz="4" w:space="0" w:color="auto"/>
              <w:bottom w:val="nil"/>
              <w:right w:val="nil"/>
            </w:tcBorders>
            <w:vAlign w:val="center"/>
          </w:tcPr>
          <w:p w14:paraId="32B88715" w14:textId="77777777" w:rsidR="00D52854" w:rsidRPr="00033257" w:rsidRDefault="00D52854" w:rsidP="00D52854">
            <w:pPr>
              <w:pStyle w:val="cuatexto"/>
              <w:jc w:val="left"/>
              <w:rPr>
                <w:szCs w:val="20"/>
              </w:rPr>
            </w:pPr>
            <w:r>
              <w:t>Doikuntzak:</w:t>
            </w:r>
          </w:p>
          <w:p w14:paraId="4DF365D5" w14:textId="77777777" w:rsidR="00D52854" w:rsidRPr="00033257" w:rsidRDefault="00D52854" w:rsidP="00D52854">
            <w:pPr>
              <w:pStyle w:val="cuatexto"/>
              <w:jc w:val="left"/>
              <w:rPr>
                <w:szCs w:val="20"/>
              </w:rPr>
            </w:pPr>
            <w:r>
              <w:t>Diru-bilketa ez-seguruko diru-sarrerak</w:t>
            </w:r>
          </w:p>
          <w:p w14:paraId="77310531" w14:textId="77777777" w:rsidR="00D52854" w:rsidRPr="00033257" w:rsidRDefault="00D52854" w:rsidP="00D52854">
            <w:pPr>
              <w:pStyle w:val="cuatexto"/>
              <w:jc w:val="left"/>
              <w:rPr>
                <w:szCs w:val="20"/>
              </w:rPr>
            </w:pPr>
            <w:r>
              <w:t>Beste AAPP batzuengandik jasotako transferentziak</w:t>
            </w:r>
          </w:p>
        </w:tc>
        <w:tc>
          <w:tcPr>
            <w:tcW w:w="1049" w:type="dxa"/>
            <w:tcBorders>
              <w:top w:val="single" w:sz="4" w:space="0" w:color="auto"/>
              <w:bottom w:val="nil"/>
              <w:right w:val="nil"/>
            </w:tcBorders>
            <w:vAlign w:val="center"/>
          </w:tcPr>
          <w:p w14:paraId="5220BBB2" w14:textId="77777777" w:rsidR="00D52854" w:rsidRPr="00033257" w:rsidRDefault="00D52854" w:rsidP="00D52854">
            <w:pPr>
              <w:pStyle w:val="cuatexto"/>
              <w:jc w:val="right"/>
              <w:rPr>
                <w:szCs w:val="20"/>
              </w:rPr>
            </w:pPr>
          </w:p>
        </w:tc>
        <w:tc>
          <w:tcPr>
            <w:tcW w:w="1049" w:type="dxa"/>
            <w:tcBorders>
              <w:top w:val="single" w:sz="4" w:space="0" w:color="auto"/>
              <w:bottom w:val="nil"/>
              <w:right w:val="nil"/>
            </w:tcBorders>
            <w:vAlign w:val="center"/>
          </w:tcPr>
          <w:p w14:paraId="13CB595B" w14:textId="77777777" w:rsidR="00D52854" w:rsidRPr="00033257" w:rsidRDefault="00D52854" w:rsidP="00D52854">
            <w:pPr>
              <w:pStyle w:val="cuatexto"/>
              <w:jc w:val="right"/>
              <w:rPr>
                <w:szCs w:val="20"/>
              </w:rPr>
            </w:pPr>
          </w:p>
        </w:tc>
        <w:tc>
          <w:tcPr>
            <w:tcW w:w="1049" w:type="dxa"/>
            <w:tcBorders>
              <w:top w:val="single" w:sz="4" w:space="0" w:color="auto"/>
              <w:bottom w:val="nil"/>
            </w:tcBorders>
            <w:vAlign w:val="center"/>
          </w:tcPr>
          <w:p w14:paraId="10068917" w14:textId="77777777" w:rsidR="00D52854" w:rsidRPr="00033257" w:rsidRDefault="00D52854" w:rsidP="00D52854">
            <w:pPr>
              <w:pStyle w:val="cuatexto"/>
              <w:jc w:val="right"/>
              <w:rPr>
                <w:szCs w:val="20"/>
              </w:rPr>
            </w:pPr>
          </w:p>
        </w:tc>
        <w:tc>
          <w:tcPr>
            <w:tcW w:w="1049" w:type="dxa"/>
            <w:tcBorders>
              <w:top w:val="single" w:sz="4" w:space="0" w:color="auto"/>
              <w:bottom w:val="nil"/>
            </w:tcBorders>
            <w:vAlign w:val="center"/>
          </w:tcPr>
          <w:p w14:paraId="3E4F16C3" w14:textId="77777777" w:rsidR="00D52854" w:rsidRPr="00033257" w:rsidRDefault="00D52854" w:rsidP="00D52854">
            <w:pPr>
              <w:pStyle w:val="cuatexto"/>
              <w:jc w:val="right"/>
              <w:rPr>
                <w:szCs w:val="20"/>
              </w:rPr>
            </w:pPr>
          </w:p>
        </w:tc>
        <w:tc>
          <w:tcPr>
            <w:tcW w:w="1049" w:type="dxa"/>
            <w:tcBorders>
              <w:top w:val="single" w:sz="4" w:space="0" w:color="auto"/>
              <w:bottom w:val="nil"/>
            </w:tcBorders>
            <w:vAlign w:val="center"/>
          </w:tcPr>
          <w:p w14:paraId="6D9C8D39" w14:textId="442E4663" w:rsidR="00D52854" w:rsidRPr="00033257" w:rsidRDefault="00D52854" w:rsidP="00D52854">
            <w:pPr>
              <w:pStyle w:val="cuatexto"/>
              <w:jc w:val="right"/>
              <w:rPr>
                <w:szCs w:val="20"/>
              </w:rPr>
            </w:pPr>
          </w:p>
        </w:tc>
      </w:tr>
      <w:tr w:rsidR="00D52854" w:rsidRPr="00033257" w14:paraId="66C29A98" w14:textId="77777777" w:rsidTr="00D52854">
        <w:trPr>
          <w:trHeight w:val="277"/>
        </w:trPr>
        <w:tc>
          <w:tcPr>
            <w:tcW w:w="3544" w:type="dxa"/>
            <w:vMerge/>
            <w:vAlign w:val="center"/>
          </w:tcPr>
          <w:p w14:paraId="0A4F7224" w14:textId="77777777" w:rsidR="00D52854" w:rsidRPr="00033257" w:rsidRDefault="00D52854" w:rsidP="00D52854">
            <w:pPr>
              <w:pStyle w:val="cuatexto"/>
              <w:rPr>
                <w:szCs w:val="20"/>
              </w:rPr>
            </w:pPr>
          </w:p>
        </w:tc>
        <w:tc>
          <w:tcPr>
            <w:tcW w:w="1049" w:type="dxa"/>
            <w:tcBorders>
              <w:top w:val="nil"/>
              <w:bottom w:val="nil"/>
              <w:right w:val="nil"/>
            </w:tcBorders>
            <w:vAlign w:val="center"/>
          </w:tcPr>
          <w:p w14:paraId="5AE48A43" w14:textId="77777777" w:rsidR="00D52854" w:rsidRPr="00033257" w:rsidRDefault="00D52854" w:rsidP="00D52854">
            <w:pPr>
              <w:pStyle w:val="cuatexto"/>
              <w:jc w:val="right"/>
              <w:rPr>
                <w:szCs w:val="20"/>
              </w:rPr>
            </w:pPr>
          </w:p>
        </w:tc>
        <w:tc>
          <w:tcPr>
            <w:tcW w:w="1049" w:type="dxa"/>
            <w:tcBorders>
              <w:top w:val="nil"/>
              <w:bottom w:val="nil"/>
              <w:right w:val="nil"/>
            </w:tcBorders>
            <w:vAlign w:val="center"/>
          </w:tcPr>
          <w:p w14:paraId="50F40DEB" w14:textId="77777777" w:rsidR="00D52854" w:rsidRPr="00033257" w:rsidRDefault="00D52854" w:rsidP="00D52854">
            <w:pPr>
              <w:pStyle w:val="cuatexto"/>
              <w:jc w:val="right"/>
              <w:rPr>
                <w:szCs w:val="20"/>
              </w:rPr>
            </w:pPr>
          </w:p>
        </w:tc>
        <w:tc>
          <w:tcPr>
            <w:tcW w:w="1049" w:type="dxa"/>
            <w:tcBorders>
              <w:top w:val="nil"/>
              <w:bottom w:val="nil"/>
            </w:tcBorders>
            <w:vAlign w:val="center"/>
          </w:tcPr>
          <w:p w14:paraId="75CBCAAC" w14:textId="7B7439D1" w:rsidR="00D52854" w:rsidRPr="00033257" w:rsidRDefault="00D52854" w:rsidP="00D52854">
            <w:pPr>
              <w:pStyle w:val="cuatexto"/>
              <w:jc w:val="right"/>
            </w:pPr>
            <w:r>
              <w:t>(6,23)</w:t>
            </w:r>
          </w:p>
        </w:tc>
        <w:tc>
          <w:tcPr>
            <w:tcW w:w="1049" w:type="dxa"/>
            <w:tcBorders>
              <w:top w:val="nil"/>
              <w:bottom w:val="nil"/>
            </w:tcBorders>
            <w:vAlign w:val="center"/>
          </w:tcPr>
          <w:p w14:paraId="6FCB27E4" w14:textId="32CB07E8" w:rsidR="00D52854" w:rsidRPr="00033257" w:rsidRDefault="00D52854" w:rsidP="00D52854">
            <w:pPr>
              <w:pStyle w:val="cuatexto"/>
              <w:jc w:val="right"/>
            </w:pPr>
            <w:r>
              <w:t>(11,66)</w:t>
            </w:r>
          </w:p>
        </w:tc>
        <w:tc>
          <w:tcPr>
            <w:tcW w:w="1049" w:type="dxa"/>
            <w:tcBorders>
              <w:top w:val="nil"/>
              <w:bottom w:val="nil"/>
            </w:tcBorders>
            <w:vAlign w:val="center"/>
          </w:tcPr>
          <w:p w14:paraId="07FC7A83" w14:textId="7B2905A9" w:rsidR="00D52854" w:rsidRPr="00033257" w:rsidRDefault="00D52854" w:rsidP="00D52854">
            <w:pPr>
              <w:pStyle w:val="cuatexto"/>
              <w:jc w:val="right"/>
            </w:pPr>
            <w:r>
              <w:t>(4,64)*</w:t>
            </w:r>
          </w:p>
        </w:tc>
      </w:tr>
      <w:tr w:rsidR="00D52854" w:rsidRPr="00033257" w14:paraId="4A826A07" w14:textId="77777777" w:rsidTr="00D52854">
        <w:trPr>
          <w:trHeight w:val="277"/>
        </w:trPr>
        <w:tc>
          <w:tcPr>
            <w:tcW w:w="3544" w:type="dxa"/>
            <w:vMerge/>
            <w:vAlign w:val="center"/>
          </w:tcPr>
          <w:p w14:paraId="77A52294" w14:textId="77777777" w:rsidR="00D52854" w:rsidRPr="00033257" w:rsidRDefault="00D52854" w:rsidP="00D52854">
            <w:pPr>
              <w:pStyle w:val="cuatexto"/>
              <w:rPr>
                <w:szCs w:val="20"/>
              </w:rPr>
            </w:pPr>
          </w:p>
        </w:tc>
        <w:tc>
          <w:tcPr>
            <w:tcW w:w="1049" w:type="dxa"/>
            <w:tcBorders>
              <w:top w:val="nil"/>
              <w:bottom w:val="single" w:sz="4" w:space="0" w:color="auto"/>
              <w:right w:val="nil"/>
            </w:tcBorders>
            <w:vAlign w:val="center"/>
          </w:tcPr>
          <w:p w14:paraId="007DCDA8" w14:textId="77777777" w:rsidR="00D52854" w:rsidRPr="00033257" w:rsidRDefault="00D52854" w:rsidP="00D52854">
            <w:pPr>
              <w:pStyle w:val="cuatexto"/>
              <w:jc w:val="right"/>
              <w:rPr>
                <w:szCs w:val="20"/>
              </w:rPr>
            </w:pPr>
          </w:p>
        </w:tc>
        <w:tc>
          <w:tcPr>
            <w:tcW w:w="1049" w:type="dxa"/>
            <w:tcBorders>
              <w:top w:val="nil"/>
              <w:bottom w:val="single" w:sz="4" w:space="0" w:color="auto"/>
              <w:right w:val="nil"/>
            </w:tcBorders>
            <w:vAlign w:val="center"/>
          </w:tcPr>
          <w:p w14:paraId="450EA2D7" w14:textId="77777777" w:rsidR="00D52854" w:rsidRPr="00033257" w:rsidRDefault="00D52854" w:rsidP="00D52854">
            <w:pPr>
              <w:pStyle w:val="cuatexto"/>
              <w:jc w:val="right"/>
              <w:rPr>
                <w:szCs w:val="20"/>
              </w:rPr>
            </w:pPr>
          </w:p>
        </w:tc>
        <w:tc>
          <w:tcPr>
            <w:tcW w:w="1049" w:type="dxa"/>
            <w:tcBorders>
              <w:top w:val="nil"/>
              <w:bottom w:val="single" w:sz="4" w:space="0" w:color="auto"/>
            </w:tcBorders>
            <w:vAlign w:val="center"/>
          </w:tcPr>
          <w:p w14:paraId="5CBCC809" w14:textId="34DAFBE4" w:rsidR="00D52854" w:rsidRPr="00033257" w:rsidRDefault="00D52854" w:rsidP="00D52854">
            <w:pPr>
              <w:pStyle w:val="cuatexto"/>
              <w:jc w:val="right"/>
              <w:rPr>
                <w:szCs w:val="20"/>
              </w:rPr>
            </w:pPr>
            <w:r>
              <w:t>12,85</w:t>
            </w:r>
          </w:p>
        </w:tc>
        <w:tc>
          <w:tcPr>
            <w:tcW w:w="1049" w:type="dxa"/>
            <w:tcBorders>
              <w:top w:val="nil"/>
              <w:bottom w:val="single" w:sz="4" w:space="0" w:color="auto"/>
            </w:tcBorders>
            <w:vAlign w:val="center"/>
          </w:tcPr>
          <w:p w14:paraId="559D5123" w14:textId="31FB1FFB" w:rsidR="00D52854" w:rsidRPr="00033257" w:rsidRDefault="00D52854" w:rsidP="00D52854">
            <w:pPr>
              <w:pStyle w:val="cuatexto"/>
              <w:jc w:val="right"/>
              <w:rPr>
                <w:szCs w:val="20"/>
              </w:rPr>
            </w:pPr>
            <w:r>
              <w:t>21,46</w:t>
            </w:r>
          </w:p>
        </w:tc>
        <w:tc>
          <w:tcPr>
            <w:tcW w:w="1049" w:type="dxa"/>
            <w:tcBorders>
              <w:top w:val="nil"/>
              <w:bottom w:val="single" w:sz="4" w:space="0" w:color="auto"/>
            </w:tcBorders>
            <w:vAlign w:val="center"/>
          </w:tcPr>
          <w:p w14:paraId="7B9616F0" w14:textId="5FC64DA3" w:rsidR="00D52854" w:rsidRPr="00033257" w:rsidRDefault="00D52854" w:rsidP="00D52854">
            <w:pPr>
              <w:pStyle w:val="cuatexto"/>
              <w:jc w:val="right"/>
              <w:rPr>
                <w:szCs w:val="20"/>
              </w:rPr>
            </w:pPr>
            <w:r>
              <w:t>20,08</w:t>
            </w:r>
          </w:p>
        </w:tc>
      </w:tr>
      <w:tr w:rsidR="00D52854" w:rsidRPr="001D196E" w14:paraId="55BEDB98" w14:textId="77777777" w:rsidTr="00D52854">
        <w:trPr>
          <w:trHeight w:val="284"/>
        </w:trPr>
        <w:tc>
          <w:tcPr>
            <w:tcW w:w="3544" w:type="dxa"/>
            <w:tcBorders>
              <w:top w:val="single" w:sz="4" w:space="0" w:color="auto"/>
              <w:bottom w:val="single" w:sz="4" w:space="0" w:color="auto"/>
              <w:right w:val="nil"/>
            </w:tcBorders>
            <w:shd w:val="clear" w:color="auto" w:fill="FABF8F" w:themeFill="accent6" w:themeFillTint="99"/>
            <w:vAlign w:val="center"/>
          </w:tcPr>
          <w:p w14:paraId="095A94AD" w14:textId="77777777" w:rsidR="00D52854" w:rsidRPr="001D196E" w:rsidRDefault="00D52854" w:rsidP="00D52854">
            <w:pPr>
              <w:pStyle w:val="cuadroCabe"/>
              <w:rPr>
                <w:rFonts w:cs="Arial"/>
                <w:szCs w:val="18"/>
              </w:rPr>
            </w:pPr>
            <w:r>
              <w:t>Finantzaketa gaitasuna</w:t>
            </w:r>
          </w:p>
        </w:tc>
        <w:tc>
          <w:tcPr>
            <w:tcW w:w="1049" w:type="dxa"/>
            <w:tcBorders>
              <w:top w:val="single" w:sz="4" w:space="0" w:color="auto"/>
              <w:bottom w:val="single" w:sz="4" w:space="0" w:color="auto"/>
              <w:right w:val="nil"/>
            </w:tcBorders>
            <w:shd w:val="clear" w:color="auto" w:fill="FABF8F" w:themeFill="accent6" w:themeFillTint="99"/>
            <w:vAlign w:val="center"/>
          </w:tcPr>
          <w:p w14:paraId="3DD355C9" w14:textId="77777777" w:rsidR="00D52854" w:rsidRPr="001D196E" w:rsidRDefault="00D52854" w:rsidP="00D52854">
            <w:pPr>
              <w:pStyle w:val="cuadroCabe"/>
              <w:jc w:val="right"/>
              <w:rPr>
                <w:rFonts w:cs="Arial"/>
                <w:szCs w:val="18"/>
              </w:rPr>
            </w:pPr>
          </w:p>
        </w:tc>
        <w:tc>
          <w:tcPr>
            <w:tcW w:w="1049" w:type="dxa"/>
            <w:tcBorders>
              <w:top w:val="single" w:sz="4" w:space="0" w:color="auto"/>
              <w:bottom w:val="single" w:sz="4" w:space="0" w:color="auto"/>
              <w:right w:val="nil"/>
            </w:tcBorders>
            <w:shd w:val="clear" w:color="auto" w:fill="FABF8F" w:themeFill="accent6" w:themeFillTint="99"/>
            <w:vAlign w:val="center"/>
          </w:tcPr>
          <w:p w14:paraId="1A81F0B1" w14:textId="77777777" w:rsidR="00D52854" w:rsidRPr="001D196E" w:rsidRDefault="00D52854" w:rsidP="00D52854">
            <w:pPr>
              <w:pStyle w:val="cuadroCabe"/>
              <w:jc w:val="right"/>
              <w:rPr>
                <w:rFonts w:cs="Arial"/>
                <w:szCs w:val="18"/>
              </w:rPr>
            </w:pPr>
          </w:p>
        </w:tc>
        <w:tc>
          <w:tcPr>
            <w:tcW w:w="1049" w:type="dxa"/>
            <w:tcBorders>
              <w:top w:val="single" w:sz="4" w:space="0" w:color="auto"/>
              <w:bottom w:val="single" w:sz="4" w:space="0" w:color="auto"/>
            </w:tcBorders>
            <w:shd w:val="clear" w:color="auto" w:fill="FABF8F" w:themeFill="accent6" w:themeFillTint="99"/>
            <w:vAlign w:val="center"/>
          </w:tcPr>
          <w:p w14:paraId="75DA0E3E" w14:textId="4FFE2222" w:rsidR="00D52854" w:rsidRPr="001D196E" w:rsidRDefault="00D52854" w:rsidP="00D52854">
            <w:pPr>
              <w:pStyle w:val="cuadroCabe"/>
              <w:jc w:val="right"/>
              <w:rPr>
                <w:rFonts w:cs="Arial"/>
                <w:szCs w:val="18"/>
              </w:rPr>
            </w:pPr>
            <w:r>
              <w:t>37,78</w:t>
            </w:r>
          </w:p>
        </w:tc>
        <w:tc>
          <w:tcPr>
            <w:tcW w:w="1049" w:type="dxa"/>
            <w:tcBorders>
              <w:top w:val="single" w:sz="4" w:space="0" w:color="auto"/>
              <w:bottom w:val="single" w:sz="4" w:space="0" w:color="auto"/>
            </w:tcBorders>
            <w:shd w:val="clear" w:color="auto" w:fill="FABF8F" w:themeFill="accent6" w:themeFillTint="99"/>
            <w:vAlign w:val="center"/>
          </w:tcPr>
          <w:p w14:paraId="6DBE7CEF" w14:textId="0A06ABB7" w:rsidR="00D52854" w:rsidRPr="001D196E" w:rsidRDefault="00D52854" w:rsidP="00D52854">
            <w:pPr>
              <w:pStyle w:val="cuadroCabe"/>
              <w:jc w:val="right"/>
              <w:rPr>
                <w:rFonts w:cs="Arial"/>
                <w:szCs w:val="18"/>
              </w:rPr>
            </w:pPr>
            <w:r>
              <w:t>87,80</w:t>
            </w:r>
          </w:p>
        </w:tc>
        <w:tc>
          <w:tcPr>
            <w:tcW w:w="1049" w:type="dxa"/>
            <w:tcBorders>
              <w:top w:val="single" w:sz="4" w:space="0" w:color="auto"/>
              <w:bottom w:val="single" w:sz="4" w:space="0" w:color="auto"/>
            </w:tcBorders>
            <w:shd w:val="clear" w:color="auto" w:fill="FABF8F" w:themeFill="accent6" w:themeFillTint="99"/>
            <w:vAlign w:val="center"/>
          </w:tcPr>
          <w:p w14:paraId="4A7DC6E1" w14:textId="0F3E8D46" w:rsidR="00D52854" w:rsidRPr="001D196E" w:rsidRDefault="00D52854" w:rsidP="00D52854">
            <w:pPr>
              <w:pStyle w:val="cuadroCabe"/>
              <w:jc w:val="right"/>
              <w:rPr>
                <w:rFonts w:cs="Arial"/>
                <w:szCs w:val="18"/>
              </w:rPr>
            </w:pPr>
            <w:r>
              <w:t>39,88*</w:t>
            </w:r>
          </w:p>
        </w:tc>
      </w:tr>
    </w:tbl>
    <w:p w14:paraId="5090F16A" w14:textId="329AF6F0" w:rsidR="005B552E" w:rsidRPr="00B739A9" w:rsidRDefault="005B552E" w:rsidP="00B739A9">
      <w:pPr>
        <w:tabs>
          <w:tab w:val="center" w:pos="2835"/>
          <w:tab w:val="center" w:pos="3969"/>
          <w:tab w:val="center" w:pos="5103"/>
          <w:tab w:val="center" w:pos="6237"/>
          <w:tab w:val="center" w:pos="7371"/>
        </w:tabs>
        <w:spacing w:before="60" w:after="0"/>
        <w:ind w:firstLine="0"/>
        <w:rPr>
          <w:rFonts w:ascii="Arial" w:hAnsi="Arial" w:cs="Arial"/>
          <w:color w:val="000000" w:themeColor="text1"/>
          <w:spacing w:val="6"/>
          <w:sz w:val="14"/>
          <w:szCs w:val="14"/>
        </w:rPr>
      </w:pPr>
      <w:r>
        <w:rPr>
          <w:rFonts w:ascii="Arial" w:hAnsi="Arial"/>
          <w:color w:val="000000" w:themeColor="text1"/>
          <w:sz w:val="14"/>
        </w:rPr>
        <w:t>(*) TADZNek landa-lanean emandako datua, zuzendaritza nagusi horrek 2023ko apirilean finantza egoerari buruz egindako txostenean jasotakoa zuzentzeko.</w:t>
      </w:r>
    </w:p>
    <w:p w14:paraId="42F49275" w14:textId="01D846A0" w:rsidR="002A4BE9" w:rsidRPr="00033257" w:rsidRDefault="002A4BE9" w:rsidP="0024414B">
      <w:pPr>
        <w:tabs>
          <w:tab w:val="center" w:pos="2835"/>
          <w:tab w:val="center" w:pos="3969"/>
          <w:tab w:val="center" w:pos="5103"/>
          <w:tab w:val="center" w:pos="6237"/>
          <w:tab w:val="center" w:pos="7371"/>
        </w:tabs>
        <w:spacing w:before="240"/>
        <w:ind w:firstLine="284"/>
        <w:rPr>
          <w:color w:val="000000" w:themeColor="text1"/>
          <w:spacing w:val="6"/>
          <w:sz w:val="26"/>
          <w:szCs w:val="24"/>
        </w:rPr>
      </w:pPr>
      <w:r>
        <w:rPr>
          <w:color w:val="000000" w:themeColor="text1"/>
          <w:sz w:val="26"/>
        </w:rPr>
        <w:t xml:space="preserve">b) Gastu arauari dagokionez, 2021eko ekitaldirako gastu araua eten zenez, ez zen epe ertainerako BPGren hazkundearen erreferentzia tasarik ezarri ondorio horietarako. TADZNen txostenak ez du informaziorik ematen gastu konputagarriaren aldaketa tasari buruz. </w:t>
      </w:r>
    </w:p>
    <w:p w14:paraId="6B223629" w14:textId="3CE2DD94" w:rsidR="002A4BE9" w:rsidRPr="00033257" w:rsidRDefault="002A4BE9" w:rsidP="00EE2AA9">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c) Zor publikoaren jasangarritasunari dagokionez, sektorearen zor bizia 121,68 milioi eurokoa zen 2021eko abenduaren 31n, hau da, diru-sarrera arrunten ehuneko 15.</w:t>
      </w:r>
    </w:p>
    <w:p w14:paraId="034D0FF7" w14:textId="77777777" w:rsidR="002A4BE9" w:rsidRPr="00033257" w:rsidRDefault="002A4BE9" w:rsidP="00EE2AA9">
      <w:pPr>
        <w:tabs>
          <w:tab w:val="center" w:pos="2835"/>
          <w:tab w:val="center" w:pos="3969"/>
          <w:tab w:val="center" w:pos="5103"/>
          <w:tab w:val="center" w:pos="6237"/>
          <w:tab w:val="center" w:pos="7371"/>
        </w:tabs>
        <w:ind w:firstLine="284"/>
        <w:rPr>
          <w:rFonts w:ascii="Arial" w:hAnsi="Arial"/>
          <w:b/>
          <w:color w:val="000000" w:themeColor="text1"/>
          <w:kern w:val="28"/>
          <w:sz w:val="25"/>
          <w:szCs w:val="26"/>
        </w:rPr>
      </w:pPr>
      <w:r>
        <w:rPr>
          <w:color w:val="000000" w:themeColor="text1"/>
          <w:sz w:val="26"/>
        </w:rPr>
        <w:t>d) Merkataritza zorraren jasangarritasunaren araua indarrean zegoen 2021ean, baina txostenak ez du hura betetzeari buruzko informaziorik ematen. Hiru hilean behin Ogasun Ministerioak gai horretaz argitaratzen duen informazioan Nafarroako zenbait toki-entitateri buruzko datuak bakarrik azaltzen dira (55-57 entitate bitarte, hiruhilekoaren arabera); alegia, Nafarroako toki-entitateen ehuneko zortzik baino ez dute igortzen informazio hori. Informazioa eman duten toki-entitateak multzoan harturik, ordaintzeko batez besteko epealdia, argi eta garbi, legez ezarritako 30 eguneko gehieneko epea baino laburragoa izan zen urteko lau hiruhilekoetan, eta, zehazki, laugarren hiruhilekoan 14,08 egunekoa izan zen.</w:t>
      </w:r>
      <w:r>
        <w:rPr>
          <w:color w:val="000000" w:themeColor="text1"/>
        </w:rPr>
        <w:br w:type="page"/>
      </w:r>
    </w:p>
    <w:p w14:paraId="0225BED0" w14:textId="77777777" w:rsidR="00345C6C" w:rsidRPr="00033257" w:rsidRDefault="00345C6C" w:rsidP="00442CCA">
      <w:pPr>
        <w:pStyle w:val="atitulo1"/>
        <w:rPr>
          <w:color w:val="000000" w:themeColor="text1"/>
        </w:rPr>
      </w:pPr>
      <w:bookmarkStart w:id="86" w:name="_Toc151635603"/>
      <w:r>
        <w:rPr>
          <w:color w:val="000000" w:themeColor="text1"/>
        </w:rPr>
        <w:lastRenderedPageBreak/>
        <w:t>VII. Kontratazio administratiboa</w:t>
      </w:r>
      <w:bookmarkEnd w:id="59"/>
      <w:bookmarkEnd w:id="60"/>
      <w:bookmarkEnd w:id="86"/>
    </w:p>
    <w:p w14:paraId="1DC1DE15" w14:textId="68FA9D15" w:rsidR="0017101E" w:rsidRPr="00EF33ED" w:rsidRDefault="0017101E" w:rsidP="00705A32">
      <w:pPr>
        <w:pStyle w:val="texto"/>
        <w:rPr>
          <w:color w:val="000000" w:themeColor="text1"/>
        </w:rPr>
      </w:pPr>
      <w:bookmarkStart w:id="87" w:name="_Toc52348296"/>
      <w:r>
        <w:rPr>
          <w:color w:val="000000" w:themeColor="text1"/>
        </w:rPr>
        <w:t>Atal honetan, toki-entitateek eta beren menpeko erakundeek 2021. urtean adjudikatutako kontratuak aztertzen dira, Kontratazio Publikorako Batzordeak kudeatutako kontratuen erregistroko informazioaren arabera. Jarraian aurkezten diren datuek ez dituzte barne hartzen munta txikiko kontratuetarako araubide bereziaren bidez egindako kontratazioak; izan ere, Nafarroako Kontratazioaren Atarian horri buruz argitaratutako informazioa hainbat formatutan dago, eta ezin da modu automatizatuan tratatu.</w:t>
      </w:r>
    </w:p>
    <w:p w14:paraId="256C37D9" w14:textId="77777777" w:rsidR="0017101E" w:rsidRPr="00033257" w:rsidRDefault="0017101E" w:rsidP="00EF33ED">
      <w:pPr>
        <w:pStyle w:val="texto"/>
        <w:spacing w:after="120"/>
        <w:rPr>
          <w:color w:val="000000" w:themeColor="text1"/>
        </w:rPr>
      </w:pPr>
      <w:r>
        <w:rPr>
          <w:color w:val="000000" w:themeColor="text1"/>
        </w:rPr>
        <w:t>Hurrengo taulan, toki sektore publikoaren 2021eko kontratazio jarduera laburbiltzen da, kontratuen kopurua eta esleitutako zenbatekoa adierazita.</w:t>
      </w:r>
    </w:p>
    <w:p w14:paraId="590DC3B1" w14:textId="11CA52A4" w:rsidR="0017101E" w:rsidRPr="00D71C47" w:rsidRDefault="0017101E" w:rsidP="0017101E">
      <w:pPr>
        <w:pStyle w:val="texto"/>
        <w:spacing w:after="0"/>
        <w:jc w:val="right"/>
        <w:rPr>
          <w:rFonts w:ascii="Arial Narrow" w:hAnsi="Arial Narrow"/>
          <w:color w:val="000000" w:themeColor="text1"/>
          <w:sz w:val="18"/>
          <w:szCs w:val="18"/>
        </w:rPr>
      </w:pPr>
      <w:r>
        <w:rPr>
          <w:rFonts w:ascii="Arial Narrow" w:hAnsi="Arial Narrow"/>
          <w:color w:val="000000" w:themeColor="text1"/>
          <w:sz w:val="18"/>
        </w:rPr>
        <w:t>(milakoak)</w:t>
      </w:r>
    </w:p>
    <w:tbl>
      <w:tblPr>
        <w:tblW w:w="5081" w:type="pct"/>
        <w:jc w:val="center"/>
        <w:tblLayout w:type="fixed"/>
        <w:tblCellMar>
          <w:left w:w="70" w:type="dxa"/>
          <w:right w:w="70" w:type="dxa"/>
        </w:tblCellMar>
        <w:tblLook w:val="04A0" w:firstRow="1" w:lastRow="0" w:firstColumn="1" w:lastColumn="0" w:noHBand="0" w:noVBand="1"/>
      </w:tblPr>
      <w:tblGrid>
        <w:gridCol w:w="2127"/>
        <w:gridCol w:w="495"/>
        <w:gridCol w:w="914"/>
        <w:gridCol w:w="425"/>
        <w:gridCol w:w="775"/>
        <w:gridCol w:w="484"/>
        <w:gridCol w:w="870"/>
        <w:gridCol w:w="704"/>
        <w:gridCol w:w="857"/>
        <w:gridCol w:w="495"/>
        <w:gridCol w:w="784"/>
      </w:tblGrid>
      <w:tr w:rsidR="0017101E" w:rsidRPr="00B739A9" w14:paraId="1A5DB19C" w14:textId="77777777" w:rsidTr="00EF33ED">
        <w:trPr>
          <w:trHeight w:val="227"/>
          <w:jc w:val="center"/>
        </w:trPr>
        <w:tc>
          <w:tcPr>
            <w:tcW w:w="1191" w:type="pct"/>
            <w:tcBorders>
              <w:top w:val="single" w:sz="4" w:space="0" w:color="auto"/>
              <w:left w:val="nil"/>
              <w:right w:val="nil"/>
            </w:tcBorders>
            <w:shd w:val="clear" w:color="auto" w:fill="FABF8F" w:themeFill="accent6" w:themeFillTint="99"/>
            <w:noWrap/>
            <w:vAlign w:val="center"/>
          </w:tcPr>
          <w:p w14:paraId="717AAFBA" w14:textId="77777777" w:rsidR="0017101E" w:rsidRPr="00B739A9" w:rsidRDefault="0017101E" w:rsidP="0017101E">
            <w:pPr>
              <w:spacing w:after="0"/>
              <w:ind w:firstLine="0"/>
              <w:jc w:val="center"/>
              <w:rPr>
                <w:rFonts w:ascii="Arial" w:hAnsi="Arial" w:cs="Arial"/>
                <w:color w:val="000000"/>
                <w:sz w:val="16"/>
                <w:szCs w:val="16"/>
              </w:rPr>
            </w:pPr>
          </w:p>
        </w:tc>
        <w:tc>
          <w:tcPr>
            <w:tcW w:w="789" w:type="pct"/>
            <w:gridSpan w:val="2"/>
            <w:tcBorders>
              <w:top w:val="single" w:sz="4" w:space="0" w:color="auto"/>
              <w:left w:val="nil"/>
              <w:right w:val="nil"/>
            </w:tcBorders>
            <w:shd w:val="clear" w:color="auto" w:fill="FABF8F" w:themeFill="accent6" w:themeFillTint="99"/>
            <w:vAlign w:val="center"/>
          </w:tcPr>
          <w:p w14:paraId="0AB8A488"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Obrak</w:t>
            </w:r>
          </w:p>
        </w:tc>
        <w:tc>
          <w:tcPr>
            <w:tcW w:w="672" w:type="pct"/>
            <w:gridSpan w:val="2"/>
            <w:tcBorders>
              <w:top w:val="single" w:sz="4" w:space="0" w:color="auto"/>
              <w:left w:val="nil"/>
              <w:right w:val="nil"/>
            </w:tcBorders>
            <w:shd w:val="clear" w:color="auto" w:fill="FABF8F" w:themeFill="accent6" w:themeFillTint="99"/>
            <w:vAlign w:val="center"/>
          </w:tcPr>
          <w:p w14:paraId="5A1D557A"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Zerbitzuak</w:t>
            </w:r>
          </w:p>
        </w:tc>
        <w:tc>
          <w:tcPr>
            <w:tcW w:w="758" w:type="pct"/>
            <w:gridSpan w:val="2"/>
            <w:tcBorders>
              <w:top w:val="single" w:sz="4" w:space="0" w:color="auto"/>
              <w:left w:val="nil"/>
              <w:right w:val="nil"/>
            </w:tcBorders>
            <w:shd w:val="clear" w:color="auto" w:fill="FABF8F" w:themeFill="accent6" w:themeFillTint="99"/>
            <w:noWrap/>
            <w:vAlign w:val="center"/>
          </w:tcPr>
          <w:p w14:paraId="672FCE02"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Hornidurak</w:t>
            </w:r>
          </w:p>
        </w:tc>
        <w:tc>
          <w:tcPr>
            <w:tcW w:w="874" w:type="pct"/>
            <w:gridSpan w:val="2"/>
            <w:tcBorders>
              <w:top w:val="single" w:sz="4" w:space="0" w:color="auto"/>
              <w:left w:val="nil"/>
              <w:right w:val="nil"/>
            </w:tcBorders>
            <w:shd w:val="clear" w:color="auto" w:fill="FABF8F" w:themeFill="accent6" w:themeFillTint="99"/>
            <w:noWrap/>
            <w:vAlign w:val="center"/>
          </w:tcPr>
          <w:p w14:paraId="7D7C9402"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Zerbitzuak emat.</w:t>
            </w:r>
          </w:p>
        </w:tc>
        <w:tc>
          <w:tcPr>
            <w:tcW w:w="716" w:type="pct"/>
            <w:gridSpan w:val="2"/>
            <w:tcBorders>
              <w:top w:val="single" w:sz="4" w:space="0" w:color="auto"/>
              <w:left w:val="nil"/>
              <w:right w:val="nil"/>
            </w:tcBorders>
            <w:shd w:val="clear" w:color="auto" w:fill="FABF8F" w:themeFill="accent6" w:themeFillTint="99"/>
            <w:noWrap/>
            <w:vAlign w:val="center"/>
          </w:tcPr>
          <w:p w14:paraId="645114B6"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Guztizkoa</w:t>
            </w:r>
          </w:p>
        </w:tc>
      </w:tr>
      <w:tr w:rsidR="0017101E" w:rsidRPr="00B739A9" w14:paraId="48290EBE" w14:textId="77777777" w:rsidTr="00EF33ED">
        <w:trPr>
          <w:trHeight w:val="227"/>
          <w:jc w:val="center"/>
        </w:trPr>
        <w:tc>
          <w:tcPr>
            <w:tcW w:w="1191" w:type="pct"/>
            <w:tcBorders>
              <w:left w:val="nil"/>
              <w:bottom w:val="single" w:sz="2" w:space="0" w:color="auto"/>
              <w:right w:val="nil"/>
            </w:tcBorders>
            <w:shd w:val="clear" w:color="auto" w:fill="FABF8F" w:themeFill="accent6" w:themeFillTint="99"/>
            <w:noWrap/>
            <w:vAlign w:val="bottom"/>
          </w:tcPr>
          <w:p w14:paraId="6E7BEAA2" w14:textId="77777777" w:rsidR="0017101E" w:rsidRPr="00B739A9" w:rsidRDefault="0017101E" w:rsidP="0017101E">
            <w:pPr>
              <w:spacing w:after="0"/>
              <w:ind w:firstLine="0"/>
              <w:jc w:val="left"/>
              <w:rPr>
                <w:rFonts w:ascii="Arial" w:hAnsi="Arial" w:cs="Arial"/>
                <w:color w:val="000000"/>
                <w:sz w:val="16"/>
                <w:szCs w:val="16"/>
              </w:rPr>
            </w:pPr>
            <w:r>
              <w:rPr>
                <w:rFonts w:ascii="Arial" w:hAnsi="Arial"/>
                <w:color w:val="000000"/>
                <w:sz w:val="16"/>
              </w:rPr>
              <w:t> </w:t>
            </w:r>
          </w:p>
        </w:tc>
        <w:tc>
          <w:tcPr>
            <w:tcW w:w="277" w:type="pct"/>
            <w:tcBorders>
              <w:left w:val="nil"/>
              <w:bottom w:val="single" w:sz="2" w:space="0" w:color="auto"/>
              <w:right w:val="nil"/>
            </w:tcBorders>
            <w:shd w:val="clear" w:color="auto" w:fill="FABF8F" w:themeFill="accent6" w:themeFillTint="99"/>
            <w:vAlign w:val="bottom"/>
          </w:tcPr>
          <w:p w14:paraId="5D859D64"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Kop.</w:t>
            </w:r>
          </w:p>
        </w:tc>
        <w:tc>
          <w:tcPr>
            <w:tcW w:w="512" w:type="pct"/>
            <w:tcBorders>
              <w:left w:val="nil"/>
              <w:bottom w:val="single" w:sz="2" w:space="0" w:color="auto"/>
              <w:right w:val="nil"/>
            </w:tcBorders>
            <w:shd w:val="clear" w:color="auto" w:fill="FABF8F" w:themeFill="accent6" w:themeFillTint="99"/>
            <w:vAlign w:val="bottom"/>
          </w:tcPr>
          <w:p w14:paraId="0923B677"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Zenbatekoa</w:t>
            </w:r>
          </w:p>
        </w:tc>
        <w:tc>
          <w:tcPr>
            <w:tcW w:w="238" w:type="pct"/>
            <w:tcBorders>
              <w:left w:val="nil"/>
              <w:bottom w:val="single" w:sz="2" w:space="0" w:color="auto"/>
              <w:right w:val="nil"/>
            </w:tcBorders>
            <w:shd w:val="clear" w:color="auto" w:fill="FABF8F" w:themeFill="accent6" w:themeFillTint="99"/>
            <w:vAlign w:val="bottom"/>
          </w:tcPr>
          <w:p w14:paraId="2712D22A"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Kop.</w:t>
            </w:r>
          </w:p>
        </w:tc>
        <w:tc>
          <w:tcPr>
            <w:tcW w:w="434" w:type="pct"/>
            <w:tcBorders>
              <w:left w:val="nil"/>
              <w:bottom w:val="single" w:sz="2" w:space="0" w:color="auto"/>
              <w:right w:val="nil"/>
            </w:tcBorders>
            <w:shd w:val="clear" w:color="auto" w:fill="FABF8F" w:themeFill="accent6" w:themeFillTint="99"/>
            <w:vAlign w:val="bottom"/>
          </w:tcPr>
          <w:p w14:paraId="05432ABF"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Zenbatekoa</w:t>
            </w:r>
          </w:p>
        </w:tc>
        <w:tc>
          <w:tcPr>
            <w:tcW w:w="271" w:type="pct"/>
            <w:tcBorders>
              <w:left w:val="nil"/>
              <w:bottom w:val="single" w:sz="2" w:space="0" w:color="auto"/>
              <w:right w:val="nil"/>
            </w:tcBorders>
            <w:shd w:val="clear" w:color="auto" w:fill="FABF8F" w:themeFill="accent6" w:themeFillTint="99"/>
            <w:noWrap/>
            <w:vAlign w:val="bottom"/>
          </w:tcPr>
          <w:p w14:paraId="3C7118B2"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Kop.</w:t>
            </w:r>
          </w:p>
        </w:tc>
        <w:tc>
          <w:tcPr>
            <w:tcW w:w="487" w:type="pct"/>
            <w:tcBorders>
              <w:left w:val="nil"/>
              <w:bottom w:val="single" w:sz="2" w:space="0" w:color="auto"/>
              <w:right w:val="nil"/>
            </w:tcBorders>
            <w:shd w:val="clear" w:color="auto" w:fill="FABF8F" w:themeFill="accent6" w:themeFillTint="99"/>
            <w:vAlign w:val="bottom"/>
          </w:tcPr>
          <w:p w14:paraId="629AC82B"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Zenbatekoa</w:t>
            </w:r>
          </w:p>
        </w:tc>
        <w:tc>
          <w:tcPr>
            <w:tcW w:w="394" w:type="pct"/>
            <w:tcBorders>
              <w:left w:val="nil"/>
              <w:bottom w:val="single" w:sz="2" w:space="0" w:color="auto"/>
              <w:right w:val="nil"/>
            </w:tcBorders>
            <w:shd w:val="clear" w:color="auto" w:fill="FABF8F" w:themeFill="accent6" w:themeFillTint="99"/>
            <w:noWrap/>
            <w:vAlign w:val="bottom"/>
          </w:tcPr>
          <w:p w14:paraId="69D095E2"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Kop.</w:t>
            </w:r>
          </w:p>
        </w:tc>
        <w:tc>
          <w:tcPr>
            <w:tcW w:w="480" w:type="pct"/>
            <w:tcBorders>
              <w:left w:val="nil"/>
              <w:bottom w:val="single" w:sz="2" w:space="0" w:color="auto"/>
              <w:right w:val="nil"/>
            </w:tcBorders>
            <w:shd w:val="clear" w:color="auto" w:fill="FABF8F" w:themeFill="accent6" w:themeFillTint="99"/>
            <w:noWrap/>
            <w:vAlign w:val="bottom"/>
          </w:tcPr>
          <w:p w14:paraId="7B0709C7"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Zenbatekoa</w:t>
            </w:r>
          </w:p>
        </w:tc>
        <w:tc>
          <w:tcPr>
            <w:tcW w:w="277" w:type="pct"/>
            <w:tcBorders>
              <w:left w:val="nil"/>
              <w:bottom w:val="single" w:sz="2" w:space="0" w:color="auto"/>
              <w:right w:val="nil"/>
            </w:tcBorders>
            <w:shd w:val="clear" w:color="auto" w:fill="FABF8F" w:themeFill="accent6" w:themeFillTint="99"/>
            <w:noWrap/>
            <w:vAlign w:val="bottom"/>
          </w:tcPr>
          <w:p w14:paraId="4A1F7D86"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Kop.</w:t>
            </w:r>
          </w:p>
        </w:tc>
        <w:tc>
          <w:tcPr>
            <w:tcW w:w="439" w:type="pct"/>
            <w:tcBorders>
              <w:left w:val="nil"/>
              <w:bottom w:val="single" w:sz="2" w:space="0" w:color="auto"/>
              <w:right w:val="nil"/>
            </w:tcBorders>
            <w:shd w:val="clear" w:color="auto" w:fill="FABF8F" w:themeFill="accent6" w:themeFillTint="99"/>
            <w:noWrap/>
            <w:vAlign w:val="bottom"/>
          </w:tcPr>
          <w:p w14:paraId="64B7AB54"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Zenbatekoa</w:t>
            </w:r>
          </w:p>
        </w:tc>
      </w:tr>
      <w:tr w:rsidR="0017101E" w:rsidRPr="00033257" w14:paraId="1889E613" w14:textId="77777777" w:rsidTr="009E367B">
        <w:trPr>
          <w:trHeight w:val="227"/>
          <w:jc w:val="center"/>
        </w:trPr>
        <w:tc>
          <w:tcPr>
            <w:tcW w:w="1191" w:type="pct"/>
            <w:tcBorders>
              <w:top w:val="nil"/>
              <w:left w:val="nil"/>
              <w:bottom w:val="single" w:sz="2" w:space="0" w:color="auto"/>
              <w:right w:val="nil"/>
            </w:tcBorders>
            <w:shd w:val="clear" w:color="auto" w:fill="auto"/>
            <w:noWrap/>
            <w:vAlign w:val="center"/>
          </w:tcPr>
          <w:p w14:paraId="2C87C9E9" w14:textId="77777777" w:rsidR="0017101E" w:rsidRPr="00033257" w:rsidRDefault="0017101E" w:rsidP="0017101E">
            <w:pPr>
              <w:spacing w:after="0"/>
              <w:ind w:firstLine="0"/>
              <w:jc w:val="left"/>
              <w:rPr>
                <w:rFonts w:ascii="Arial Narrow" w:hAnsi="Arial Narrow" w:cs="Calibri"/>
                <w:color w:val="000000"/>
              </w:rPr>
            </w:pPr>
            <w:r>
              <w:rPr>
                <w:rFonts w:ascii="Arial Narrow" w:hAnsi="Arial Narrow"/>
                <w:color w:val="000000"/>
              </w:rPr>
              <w:t>Udalak</w:t>
            </w:r>
          </w:p>
        </w:tc>
        <w:tc>
          <w:tcPr>
            <w:tcW w:w="277" w:type="pct"/>
            <w:tcBorders>
              <w:top w:val="nil"/>
              <w:left w:val="nil"/>
              <w:bottom w:val="single" w:sz="2" w:space="0" w:color="auto"/>
              <w:right w:val="nil"/>
            </w:tcBorders>
            <w:shd w:val="clear" w:color="auto" w:fill="auto"/>
            <w:vAlign w:val="center"/>
          </w:tcPr>
          <w:p w14:paraId="6D1032BF"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241</w:t>
            </w:r>
          </w:p>
        </w:tc>
        <w:tc>
          <w:tcPr>
            <w:tcW w:w="512" w:type="pct"/>
            <w:tcBorders>
              <w:top w:val="nil"/>
              <w:left w:val="nil"/>
              <w:bottom w:val="single" w:sz="2" w:space="0" w:color="auto"/>
              <w:right w:val="nil"/>
            </w:tcBorders>
            <w:shd w:val="clear" w:color="auto" w:fill="auto"/>
            <w:vAlign w:val="center"/>
          </w:tcPr>
          <w:p w14:paraId="1A5E526C"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40.006 </w:t>
            </w:r>
          </w:p>
        </w:tc>
        <w:tc>
          <w:tcPr>
            <w:tcW w:w="238" w:type="pct"/>
            <w:tcBorders>
              <w:top w:val="nil"/>
              <w:left w:val="nil"/>
              <w:bottom w:val="single" w:sz="2" w:space="0" w:color="auto"/>
              <w:right w:val="nil"/>
            </w:tcBorders>
            <w:shd w:val="clear" w:color="auto" w:fill="auto"/>
            <w:vAlign w:val="center"/>
          </w:tcPr>
          <w:p w14:paraId="5EAABACE"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131 </w:t>
            </w:r>
          </w:p>
        </w:tc>
        <w:tc>
          <w:tcPr>
            <w:tcW w:w="434" w:type="pct"/>
            <w:tcBorders>
              <w:top w:val="nil"/>
              <w:left w:val="nil"/>
              <w:bottom w:val="single" w:sz="2" w:space="0" w:color="auto"/>
              <w:right w:val="nil"/>
            </w:tcBorders>
            <w:shd w:val="clear" w:color="auto" w:fill="auto"/>
            <w:vAlign w:val="center"/>
          </w:tcPr>
          <w:p w14:paraId="62F36D53"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15.200 </w:t>
            </w:r>
          </w:p>
        </w:tc>
        <w:tc>
          <w:tcPr>
            <w:tcW w:w="271" w:type="pct"/>
            <w:tcBorders>
              <w:top w:val="nil"/>
              <w:left w:val="nil"/>
              <w:bottom w:val="single" w:sz="2" w:space="0" w:color="auto"/>
              <w:right w:val="nil"/>
            </w:tcBorders>
            <w:shd w:val="clear" w:color="auto" w:fill="auto"/>
            <w:noWrap/>
            <w:vAlign w:val="center"/>
          </w:tcPr>
          <w:p w14:paraId="040D7C82"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97 </w:t>
            </w:r>
          </w:p>
        </w:tc>
        <w:tc>
          <w:tcPr>
            <w:tcW w:w="487" w:type="pct"/>
            <w:tcBorders>
              <w:top w:val="nil"/>
              <w:left w:val="nil"/>
              <w:bottom w:val="single" w:sz="2" w:space="0" w:color="auto"/>
              <w:right w:val="nil"/>
            </w:tcBorders>
            <w:shd w:val="clear" w:color="auto" w:fill="auto"/>
            <w:vAlign w:val="center"/>
          </w:tcPr>
          <w:p w14:paraId="5878AC15"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5.681 </w:t>
            </w:r>
          </w:p>
        </w:tc>
        <w:tc>
          <w:tcPr>
            <w:tcW w:w="394" w:type="pct"/>
            <w:tcBorders>
              <w:top w:val="nil"/>
              <w:left w:val="nil"/>
              <w:bottom w:val="single" w:sz="2" w:space="0" w:color="auto"/>
              <w:right w:val="nil"/>
            </w:tcBorders>
            <w:shd w:val="clear" w:color="auto" w:fill="auto"/>
            <w:noWrap/>
            <w:vAlign w:val="center"/>
          </w:tcPr>
          <w:p w14:paraId="322BB53E"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9 </w:t>
            </w:r>
          </w:p>
        </w:tc>
        <w:tc>
          <w:tcPr>
            <w:tcW w:w="480" w:type="pct"/>
            <w:tcBorders>
              <w:top w:val="nil"/>
              <w:left w:val="nil"/>
              <w:bottom w:val="single" w:sz="2" w:space="0" w:color="auto"/>
              <w:right w:val="nil"/>
            </w:tcBorders>
            <w:shd w:val="clear" w:color="auto" w:fill="auto"/>
            <w:noWrap/>
            <w:vAlign w:val="center"/>
          </w:tcPr>
          <w:p w14:paraId="5D0E2AE0"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11.676 </w:t>
            </w:r>
          </w:p>
        </w:tc>
        <w:tc>
          <w:tcPr>
            <w:tcW w:w="277" w:type="pct"/>
            <w:tcBorders>
              <w:top w:val="nil"/>
              <w:left w:val="nil"/>
              <w:bottom w:val="single" w:sz="2" w:space="0" w:color="auto"/>
              <w:right w:val="nil"/>
            </w:tcBorders>
            <w:shd w:val="clear" w:color="auto" w:fill="auto"/>
            <w:noWrap/>
            <w:vAlign w:val="center"/>
          </w:tcPr>
          <w:p w14:paraId="7BD20F5E"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478 </w:t>
            </w:r>
          </w:p>
        </w:tc>
        <w:tc>
          <w:tcPr>
            <w:tcW w:w="439" w:type="pct"/>
            <w:tcBorders>
              <w:top w:val="nil"/>
              <w:left w:val="nil"/>
              <w:bottom w:val="single" w:sz="2" w:space="0" w:color="auto"/>
              <w:right w:val="nil"/>
            </w:tcBorders>
            <w:shd w:val="clear" w:color="auto" w:fill="auto"/>
            <w:noWrap/>
            <w:vAlign w:val="center"/>
          </w:tcPr>
          <w:p w14:paraId="0A4D614C"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72.563 </w:t>
            </w:r>
          </w:p>
        </w:tc>
      </w:tr>
      <w:tr w:rsidR="0017101E" w:rsidRPr="00033257" w14:paraId="7967F090"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35ED422D" w14:textId="77777777" w:rsidR="0017101E" w:rsidRPr="00033257" w:rsidRDefault="0017101E" w:rsidP="0017101E">
            <w:pPr>
              <w:spacing w:after="0"/>
              <w:ind w:firstLine="0"/>
              <w:jc w:val="left"/>
              <w:rPr>
                <w:rFonts w:ascii="Arial Narrow" w:hAnsi="Arial Narrow" w:cs="Calibri"/>
                <w:color w:val="000000"/>
              </w:rPr>
            </w:pPr>
            <w:r>
              <w:rPr>
                <w:rFonts w:ascii="Arial Narrow" w:hAnsi="Arial Narrow"/>
                <w:color w:val="000000"/>
              </w:rPr>
              <w:t>Kontzejuak</w:t>
            </w:r>
          </w:p>
        </w:tc>
        <w:tc>
          <w:tcPr>
            <w:tcW w:w="277" w:type="pct"/>
            <w:tcBorders>
              <w:top w:val="single" w:sz="2" w:space="0" w:color="auto"/>
              <w:left w:val="nil"/>
              <w:bottom w:val="single" w:sz="2" w:space="0" w:color="auto"/>
              <w:right w:val="nil"/>
            </w:tcBorders>
            <w:shd w:val="clear" w:color="auto" w:fill="auto"/>
            <w:vAlign w:val="center"/>
          </w:tcPr>
          <w:p w14:paraId="1F87031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7</w:t>
            </w:r>
          </w:p>
        </w:tc>
        <w:tc>
          <w:tcPr>
            <w:tcW w:w="512" w:type="pct"/>
            <w:tcBorders>
              <w:top w:val="single" w:sz="2" w:space="0" w:color="auto"/>
              <w:left w:val="nil"/>
              <w:bottom w:val="single" w:sz="2" w:space="0" w:color="auto"/>
              <w:right w:val="nil"/>
            </w:tcBorders>
            <w:shd w:val="clear" w:color="auto" w:fill="auto"/>
            <w:vAlign w:val="center"/>
          </w:tcPr>
          <w:p w14:paraId="380E7BE5"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405 </w:t>
            </w:r>
          </w:p>
        </w:tc>
        <w:tc>
          <w:tcPr>
            <w:tcW w:w="238" w:type="pct"/>
            <w:tcBorders>
              <w:top w:val="single" w:sz="2" w:space="0" w:color="auto"/>
              <w:left w:val="nil"/>
              <w:bottom w:val="single" w:sz="2" w:space="0" w:color="auto"/>
              <w:right w:val="nil"/>
            </w:tcBorders>
            <w:shd w:val="clear" w:color="auto" w:fill="auto"/>
            <w:vAlign w:val="center"/>
          </w:tcPr>
          <w:p w14:paraId="7173A535"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2 </w:t>
            </w:r>
          </w:p>
        </w:tc>
        <w:tc>
          <w:tcPr>
            <w:tcW w:w="434" w:type="pct"/>
            <w:tcBorders>
              <w:top w:val="single" w:sz="2" w:space="0" w:color="auto"/>
              <w:left w:val="nil"/>
              <w:bottom w:val="single" w:sz="2" w:space="0" w:color="auto"/>
              <w:right w:val="nil"/>
            </w:tcBorders>
            <w:shd w:val="clear" w:color="auto" w:fill="auto"/>
            <w:vAlign w:val="center"/>
          </w:tcPr>
          <w:p w14:paraId="0CADF3B8"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67 </w:t>
            </w:r>
          </w:p>
        </w:tc>
        <w:tc>
          <w:tcPr>
            <w:tcW w:w="271" w:type="pct"/>
            <w:tcBorders>
              <w:top w:val="single" w:sz="2" w:space="0" w:color="auto"/>
              <w:left w:val="nil"/>
              <w:bottom w:val="single" w:sz="2" w:space="0" w:color="auto"/>
              <w:right w:val="nil"/>
            </w:tcBorders>
            <w:shd w:val="clear" w:color="auto" w:fill="auto"/>
            <w:noWrap/>
            <w:vAlign w:val="center"/>
          </w:tcPr>
          <w:p w14:paraId="49084476"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7" w:type="pct"/>
            <w:tcBorders>
              <w:top w:val="single" w:sz="2" w:space="0" w:color="auto"/>
              <w:left w:val="nil"/>
              <w:bottom w:val="single" w:sz="2" w:space="0" w:color="auto"/>
              <w:right w:val="nil"/>
            </w:tcBorders>
            <w:shd w:val="clear" w:color="auto" w:fill="auto"/>
            <w:vAlign w:val="center"/>
          </w:tcPr>
          <w:p w14:paraId="48C88AF3"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394" w:type="pct"/>
            <w:tcBorders>
              <w:top w:val="single" w:sz="2" w:space="0" w:color="auto"/>
              <w:left w:val="nil"/>
              <w:bottom w:val="single" w:sz="2" w:space="0" w:color="auto"/>
              <w:right w:val="nil"/>
            </w:tcBorders>
            <w:shd w:val="clear" w:color="auto" w:fill="auto"/>
            <w:noWrap/>
            <w:vAlign w:val="center"/>
          </w:tcPr>
          <w:p w14:paraId="47B083BF"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7B6E331D"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7128C353"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9 </w:t>
            </w:r>
          </w:p>
        </w:tc>
        <w:tc>
          <w:tcPr>
            <w:tcW w:w="439" w:type="pct"/>
            <w:tcBorders>
              <w:top w:val="single" w:sz="2" w:space="0" w:color="auto"/>
              <w:left w:val="nil"/>
              <w:bottom w:val="single" w:sz="2" w:space="0" w:color="auto"/>
              <w:right w:val="nil"/>
            </w:tcBorders>
            <w:shd w:val="clear" w:color="auto" w:fill="auto"/>
            <w:noWrap/>
            <w:vAlign w:val="center"/>
          </w:tcPr>
          <w:p w14:paraId="6D1D4DDE"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472 </w:t>
            </w:r>
          </w:p>
        </w:tc>
      </w:tr>
      <w:tr w:rsidR="0017101E" w:rsidRPr="00033257" w14:paraId="6598EAD4"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159712D9" w14:textId="77777777" w:rsidR="0017101E" w:rsidRPr="00033257" w:rsidRDefault="0017101E" w:rsidP="0017101E">
            <w:pPr>
              <w:spacing w:after="0"/>
              <w:ind w:firstLine="0"/>
              <w:jc w:val="left"/>
              <w:rPr>
                <w:rFonts w:ascii="Arial Narrow" w:hAnsi="Arial Narrow" w:cs="Calibri"/>
                <w:color w:val="000000"/>
              </w:rPr>
            </w:pPr>
            <w:r>
              <w:rPr>
                <w:rFonts w:ascii="Arial Narrow" w:hAnsi="Arial Narrow"/>
                <w:color w:val="000000"/>
              </w:rPr>
              <w:t>Batasunak</w:t>
            </w:r>
          </w:p>
        </w:tc>
        <w:tc>
          <w:tcPr>
            <w:tcW w:w="277" w:type="pct"/>
            <w:tcBorders>
              <w:top w:val="single" w:sz="2" w:space="0" w:color="auto"/>
              <w:left w:val="nil"/>
              <w:bottom w:val="single" w:sz="2" w:space="0" w:color="auto"/>
              <w:right w:val="nil"/>
            </w:tcBorders>
            <w:shd w:val="clear" w:color="auto" w:fill="auto"/>
            <w:vAlign w:val="center"/>
          </w:tcPr>
          <w:p w14:paraId="67E6CB27"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7</w:t>
            </w:r>
          </w:p>
        </w:tc>
        <w:tc>
          <w:tcPr>
            <w:tcW w:w="512" w:type="pct"/>
            <w:tcBorders>
              <w:top w:val="single" w:sz="2" w:space="0" w:color="auto"/>
              <w:left w:val="nil"/>
              <w:bottom w:val="single" w:sz="2" w:space="0" w:color="auto"/>
              <w:right w:val="nil"/>
            </w:tcBorders>
            <w:shd w:val="clear" w:color="auto" w:fill="auto"/>
            <w:vAlign w:val="center"/>
          </w:tcPr>
          <w:p w14:paraId="1D4A1CB0"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1.821 </w:t>
            </w:r>
          </w:p>
        </w:tc>
        <w:tc>
          <w:tcPr>
            <w:tcW w:w="238" w:type="pct"/>
            <w:tcBorders>
              <w:top w:val="single" w:sz="2" w:space="0" w:color="auto"/>
              <w:left w:val="nil"/>
              <w:bottom w:val="single" w:sz="2" w:space="0" w:color="auto"/>
              <w:right w:val="nil"/>
            </w:tcBorders>
            <w:shd w:val="clear" w:color="auto" w:fill="auto"/>
            <w:vAlign w:val="center"/>
          </w:tcPr>
          <w:p w14:paraId="46313E3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2 </w:t>
            </w:r>
          </w:p>
        </w:tc>
        <w:tc>
          <w:tcPr>
            <w:tcW w:w="434" w:type="pct"/>
            <w:tcBorders>
              <w:top w:val="single" w:sz="2" w:space="0" w:color="auto"/>
              <w:left w:val="nil"/>
              <w:bottom w:val="single" w:sz="2" w:space="0" w:color="auto"/>
              <w:right w:val="nil"/>
            </w:tcBorders>
            <w:shd w:val="clear" w:color="auto" w:fill="auto"/>
            <w:vAlign w:val="center"/>
          </w:tcPr>
          <w:p w14:paraId="3A102FA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60 </w:t>
            </w:r>
          </w:p>
        </w:tc>
        <w:tc>
          <w:tcPr>
            <w:tcW w:w="271" w:type="pct"/>
            <w:tcBorders>
              <w:top w:val="single" w:sz="2" w:space="0" w:color="auto"/>
              <w:left w:val="nil"/>
              <w:bottom w:val="single" w:sz="2" w:space="0" w:color="auto"/>
              <w:right w:val="nil"/>
            </w:tcBorders>
            <w:shd w:val="clear" w:color="auto" w:fill="auto"/>
            <w:noWrap/>
            <w:vAlign w:val="center"/>
          </w:tcPr>
          <w:p w14:paraId="26C2C949"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2 </w:t>
            </w:r>
          </w:p>
        </w:tc>
        <w:tc>
          <w:tcPr>
            <w:tcW w:w="487" w:type="pct"/>
            <w:tcBorders>
              <w:top w:val="single" w:sz="2" w:space="0" w:color="auto"/>
              <w:left w:val="nil"/>
              <w:bottom w:val="single" w:sz="2" w:space="0" w:color="auto"/>
              <w:right w:val="nil"/>
            </w:tcBorders>
            <w:shd w:val="clear" w:color="auto" w:fill="auto"/>
            <w:vAlign w:val="center"/>
          </w:tcPr>
          <w:p w14:paraId="685C2323"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303 </w:t>
            </w:r>
          </w:p>
        </w:tc>
        <w:tc>
          <w:tcPr>
            <w:tcW w:w="394" w:type="pct"/>
            <w:tcBorders>
              <w:top w:val="single" w:sz="2" w:space="0" w:color="auto"/>
              <w:left w:val="nil"/>
              <w:bottom w:val="single" w:sz="2" w:space="0" w:color="auto"/>
              <w:right w:val="nil"/>
            </w:tcBorders>
            <w:shd w:val="clear" w:color="auto" w:fill="auto"/>
            <w:noWrap/>
            <w:vAlign w:val="center"/>
          </w:tcPr>
          <w:p w14:paraId="210BF3A3"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41DEEBD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75BE356C"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11 </w:t>
            </w:r>
          </w:p>
        </w:tc>
        <w:tc>
          <w:tcPr>
            <w:tcW w:w="439" w:type="pct"/>
            <w:tcBorders>
              <w:top w:val="single" w:sz="2" w:space="0" w:color="auto"/>
              <w:left w:val="nil"/>
              <w:bottom w:val="single" w:sz="2" w:space="0" w:color="auto"/>
              <w:right w:val="nil"/>
            </w:tcBorders>
            <w:shd w:val="clear" w:color="auto" w:fill="auto"/>
            <w:noWrap/>
            <w:vAlign w:val="center"/>
          </w:tcPr>
          <w:p w14:paraId="215C0C14"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2.183 </w:t>
            </w:r>
          </w:p>
        </w:tc>
      </w:tr>
      <w:tr w:rsidR="0017101E" w:rsidRPr="00033257" w14:paraId="564A0CF4"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1B6F485F" w14:textId="77777777" w:rsidR="0017101E" w:rsidRPr="00033257" w:rsidRDefault="0017101E" w:rsidP="0017101E">
            <w:pPr>
              <w:spacing w:after="0"/>
              <w:ind w:firstLine="0"/>
              <w:jc w:val="left"/>
              <w:rPr>
                <w:rFonts w:ascii="Arial Narrow" w:hAnsi="Arial Narrow" w:cs="Calibri"/>
                <w:color w:val="000000"/>
              </w:rPr>
            </w:pPr>
            <w:r>
              <w:rPr>
                <w:rFonts w:ascii="Arial Narrow" w:hAnsi="Arial Narrow"/>
                <w:color w:val="000000"/>
              </w:rPr>
              <w:t>Mankomunitateak</w:t>
            </w:r>
          </w:p>
        </w:tc>
        <w:tc>
          <w:tcPr>
            <w:tcW w:w="277" w:type="pct"/>
            <w:tcBorders>
              <w:top w:val="single" w:sz="2" w:space="0" w:color="auto"/>
              <w:left w:val="nil"/>
              <w:bottom w:val="single" w:sz="2" w:space="0" w:color="auto"/>
              <w:right w:val="nil"/>
            </w:tcBorders>
            <w:shd w:val="clear" w:color="auto" w:fill="auto"/>
            <w:vAlign w:val="center"/>
          </w:tcPr>
          <w:p w14:paraId="548A7960"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5</w:t>
            </w:r>
          </w:p>
        </w:tc>
        <w:tc>
          <w:tcPr>
            <w:tcW w:w="512" w:type="pct"/>
            <w:tcBorders>
              <w:top w:val="single" w:sz="2" w:space="0" w:color="auto"/>
              <w:left w:val="nil"/>
              <w:bottom w:val="single" w:sz="2" w:space="0" w:color="auto"/>
              <w:right w:val="nil"/>
            </w:tcBorders>
            <w:shd w:val="clear" w:color="auto" w:fill="auto"/>
            <w:vAlign w:val="center"/>
          </w:tcPr>
          <w:p w14:paraId="6D2C8AF4"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792 </w:t>
            </w:r>
          </w:p>
        </w:tc>
        <w:tc>
          <w:tcPr>
            <w:tcW w:w="238" w:type="pct"/>
            <w:tcBorders>
              <w:top w:val="single" w:sz="2" w:space="0" w:color="auto"/>
              <w:left w:val="nil"/>
              <w:bottom w:val="single" w:sz="2" w:space="0" w:color="auto"/>
              <w:right w:val="nil"/>
            </w:tcBorders>
            <w:shd w:val="clear" w:color="auto" w:fill="auto"/>
            <w:vAlign w:val="center"/>
          </w:tcPr>
          <w:p w14:paraId="5EEF1FBD"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11 </w:t>
            </w:r>
          </w:p>
        </w:tc>
        <w:tc>
          <w:tcPr>
            <w:tcW w:w="434" w:type="pct"/>
            <w:tcBorders>
              <w:top w:val="single" w:sz="2" w:space="0" w:color="auto"/>
              <w:left w:val="nil"/>
              <w:bottom w:val="single" w:sz="2" w:space="0" w:color="auto"/>
              <w:right w:val="nil"/>
            </w:tcBorders>
            <w:shd w:val="clear" w:color="auto" w:fill="auto"/>
            <w:vAlign w:val="center"/>
          </w:tcPr>
          <w:p w14:paraId="3EA0BD2E"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3.400 </w:t>
            </w:r>
          </w:p>
        </w:tc>
        <w:tc>
          <w:tcPr>
            <w:tcW w:w="271" w:type="pct"/>
            <w:tcBorders>
              <w:top w:val="single" w:sz="2" w:space="0" w:color="auto"/>
              <w:left w:val="nil"/>
              <w:bottom w:val="single" w:sz="2" w:space="0" w:color="auto"/>
              <w:right w:val="nil"/>
            </w:tcBorders>
            <w:shd w:val="clear" w:color="auto" w:fill="auto"/>
            <w:noWrap/>
            <w:vAlign w:val="center"/>
          </w:tcPr>
          <w:p w14:paraId="4848AEF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10 </w:t>
            </w:r>
          </w:p>
        </w:tc>
        <w:tc>
          <w:tcPr>
            <w:tcW w:w="487" w:type="pct"/>
            <w:tcBorders>
              <w:top w:val="single" w:sz="2" w:space="0" w:color="auto"/>
              <w:left w:val="nil"/>
              <w:bottom w:val="single" w:sz="2" w:space="0" w:color="auto"/>
              <w:right w:val="nil"/>
            </w:tcBorders>
            <w:shd w:val="clear" w:color="auto" w:fill="auto"/>
            <w:vAlign w:val="center"/>
          </w:tcPr>
          <w:p w14:paraId="43ED0B4D"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1.132 </w:t>
            </w:r>
          </w:p>
        </w:tc>
        <w:tc>
          <w:tcPr>
            <w:tcW w:w="394" w:type="pct"/>
            <w:tcBorders>
              <w:top w:val="single" w:sz="2" w:space="0" w:color="auto"/>
              <w:left w:val="nil"/>
              <w:bottom w:val="single" w:sz="2" w:space="0" w:color="auto"/>
              <w:right w:val="nil"/>
            </w:tcBorders>
            <w:shd w:val="clear" w:color="auto" w:fill="auto"/>
            <w:noWrap/>
            <w:vAlign w:val="center"/>
          </w:tcPr>
          <w:p w14:paraId="35CBDDF8"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1085BEFE"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3A81BD43"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26 </w:t>
            </w:r>
          </w:p>
        </w:tc>
        <w:tc>
          <w:tcPr>
            <w:tcW w:w="439" w:type="pct"/>
            <w:tcBorders>
              <w:top w:val="single" w:sz="2" w:space="0" w:color="auto"/>
              <w:left w:val="nil"/>
              <w:bottom w:val="single" w:sz="2" w:space="0" w:color="auto"/>
              <w:right w:val="nil"/>
            </w:tcBorders>
            <w:shd w:val="clear" w:color="auto" w:fill="auto"/>
            <w:noWrap/>
            <w:vAlign w:val="center"/>
          </w:tcPr>
          <w:p w14:paraId="56390AFD"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5.324 </w:t>
            </w:r>
          </w:p>
        </w:tc>
      </w:tr>
      <w:tr w:rsidR="0017101E" w:rsidRPr="00033257" w14:paraId="31BC416C"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5E11C196" w14:textId="77777777" w:rsidR="0017101E" w:rsidRPr="00033257" w:rsidRDefault="00E72E7F" w:rsidP="0017101E">
            <w:pPr>
              <w:spacing w:after="0"/>
              <w:ind w:firstLine="0"/>
              <w:jc w:val="left"/>
              <w:rPr>
                <w:rFonts w:ascii="Arial Narrow" w:hAnsi="Arial Narrow" w:cs="Calibri"/>
                <w:color w:val="000000"/>
              </w:rPr>
            </w:pPr>
            <w:r>
              <w:rPr>
                <w:rFonts w:ascii="Arial Narrow" w:hAnsi="Arial Narrow"/>
                <w:color w:val="000000"/>
              </w:rPr>
              <w:t>EEAA</w:t>
            </w:r>
          </w:p>
        </w:tc>
        <w:tc>
          <w:tcPr>
            <w:tcW w:w="277" w:type="pct"/>
            <w:tcBorders>
              <w:top w:val="single" w:sz="2" w:space="0" w:color="auto"/>
              <w:left w:val="nil"/>
              <w:bottom w:val="single" w:sz="2" w:space="0" w:color="auto"/>
              <w:right w:val="nil"/>
            </w:tcBorders>
            <w:shd w:val="clear" w:color="auto" w:fill="auto"/>
            <w:vAlign w:val="center"/>
          </w:tcPr>
          <w:p w14:paraId="6BC9F2DD"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0</w:t>
            </w:r>
          </w:p>
        </w:tc>
        <w:tc>
          <w:tcPr>
            <w:tcW w:w="512" w:type="pct"/>
            <w:tcBorders>
              <w:top w:val="single" w:sz="2" w:space="0" w:color="auto"/>
              <w:left w:val="nil"/>
              <w:bottom w:val="single" w:sz="2" w:space="0" w:color="auto"/>
              <w:right w:val="nil"/>
            </w:tcBorders>
            <w:shd w:val="clear" w:color="auto" w:fill="auto"/>
            <w:vAlign w:val="center"/>
          </w:tcPr>
          <w:p w14:paraId="2079A931"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238" w:type="pct"/>
            <w:tcBorders>
              <w:top w:val="single" w:sz="2" w:space="0" w:color="auto"/>
              <w:left w:val="nil"/>
              <w:bottom w:val="single" w:sz="2" w:space="0" w:color="auto"/>
              <w:right w:val="nil"/>
            </w:tcBorders>
            <w:shd w:val="clear" w:color="auto" w:fill="auto"/>
            <w:vAlign w:val="center"/>
          </w:tcPr>
          <w:p w14:paraId="5C09C370"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 </w:t>
            </w:r>
          </w:p>
        </w:tc>
        <w:tc>
          <w:tcPr>
            <w:tcW w:w="434" w:type="pct"/>
            <w:tcBorders>
              <w:top w:val="single" w:sz="2" w:space="0" w:color="auto"/>
              <w:left w:val="nil"/>
              <w:bottom w:val="single" w:sz="2" w:space="0" w:color="auto"/>
              <w:right w:val="nil"/>
            </w:tcBorders>
            <w:shd w:val="clear" w:color="auto" w:fill="auto"/>
            <w:vAlign w:val="center"/>
          </w:tcPr>
          <w:p w14:paraId="325C122F"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163 </w:t>
            </w:r>
          </w:p>
        </w:tc>
        <w:tc>
          <w:tcPr>
            <w:tcW w:w="271" w:type="pct"/>
            <w:tcBorders>
              <w:top w:val="single" w:sz="2" w:space="0" w:color="auto"/>
              <w:left w:val="nil"/>
              <w:bottom w:val="single" w:sz="2" w:space="0" w:color="auto"/>
              <w:right w:val="nil"/>
            </w:tcBorders>
            <w:shd w:val="clear" w:color="auto" w:fill="auto"/>
            <w:noWrap/>
            <w:vAlign w:val="center"/>
          </w:tcPr>
          <w:p w14:paraId="6CC1AB2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 </w:t>
            </w:r>
          </w:p>
        </w:tc>
        <w:tc>
          <w:tcPr>
            <w:tcW w:w="487" w:type="pct"/>
            <w:tcBorders>
              <w:top w:val="single" w:sz="2" w:space="0" w:color="auto"/>
              <w:left w:val="nil"/>
              <w:bottom w:val="single" w:sz="2" w:space="0" w:color="auto"/>
              <w:right w:val="nil"/>
            </w:tcBorders>
            <w:shd w:val="clear" w:color="auto" w:fill="auto"/>
            <w:vAlign w:val="center"/>
          </w:tcPr>
          <w:p w14:paraId="6961ED65"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36 </w:t>
            </w:r>
          </w:p>
        </w:tc>
        <w:tc>
          <w:tcPr>
            <w:tcW w:w="394" w:type="pct"/>
            <w:tcBorders>
              <w:top w:val="single" w:sz="2" w:space="0" w:color="auto"/>
              <w:left w:val="nil"/>
              <w:bottom w:val="single" w:sz="2" w:space="0" w:color="auto"/>
              <w:right w:val="nil"/>
            </w:tcBorders>
            <w:shd w:val="clear" w:color="auto" w:fill="auto"/>
            <w:noWrap/>
            <w:vAlign w:val="center"/>
          </w:tcPr>
          <w:p w14:paraId="0186023B"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35B394EF"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2F0199C3"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2 </w:t>
            </w:r>
          </w:p>
        </w:tc>
        <w:tc>
          <w:tcPr>
            <w:tcW w:w="439" w:type="pct"/>
            <w:tcBorders>
              <w:top w:val="single" w:sz="2" w:space="0" w:color="auto"/>
              <w:left w:val="nil"/>
              <w:bottom w:val="single" w:sz="2" w:space="0" w:color="auto"/>
              <w:right w:val="nil"/>
            </w:tcBorders>
            <w:shd w:val="clear" w:color="auto" w:fill="auto"/>
            <w:noWrap/>
            <w:vAlign w:val="center"/>
          </w:tcPr>
          <w:p w14:paraId="3602CA0F"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199 </w:t>
            </w:r>
          </w:p>
        </w:tc>
      </w:tr>
      <w:tr w:rsidR="0017101E" w:rsidRPr="00E422E0" w14:paraId="23EA7AE5"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096236C9" w14:textId="77777777" w:rsidR="0017101E" w:rsidRPr="00E422E0" w:rsidRDefault="0017101E" w:rsidP="0017101E">
            <w:pPr>
              <w:spacing w:after="0"/>
              <w:ind w:firstLine="0"/>
              <w:jc w:val="left"/>
              <w:rPr>
                <w:rFonts w:ascii="Arial Narrow" w:hAnsi="Arial Narrow" w:cs="Calibri"/>
                <w:b/>
                <w:bCs/>
                <w:i/>
                <w:color w:val="000000"/>
                <w:sz w:val="18"/>
                <w:szCs w:val="18"/>
              </w:rPr>
            </w:pPr>
            <w:r>
              <w:rPr>
                <w:rFonts w:ascii="Arial Narrow" w:hAnsi="Arial Narrow"/>
                <w:b/>
                <w:i/>
                <w:color w:val="000000"/>
                <w:sz w:val="18"/>
              </w:rPr>
              <w:t>Toki-entitateak, guztira</w:t>
            </w:r>
          </w:p>
        </w:tc>
        <w:tc>
          <w:tcPr>
            <w:tcW w:w="277" w:type="pct"/>
            <w:tcBorders>
              <w:top w:val="single" w:sz="2" w:space="0" w:color="auto"/>
              <w:left w:val="nil"/>
              <w:bottom w:val="single" w:sz="2" w:space="0" w:color="auto"/>
              <w:right w:val="nil"/>
            </w:tcBorders>
            <w:shd w:val="clear" w:color="auto" w:fill="auto"/>
            <w:vAlign w:val="center"/>
          </w:tcPr>
          <w:p w14:paraId="1CAC2A26"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260 </w:t>
            </w:r>
          </w:p>
        </w:tc>
        <w:tc>
          <w:tcPr>
            <w:tcW w:w="512" w:type="pct"/>
            <w:tcBorders>
              <w:top w:val="single" w:sz="2" w:space="0" w:color="auto"/>
              <w:left w:val="nil"/>
              <w:bottom w:val="single" w:sz="2" w:space="0" w:color="auto"/>
              <w:right w:val="nil"/>
            </w:tcBorders>
            <w:shd w:val="clear" w:color="auto" w:fill="auto"/>
            <w:vAlign w:val="center"/>
          </w:tcPr>
          <w:p w14:paraId="0106E3FD"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43.023 </w:t>
            </w:r>
          </w:p>
        </w:tc>
        <w:tc>
          <w:tcPr>
            <w:tcW w:w="238" w:type="pct"/>
            <w:tcBorders>
              <w:top w:val="single" w:sz="2" w:space="0" w:color="auto"/>
              <w:left w:val="nil"/>
              <w:bottom w:val="single" w:sz="2" w:space="0" w:color="auto"/>
              <w:right w:val="nil"/>
            </w:tcBorders>
            <w:shd w:val="clear" w:color="auto" w:fill="auto"/>
            <w:vAlign w:val="center"/>
          </w:tcPr>
          <w:p w14:paraId="5D2B77FD"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147 </w:t>
            </w:r>
          </w:p>
        </w:tc>
        <w:tc>
          <w:tcPr>
            <w:tcW w:w="434" w:type="pct"/>
            <w:tcBorders>
              <w:top w:val="single" w:sz="2" w:space="0" w:color="auto"/>
              <w:left w:val="nil"/>
              <w:bottom w:val="single" w:sz="2" w:space="0" w:color="auto"/>
              <w:right w:val="nil"/>
            </w:tcBorders>
            <w:shd w:val="clear" w:color="auto" w:fill="auto"/>
            <w:vAlign w:val="center"/>
          </w:tcPr>
          <w:p w14:paraId="7A241E4A"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18.890 </w:t>
            </w:r>
          </w:p>
        </w:tc>
        <w:tc>
          <w:tcPr>
            <w:tcW w:w="271" w:type="pct"/>
            <w:tcBorders>
              <w:top w:val="single" w:sz="2" w:space="0" w:color="auto"/>
              <w:left w:val="nil"/>
              <w:bottom w:val="single" w:sz="2" w:space="0" w:color="auto"/>
              <w:right w:val="nil"/>
            </w:tcBorders>
            <w:shd w:val="clear" w:color="auto" w:fill="auto"/>
            <w:noWrap/>
            <w:vAlign w:val="center"/>
          </w:tcPr>
          <w:p w14:paraId="7589F5EF"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110 </w:t>
            </w:r>
          </w:p>
        </w:tc>
        <w:tc>
          <w:tcPr>
            <w:tcW w:w="487" w:type="pct"/>
            <w:tcBorders>
              <w:top w:val="single" w:sz="2" w:space="0" w:color="auto"/>
              <w:left w:val="nil"/>
              <w:bottom w:val="single" w:sz="2" w:space="0" w:color="auto"/>
              <w:right w:val="nil"/>
            </w:tcBorders>
            <w:shd w:val="clear" w:color="auto" w:fill="auto"/>
            <w:vAlign w:val="center"/>
          </w:tcPr>
          <w:p w14:paraId="6328347A"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7.152 </w:t>
            </w:r>
          </w:p>
        </w:tc>
        <w:tc>
          <w:tcPr>
            <w:tcW w:w="394" w:type="pct"/>
            <w:tcBorders>
              <w:top w:val="single" w:sz="2" w:space="0" w:color="auto"/>
              <w:left w:val="nil"/>
              <w:bottom w:val="single" w:sz="2" w:space="0" w:color="auto"/>
              <w:right w:val="nil"/>
            </w:tcBorders>
            <w:shd w:val="clear" w:color="auto" w:fill="auto"/>
            <w:noWrap/>
            <w:vAlign w:val="center"/>
          </w:tcPr>
          <w:p w14:paraId="13BD7846"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9 </w:t>
            </w:r>
          </w:p>
        </w:tc>
        <w:tc>
          <w:tcPr>
            <w:tcW w:w="480" w:type="pct"/>
            <w:tcBorders>
              <w:top w:val="single" w:sz="2" w:space="0" w:color="auto"/>
              <w:left w:val="nil"/>
              <w:bottom w:val="single" w:sz="2" w:space="0" w:color="auto"/>
              <w:right w:val="nil"/>
            </w:tcBorders>
            <w:shd w:val="clear" w:color="auto" w:fill="auto"/>
            <w:noWrap/>
            <w:vAlign w:val="center"/>
          </w:tcPr>
          <w:p w14:paraId="5542F721"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11.676 </w:t>
            </w:r>
          </w:p>
        </w:tc>
        <w:tc>
          <w:tcPr>
            <w:tcW w:w="277" w:type="pct"/>
            <w:tcBorders>
              <w:top w:val="single" w:sz="2" w:space="0" w:color="auto"/>
              <w:left w:val="nil"/>
              <w:bottom w:val="single" w:sz="2" w:space="0" w:color="auto"/>
              <w:right w:val="nil"/>
            </w:tcBorders>
            <w:shd w:val="clear" w:color="auto" w:fill="auto"/>
            <w:noWrap/>
            <w:vAlign w:val="center"/>
          </w:tcPr>
          <w:p w14:paraId="430E058B"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526 </w:t>
            </w:r>
          </w:p>
        </w:tc>
        <w:tc>
          <w:tcPr>
            <w:tcW w:w="439" w:type="pct"/>
            <w:tcBorders>
              <w:top w:val="single" w:sz="2" w:space="0" w:color="auto"/>
              <w:left w:val="nil"/>
              <w:bottom w:val="single" w:sz="2" w:space="0" w:color="auto"/>
              <w:right w:val="nil"/>
            </w:tcBorders>
            <w:shd w:val="clear" w:color="auto" w:fill="auto"/>
            <w:noWrap/>
            <w:vAlign w:val="center"/>
          </w:tcPr>
          <w:p w14:paraId="16C628DB"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80.742 </w:t>
            </w:r>
          </w:p>
        </w:tc>
      </w:tr>
      <w:tr w:rsidR="0017101E" w:rsidRPr="00033257" w14:paraId="1E925149" w14:textId="77777777" w:rsidTr="00EF33ED">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600C80FF" w14:textId="77777777" w:rsidR="0017101E" w:rsidRPr="00033257" w:rsidRDefault="0017101E" w:rsidP="0017101E">
            <w:pPr>
              <w:spacing w:after="0"/>
              <w:ind w:firstLine="0"/>
              <w:jc w:val="left"/>
              <w:rPr>
                <w:rFonts w:ascii="Arial Narrow" w:hAnsi="Arial Narrow" w:cs="Calibri"/>
                <w:color w:val="000000"/>
              </w:rPr>
            </w:pPr>
            <w:r>
              <w:rPr>
                <w:rFonts w:ascii="Arial Narrow" w:hAnsi="Arial Narrow"/>
                <w:color w:val="000000"/>
              </w:rPr>
              <w:t>Sozietate publikoak</w:t>
            </w:r>
          </w:p>
        </w:tc>
        <w:tc>
          <w:tcPr>
            <w:tcW w:w="277" w:type="pct"/>
            <w:tcBorders>
              <w:top w:val="single" w:sz="2" w:space="0" w:color="auto"/>
              <w:left w:val="nil"/>
              <w:bottom w:val="single" w:sz="2" w:space="0" w:color="auto"/>
              <w:right w:val="nil"/>
            </w:tcBorders>
            <w:shd w:val="clear" w:color="auto" w:fill="auto"/>
            <w:vAlign w:val="center"/>
          </w:tcPr>
          <w:p w14:paraId="6A6A9027"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20</w:t>
            </w:r>
          </w:p>
        </w:tc>
        <w:tc>
          <w:tcPr>
            <w:tcW w:w="512" w:type="pct"/>
            <w:tcBorders>
              <w:top w:val="single" w:sz="2" w:space="0" w:color="auto"/>
              <w:left w:val="nil"/>
              <w:bottom w:val="single" w:sz="2" w:space="0" w:color="auto"/>
              <w:right w:val="nil"/>
            </w:tcBorders>
            <w:shd w:val="clear" w:color="auto" w:fill="auto"/>
            <w:vAlign w:val="center"/>
          </w:tcPr>
          <w:p w14:paraId="14BC0F00"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75.915 </w:t>
            </w:r>
          </w:p>
        </w:tc>
        <w:tc>
          <w:tcPr>
            <w:tcW w:w="238" w:type="pct"/>
            <w:tcBorders>
              <w:top w:val="single" w:sz="2" w:space="0" w:color="auto"/>
              <w:left w:val="nil"/>
              <w:bottom w:val="single" w:sz="2" w:space="0" w:color="auto"/>
              <w:right w:val="nil"/>
            </w:tcBorders>
            <w:shd w:val="clear" w:color="auto" w:fill="auto"/>
            <w:vAlign w:val="center"/>
          </w:tcPr>
          <w:p w14:paraId="593516B7"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34 </w:t>
            </w:r>
          </w:p>
        </w:tc>
        <w:tc>
          <w:tcPr>
            <w:tcW w:w="434" w:type="pct"/>
            <w:tcBorders>
              <w:top w:val="single" w:sz="2" w:space="0" w:color="auto"/>
              <w:left w:val="nil"/>
              <w:bottom w:val="single" w:sz="2" w:space="0" w:color="auto"/>
              <w:right w:val="nil"/>
            </w:tcBorders>
            <w:shd w:val="clear" w:color="auto" w:fill="auto"/>
            <w:vAlign w:val="center"/>
          </w:tcPr>
          <w:p w14:paraId="1A5E2787"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15.277 </w:t>
            </w:r>
          </w:p>
        </w:tc>
        <w:tc>
          <w:tcPr>
            <w:tcW w:w="271" w:type="pct"/>
            <w:tcBorders>
              <w:top w:val="single" w:sz="2" w:space="0" w:color="auto"/>
              <w:left w:val="nil"/>
              <w:bottom w:val="single" w:sz="2" w:space="0" w:color="auto"/>
              <w:right w:val="nil"/>
            </w:tcBorders>
            <w:shd w:val="clear" w:color="auto" w:fill="auto"/>
            <w:noWrap/>
            <w:vAlign w:val="center"/>
          </w:tcPr>
          <w:p w14:paraId="31609F03"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25 </w:t>
            </w:r>
          </w:p>
        </w:tc>
        <w:tc>
          <w:tcPr>
            <w:tcW w:w="487" w:type="pct"/>
            <w:tcBorders>
              <w:top w:val="single" w:sz="2" w:space="0" w:color="auto"/>
              <w:left w:val="nil"/>
              <w:bottom w:val="single" w:sz="2" w:space="0" w:color="auto"/>
              <w:right w:val="nil"/>
            </w:tcBorders>
            <w:shd w:val="clear" w:color="auto" w:fill="auto"/>
            <w:vAlign w:val="center"/>
          </w:tcPr>
          <w:p w14:paraId="2B7CFB6F"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6.727 </w:t>
            </w:r>
          </w:p>
        </w:tc>
        <w:tc>
          <w:tcPr>
            <w:tcW w:w="394" w:type="pct"/>
            <w:tcBorders>
              <w:top w:val="single" w:sz="2" w:space="0" w:color="auto"/>
              <w:left w:val="nil"/>
              <w:bottom w:val="single" w:sz="2" w:space="0" w:color="auto"/>
              <w:right w:val="nil"/>
            </w:tcBorders>
            <w:shd w:val="clear" w:color="auto" w:fill="auto"/>
            <w:noWrap/>
            <w:vAlign w:val="center"/>
          </w:tcPr>
          <w:p w14:paraId="223BB95F"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 </w:t>
            </w:r>
          </w:p>
        </w:tc>
        <w:tc>
          <w:tcPr>
            <w:tcW w:w="480" w:type="pct"/>
            <w:tcBorders>
              <w:top w:val="single" w:sz="2" w:space="0" w:color="auto"/>
              <w:left w:val="nil"/>
              <w:bottom w:val="single" w:sz="2" w:space="0" w:color="auto"/>
              <w:right w:val="nil"/>
            </w:tcBorders>
            <w:shd w:val="clear" w:color="auto" w:fill="auto"/>
            <w:noWrap/>
            <w:vAlign w:val="center"/>
          </w:tcPr>
          <w:p w14:paraId="29AD8796"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4 </w:t>
            </w:r>
          </w:p>
        </w:tc>
        <w:tc>
          <w:tcPr>
            <w:tcW w:w="277" w:type="pct"/>
            <w:tcBorders>
              <w:top w:val="single" w:sz="2" w:space="0" w:color="auto"/>
              <w:left w:val="nil"/>
              <w:bottom w:val="single" w:sz="2" w:space="0" w:color="auto"/>
              <w:right w:val="nil"/>
            </w:tcBorders>
            <w:shd w:val="clear" w:color="auto" w:fill="auto"/>
            <w:noWrap/>
            <w:vAlign w:val="center"/>
          </w:tcPr>
          <w:p w14:paraId="11C8A42E"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80 </w:t>
            </w:r>
          </w:p>
        </w:tc>
        <w:tc>
          <w:tcPr>
            <w:tcW w:w="439" w:type="pct"/>
            <w:tcBorders>
              <w:top w:val="single" w:sz="2" w:space="0" w:color="auto"/>
              <w:left w:val="nil"/>
              <w:bottom w:val="single" w:sz="2" w:space="0" w:color="auto"/>
              <w:right w:val="nil"/>
            </w:tcBorders>
            <w:shd w:val="clear" w:color="auto" w:fill="auto"/>
            <w:noWrap/>
            <w:vAlign w:val="center"/>
          </w:tcPr>
          <w:p w14:paraId="061DD32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97.923 </w:t>
            </w:r>
          </w:p>
        </w:tc>
      </w:tr>
      <w:tr w:rsidR="0017101E" w:rsidRPr="00033257" w14:paraId="629F279E" w14:textId="77777777" w:rsidTr="00EF33ED">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508F5179" w14:textId="77777777" w:rsidR="0017101E" w:rsidRPr="00033257" w:rsidRDefault="0017101E" w:rsidP="0017101E">
            <w:pPr>
              <w:spacing w:after="0"/>
              <w:ind w:firstLine="0"/>
              <w:jc w:val="left"/>
              <w:rPr>
                <w:rFonts w:ascii="Arial Narrow" w:hAnsi="Arial Narrow" w:cs="Calibri"/>
                <w:color w:val="000000"/>
              </w:rPr>
            </w:pPr>
            <w:r>
              <w:rPr>
                <w:rFonts w:ascii="Arial Narrow" w:hAnsi="Arial Narrow"/>
                <w:color w:val="000000"/>
              </w:rPr>
              <w:t>Fundazioak</w:t>
            </w:r>
          </w:p>
        </w:tc>
        <w:tc>
          <w:tcPr>
            <w:tcW w:w="277" w:type="pct"/>
            <w:tcBorders>
              <w:top w:val="single" w:sz="2" w:space="0" w:color="auto"/>
              <w:left w:val="nil"/>
              <w:bottom w:val="single" w:sz="2" w:space="0" w:color="auto"/>
              <w:right w:val="nil"/>
            </w:tcBorders>
            <w:shd w:val="clear" w:color="auto" w:fill="auto"/>
            <w:vAlign w:val="center"/>
          </w:tcPr>
          <w:p w14:paraId="24452D0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0</w:t>
            </w:r>
          </w:p>
        </w:tc>
        <w:tc>
          <w:tcPr>
            <w:tcW w:w="512" w:type="pct"/>
            <w:tcBorders>
              <w:top w:val="single" w:sz="2" w:space="0" w:color="auto"/>
              <w:left w:val="nil"/>
              <w:bottom w:val="single" w:sz="2" w:space="0" w:color="auto"/>
              <w:right w:val="nil"/>
            </w:tcBorders>
            <w:shd w:val="clear" w:color="auto" w:fill="auto"/>
            <w:vAlign w:val="center"/>
          </w:tcPr>
          <w:p w14:paraId="4D10CBC6"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238" w:type="pct"/>
            <w:tcBorders>
              <w:top w:val="single" w:sz="2" w:space="0" w:color="auto"/>
              <w:left w:val="nil"/>
              <w:bottom w:val="single" w:sz="2" w:space="0" w:color="auto"/>
              <w:right w:val="nil"/>
            </w:tcBorders>
            <w:shd w:val="clear" w:color="auto" w:fill="auto"/>
            <w:vAlign w:val="center"/>
          </w:tcPr>
          <w:p w14:paraId="3B773BFC"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 </w:t>
            </w:r>
          </w:p>
        </w:tc>
        <w:tc>
          <w:tcPr>
            <w:tcW w:w="434" w:type="pct"/>
            <w:tcBorders>
              <w:top w:val="single" w:sz="2" w:space="0" w:color="auto"/>
              <w:left w:val="nil"/>
              <w:bottom w:val="single" w:sz="2" w:space="0" w:color="auto"/>
              <w:right w:val="nil"/>
            </w:tcBorders>
            <w:shd w:val="clear" w:color="auto" w:fill="auto"/>
            <w:vAlign w:val="center"/>
          </w:tcPr>
          <w:p w14:paraId="7CF9A298"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34 </w:t>
            </w:r>
          </w:p>
        </w:tc>
        <w:tc>
          <w:tcPr>
            <w:tcW w:w="271" w:type="pct"/>
            <w:tcBorders>
              <w:top w:val="single" w:sz="2" w:space="0" w:color="auto"/>
              <w:left w:val="nil"/>
              <w:bottom w:val="single" w:sz="2" w:space="0" w:color="auto"/>
              <w:right w:val="nil"/>
            </w:tcBorders>
            <w:shd w:val="clear" w:color="auto" w:fill="auto"/>
            <w:noWrap/>
            <w:vAlign w:val="center"/>
          </w:tcPr>
          <w:p w14:paraId="5FBCB97A"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7" w:type="pct"/>
            <w:tcBorders>
              <w:top w:val="single" w:sz="2" w:space="0" w:color="auto"/>
              <w:left w:val="nil"/>
              <w:bottom w:val="single" w:sz="2" w:space="0" w:color="auto"/>
              <w:right w:val="nil"/>
            </w:tcBorders>
            <w:shd w:val="clear" w:color="auto" w:fill="auto"/>
            <w:vAlign w:val="center"/>
          </w:tcPr>
          <w:p w14:paraId="072F978B"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394" w:type="pct"/>
            <w:tcBorders>
              <w:top w:val="single" w:sz="2" w:space="0" w:color="auto"/>
              <w:left w:val="nil"/>
              <w:bottom w:val="single" w:sz="2" w:space="0" w:color="auto"/>
              <w:right w:val="nil"/>
            </w:tcBorders>
            <w:shd w:val="clear" w:color="auto" w:fill="auto"/>
            <w:noWrap/>
            <w:vAlign w:val="center"/>
          </w:tcPr>
          <w:p w14:paraId="2E91B6B7"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278E0716"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0201365F"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1 </w:t>
            </w:r>
          </w:p>
        </w:tc>
        <w:tc>
          <w:tcPr>
            <w:tcW w:w="439" w:type="pct"/>
            <w:tcBorders>
              <w:top w:val="single" w:sz="2" w:space="0" w:color="auto"/>
              <w:left w:val="nil"/>
              <w:bottom w:val="single" w:sz="2" w:space="0" w:color="auto"/>
              <w:right w:val="nil"/>
            </w:tcBorders>
            <w:shd w:val="clear" w:color="auto" w:fill="auto"/>
            <w:noWrap/>
            <w:vAlign w:val="center"/>
          </w:tcPr>
          <w:p w14:paraId="1E3AB47B"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34 </w:t>
            </w:r>
          </w:p>
        </w:tc>
      </w:tr>
      <w:tr w:rsidR="0017101E" w:rsidRPr="00033257" w14:paraId="64A93D6E" w14:textId="77777777" w:rsidTr="00EF33ED">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3FD2568A" w14:textId="77777777" w:rsidR="0017101E" w:rsidRPr="00033257" w:rsidRDefault="0017101E" w:rsidP="0017101E">
            <w:pPr>
              <w:spacing w:after="0"/>
              <w:ind w:firstLine="0"/>
              <w:jc w:val="left"/>
              <w:rPr>
                <w:rFonts w:ascii="Arial Narrow" w:hAnsi="Arial Narrow" w:cs="Calibri"/>
                <w:color w:val="000000"/>
              </w:rPr>
            </w:pPr>
            <w:r>
              <w:rPr>
                <w:rFonts w:ascii="Arial Narrow" w:hAnsi="Arial Narrow"/>
                <w:color w:val="000000"/>
              </w:rPr>
              <w:t>Partzuergoak</w:t>
            </w:r>
          </w:p>
        </w:tc>
        <w:tc>
          <w:tcPr>
            <w:tcW w:w="277" w:type="pct"/>
            <w:tcBorders>
              <w:top w:val="single" w:sz="2" w:space="0" w:color="auto"/>
              <w:left w:val="nil"/>
              <w:bottom w:val="single" w:sz="2" w:space="0" w:color="auto"/>
              <w:right w:val="nil"/>
            </w:tcBorders>
            <w:shd w:val="clear" w:color="auto" w:fill="auto"/>
            <w:vAlign w:val="center"/>
          </w:tcPr>
          <w:p w14:paraId="71CBABF6"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1</w:t>
            </w:r>
          </w:p>
        </w:tc>
        <w:tc>
          <w:tcPr>
            <w:tcW w:w="512" w:type="pct"/>
            <w:tcBorders>
              <w:top w:val="single" w:sz="2" w:space="0" w:color="auto"/>
              <w:left w:val="nil"/>
              <w:bottom w:val="single" w:sz="2" w:space="0" w:color="auto"/>
              <w:right w:val="nil"/>
            </w:tcBorders>
            <w:shd w:val="clear" w:color="auto" w:fill="auto"/>
            <w:vAlign w:val="center"/>
          </w:tcPr>
          <w:p w14:paraId="5353D6B5"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93 </w:t>
            </w:r>
          </w:p>
        </w:tc>
        <w:tc>
          <w:tcPr>
            <w:tcW w:w="238" w:type="pct"/>
            <w:tcBorders>
              <w:top w:val="single" w:sz="2" w:space="0" w:color="auto"/>
              <w:left w:val="nil"/>
              <w:bottom w:val="single" w:sz="2" w:space="0" w:color="auto"/>
              <w:right w:val="nil"/>
            </w:tcBorders>
            <w:shd w:val="clear" w:color="auto" w:fill="auto"/>
            <w:vAlign w:val="center"/>
          </w:tcPr>
          <w:p w14:paraId="198DAE0E"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4 </w:t>
            </w:r>
          </w:p>
        </w:tc>
        <w:tc>
          <w:tcPr>
            <w:tcW w:w="434" w:type="pct"/>
            <w:tcBorders>
              <w:top w:val="single" w:sz="2" w:space="0" w:color="auto"/>
              <w:left w:val="nil"/>
              <w:bottom w:val="single" w:sz="2" w:space="0" w:color="auto"/>
              <w:right w:val="nil"/>
            </w:tcBorders>
            <w:shd w:val="clear" w:color="auto" w:fill="auto"/>
            <w:vAlign w:val="center"/>
          </w:tcPr>
          <w:p w14:paraId="5EB1909C"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595 </w:t>
            </w:r>
          </w:p>
        </w:tc>
        <w:tc>
          <w:tcPr>
            <w:tcW w:w="271" w:type="pct"/>
            <w:tcBorders>
              <w:top w:val="single" w:sz="2" w:space="0" w:color="auto"/>
              <w:left w:val="nil"/>
              <w:bottom w:val="single" w:sz="2" w:space="0" w:color="auto"/>
              <w:right w:val="nil"/>
            </w:tcBorders>
            <w:shd w:val="clear" w:color="auto" w:fill="auto"/>
            <w:noWrap/>
            <w:vAlign w:val="center"/>
          </w:tcPr>
          <w:p w14:paraId="7D8ED274"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7" w:type="pct"/>
            <w:tcBorders>
              <w:top w:val="single" w:sz="2" w:space="0" w:color="auto"/>
              <w:left w:val="nil"/>
              <w:bottom w:val="single" w:sz="2" w:space="0" w:color="auto"/>
              <w:right w:val="nil"/>
            </w:tcBorders>
            <w:shd w:val="clear" w:color="auto" w:fill="auto"/>
            <w:vAlign w:val="center"/>
          </w:tcPr>
          <w:p w14:paraId="613D1924"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394" w:type="pct"/>
            <w:tcBorders>
              <w:top w:val="single" w:sz="2" w:space="0" w:color="auto"/>
              <w:left w:val="nil"/>
              <w:bottom w:val="single" w:sz="2" w:space="0" w:color="auto"/>
              <w:right w:val="nil"/>
            </w:tcBorders>
            <w:shd w:val="clear" w:color="auto" w:fill="auto"/>
            <w:noWrap/>
            <w:vAlign w:val="center"/>
          </w:tcPr>
          <w:p w14:paraId="6830A24D"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795E4F91"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60A92016"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5 </w:t>
            </w:r>
          </w:p>
        </w:tc>
        <w:tc>
          <w:tcPr>
            <w:tcW w:w="439" w:type="pct"/>
            <w:tcBorders>
              <w:top w:val="single" w:sz="2" w:space="0" w:color="auto"/>
              <w:left w:val="nil"/>
              <w:bottom w:val="single" w:sz="2" w:space="0" w:color="auto"/>
              <w:right w:val="nil"/>
            </w:tcBorders>
            <w:shd w:val="clear" w:color="auto" w:fill="auto"/>
            <w:noWrap/>
            <w:vAlign w:val="center"/>
          </w:tcPr>
          <w:p w14:paraId="1FB15351" w14:textId="77777777" w:rsidR="0017101E" w:rsidRPr="00033257" w:rsidRDefault="0017101E" w:rsidP="001D196E">
            <w:pPr>
              <w:spacing w:after="0"/>
              <w:ind w:firstLine="0"/>
              <w:jc w:val="right"/>
              <w:rPr>
                <w:rFonts w:ascii="Arial Narrow" w:hAnsi="Arial Narrow" w:cs="Calibri"/>
                <w:color w:val="000000"/>
              </w:rPr>
            </w:pPr>
            <w:r>
              <w:rPr>
                <w:rFonts w:ascii="Arial Narrow" w:hAnsi="Arial Narrow"/>
                <w:color w:val="000000"/>
              </w:rPr>
              <w:t xml:space="preserve"> 687 </w:t>
            </w:r>
          </w:p>
        </w:tc>
      </w:tr>
      <w:tr w:rsidR="0017101E" w:rsidRPr="00E422E0" w14:paraId="7BC7073F" w14:textId="77777777" w:rsidTr="00EF33ED">
        <w:trPr>
          <w:trHeight w:val="227"/>
          <w:jc w:val="center"/>
        </w:trPr>
        <w:tc>
          <w:tcPr>
            <w:tcW w:w="1191" w:type="pct"/>
            <w:tcBorders>
              <w:top w:val="single" w:sz="2" w:space="0" w:color="auto"/>
              <w:left w:val="nil"/>
              <w:bottom w:val="single" w:sz="4" w:space="0" w:color="auto"/>
              <w:right w:val="nil"/>
            </w:tcBorders>
            <w:shd w:val="clear" w:color="auto" w:fill="auto"/>
            <w:noWrap/>
            <w:vAlign w:val="center"/>
          </w:tcPr>
          <w:p w14:paraId="78AE0315" w14:textId="77777777" w:rsidR="0017101E" w:rsidRPr="00E422E0" w:rsidRDefault="000E3227" w:rsidP="0017101E">
            <w:pPr>
              <w:spacing w:after="0"/>
              <w:ind w:firstLine="0"/>
              <w:jc w:val="left"/>
              <w:rPr>
                <w:rFonts w:ascii="Arial Narrow" w:hAnsi="Arial Narrow" w:cs="Calibri"/>
                <w:b/>
                <w:bCs/>
                <w:i/>
                <w:color w:val="000000"/>
                <w:sz w:val="18"/>
                <w:szCs w:val="18"/>
              </w:rPr>
            </w:pPr>
            <w:r>
              <w:rPr>
                <w:rFonts w:ascii="Arial Narrow" w:hAnsi="Arial Narrow"/>
                <w:b/>
                <w:i/>
                <w:color w:val="000000"/>
                <w:sz w:val="18"/>
              </w:rPr>
              <w:t>Menpeko erakundeak eta partzuergoak, guztira</w:t>
            </w:r>
          </w:p>
        </w:tc>
        <w:tc>
          <w:tcPr>
            <w:tcW w:w="277" w:type="pct"/>
            <w:tcBorders>
              <w:top w:val="single" w:sz="2" w:space="0" w:color="auto"/>
              <w:left w:val="nil"/>
              <w:bottom w:val="single" w:sz="4" w:space="0" w:color="auto"/>
              <w:right w:val="nil"/>
            </w:tcBorders>
            <w:shd w:val="clear" w:color="auto" w:fill="auto"/>
            <w:vAlign w:val="center"/>
          </w:tcPr>
          <w:p w14:paraId="267B13BB"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21</w:t>
            </w:r>
          </w:p>
        </w:tc>
        <w:tc>
          <w:tcPr>
            <w:tcW w:w="512" w:type="pct"/>
            <w:tcBorders>
              <w:top w:val="single" w:sz="2" w:space="0" w:color="auto"/>
              <w:left w:val="nil"/>
              <w:bottom w:val="single" w:sz="4" w:space="0" w:color="auto"/>
              <w:right w:val="nil"/>
            </w:tcBorders>
            <w:shd w:val="clear" w:color="auto" w:fill="auto"/>
            <w:vAlign w:val="center"/>
          </w:tcPr>
          <w:p w14:paraId="065598DD"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76.008</w:t>
            </w:r>
          </w:p>
        </w:tc>
        <w:tc>
          <w:tcPr>
            <w:tcW w:w="238" w:type="pct"/>
            <w:tcBorders>
              <w:top w:val="single" w:sz="2" w:space="0" w:color="auto"/>
              <w:left w:val="nil"/>
              <w:bottom w:val="single" w:sz="4" w:space="0" w:color="auto"/>
              <w:right w:val="nil"/>
            </w:tcBorders>
            <w:shd w:val="clear" w:color="auto" w:fill="auto"/>
            <w:vAlign w:val="center"/>
          </w:tcPr>
          <w:p w14:paraId="0EA40B71"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39</w:t>
            </w:r>
          </w:p>
        </w:tc>
        <w:tc>
          <w:tcPr>
            <w:tcW w:w="434" w:type="pct"/>
            <w:tcBorders>
              <w:top w:val="single" w:sz="2" w:space="0" w:color="auto"/>
              <w:left w:val="nil"/>
              <w:bottom w:val="single" w:sz="4" w:space="0" w:color="auto"/>
              <w:right w:val="nil"/>
            </w:tcBorders>
            <w:shd w:val="clear" w:color="auto" w:fill="auto"/>
            <w:vAlign w:val="center"/>
          </w:tcPr>
          <w:p w14:paraId="236881D8"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15.906</w:t>
            </w:r>
          </w:p>
        </w:tc>
        <w:tc>
          <w:tcPr>
            <w:tcW w:w="271" w:type="pct"/>
            <w:tcBorders>
              <w:top w:val="single" w:sz="2" w:space="0" w:color="auto"/>
              <w:left w:val="nil"/>
              <w:bottom w:val="single" w:sz="4" w:space="0" w:color="auto"/>
              <w:right w:val="nil"/>
            </w:tcBorders>
            <w:shd w:val="clear" w:color="auto" w:fill="auto"/>
            <w:noWrap/>
            <w:vAlign w:val="center"/>
          </w:tcPr>
          <w:p w14:paraId="4BFDD700"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25</w:t>
            </w:r>
          </w:p>
        </w:tc>
        <w:tc>
          <w:tcPr>
            <w:tcW w:w="487" w:type="pct"/>
            <w:tcBorders>
              <w:top w:val="single" w:sz="2" w:space="0" w:color="auto"/>
              <w:left w:val="nil"/>
              <w:bottom w:val="single" w:sz="4" w:space="0" w:color="auto"/>
              <w:right w:val="nil"/>
            </w:tcBorders>
            <w:shd w:val="clear" w:color="auto" w:fill="auto"/>
            <w:vAlign w:val="center"/>
          </w:tcPr>
          <w:p w14:paraId="569FA936"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6.727</w:t>
            </w:r>
          </w:p>
        </w:tc>
        <w:tc>
          <w:tcPr>
            <w:tcW w:w="394" w:type="pct"/>
            <w:tcBorders>
              <w:top w:val="single" w:sz="2" w:space="0" w:color="auto"/>
              <w:left w:val="nil"/>
              <w:bottom w:val="single" w:sz="4" w:space="0" w:color="auto"/>
              <w:right w:val="nil"/>
            </w:tcBorders>
            <w:shd w:val="clear" w:color="auto" w:fill="auto"/>
            <w:noWrap/>
            <w:vAlign w:val="center"/>
          </w:tcPr>
          <w:p w14:paraId="6EA80843"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1</w:t>
            </w:r>
          </w:p>
        </w:tc>
        <w:tc>
          <w:tcPr>
            <w:tcW w:w="480" w:type="pct"/>
            <w:tcBorders>
              <w:top w:val="single" w:sz="2" w:space="0" w:color="auto"/>
              <w:left w:val="nil"/>
              <w:bottom w:val="single" w:sz="4" w:space="0" w:color="auto"/>
              <w:right w:val="nil"/>
            </w:tcBorders>
            <w:shd w:val="clear" w:color="000000" w:fill="FFFFFF" w:themeFill="background1"/>
            <w:noWrap/>
            <w:vAlign w:val="center"/>
          </w:tcPr>
          <w:p w14:paraId="4FB28CDF"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4</w:t>
            </w:r>
          </w:p>
        </w:tc>
        <w:tc>
          <w:tcPr>
            <w:tcW w:w="277" w:type="pct"/>
            <w:tcBorders>
              <w:top w:val="single" w:sz="2" w:space="0" w:color="auto"/>
              <w:left w:val="nil"/>
              <w:bottom w:val="single" w:sz="4" w:space="0" w:color="auto"/>
              <w:right w:val="nil"/>
            </w:tcBorders>
            <w:shd w:val="clear" w:color="auto" w:fill="auto"/>
            <w:noWrap/>
            <w:vAlign w:val="center"/>
          </w:tcPr>
          <w:p w14:paraId="59B64187"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86 </w:t>
            </w:r>
          </w:p>
        </w:tc>
        <w:tc>
          <w:tcPr>
            <w:tcW w:w="439" w:type="pct"/>
            <w:tcBorders>
              <w:top w:val="single" w:sz="2" w:space="0" w:color="auto"/>
              <w:left w:val="nil"/>
              <w:bottom w:val="single" w:sz="4" w:space="0" w:color="auto"/>
              <w:right w:val="nil"/>
            </w:tcBorders>
            <w:shd w:val="clear" w:color="auto" w:fill="auto"/>
            <w:noWrap/>
            <w:vAlign w:val="center"/>
          </w:tcPr>
          <w:p w14:paraId="58490F88" w14:textId="77777777" w:rsidR="0017101E" w:rsidRPr="00E422E0" w:rsidRDefault="0017101E" w:rsidP="001D196E">
            <w:pPr>
              <w:spacing w:after="0"/>
              <w:ind w:firstLine="0"/>
              <w:jc w:val="right"/>
              <w:rPr>
                <w:rFonts w:ascii="Arial Narrow" w:hAnsi="Arial Narrow" w:cs="Calibri"/>
                <w:b/>
                <w:bCs/>
                <w:i/>
                <w:color w:val="000000"/>
                <w:sz w:val="18"/>
                <w:szCs w:val="18"/>
              </w:rPr>
            </w:pPr>
            <w:r>
              <w:rPr>
                <w:rFonts w:ascii="Arial Narrow" w:hAnsi="Arial Narrow"/>
                <w:b/>
                <w:i/>
                <w:color w:val="000000"/>
                <w:sz w:val="18"/>
              </w:rPr>
              <w:t xml:space="preserve"> 98.645 </w:t>
            </w:r>
          </w:p>
        </w:tc>
      </w:tr>
      <w:tr w:rsidR="0017101E" w:rsidRPr="00B739A9" w14:paraId="5A779D27" w14:textId="77777777" w:rsidTr="00FA2E05">
        <w:trPr>
          <w:trHeight w:val="284"/>
          <w:jc w:val="center"/>
        </w:trPr>
        <w:tc>
          <w:tcPr>
            <w:tcW w:w="1191" w:type="pct"/>
            <w:tcBorders>
              <w:top w:val="nil"/>
              <w:left w:val="nil"/>
              <w:bottom w:val="single" w:sz="4" w:space="0" w:color="auto"/>
              <w:right w:val="nil"/>
            </w:tcBorders>
            <w:shd w:val="clear" w:color="auto" w:fill="FABF8F" w:themeFill="accent6" w:themeFillTint="99"/>
            <w:noWrap/>
            <w:vAlign w:val="center"/>
          </w:tcPr>
          <w:p w14:paraId="2CA8901C" w14:textId="77777777" w:rsidR="0017101E" w:rsidRPr="00B739A9" w:rsidRDefault="0017101E" w:rsidP="0017101E">
            <w:pPr>
              <w:spacing w:after="0"/>
              <w:ind w:firstLine="0"/>
              <w:jc w:val="left"/>
              <w:rPr>
                <w:rFonts w:ascii="Arial" w:hAnsi="Arial" w:cs="Arial"/>
                <w:bCs/>
                <w:color w:val="000000"/>
                <w:sz w:val="16"/>
                <w:szCs w:val="16"/>
              </w:rPr>
            </w:pPr>
            <w:r>
              <w:rPr>
                <w:rFonts w:ascii="Arial" w:hAnsi="Arial"/>
                <w:color w:val="000000"/>
                <w:sz w:val="16"/>
              </w:rPr>
              <w:t>Toki sektore publikoa, guztira</w:t>
            </w:r>
          </w:p>
        </w:tc>
        <w:tc>
          <w:tcPr>
            <w:tcW w:w="277" w:type="pct"/>
            <w:tcBorders>
              <w:top w:val="nil"/>
              <w:left w:val="nil"/>
              <w:bottom w:val="single" w:sz="4" w:space="0" w:color="auto"/>
              <w:right w:val="nil"/>
            </w:tcBorders>
            <w:shd w:val="clear" w:color="auto" w:fill="FABF8F" w:themeFill="accent6" w:themeFillTint="99"/>
            <w:vAlign w:val="center"/>
          </w:tcPr>
          <w:p w14:paraId="49DFADE7"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281</w:t>
            </w:r>
          </w:p>
        </w:tc>
        <w:tc>
          <w:tcPr>
            <w:tcW w:w="512" w:type="pct"/>
            <w:tcBorders>
              <w:top w:val="nil"/>
              <w:left w:val="nil"/>
              <w:bottom w:val="single" w:sz="4" w:space="0" w:color="auto"/>
              <w:right w:val="nil"/>
            </w:tcBorders>
            <w:shd w:val="clear" w:color="auto" w:fill="FABF8F" w:themeFill="accent6" w:themeFillTint="99"/>
            <w:vAlign w:val="center"/>
          </w:tcPr>
          <w:p w14:paraId="4A917EA4"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119.031</w:t>
            </w:r>
          </w:p>
        </w:tc>
        <w:tc>
          <w:tcPr>
            <w:tcW w:w="238" w:type="pct"/>
            <w:tcBorders>
              <w:top w:val="nil"/>
              <w:left w:val="nil"/>
              <w:bottom w:val="single" w:sz="4" w:space="0" w:color="auto"/>
              <w:right w:val="nil"/>
            </w:tcBorders>
            <w:shd w:val="clear" w:color="auto" w:fill="FABF8F" w:themeFill="accent6" w:themeFillTint="99"/>
            <w:vAlign w:val="center"/>
          </w:tcPr>
          <w:p w14:paraId="22AF83E7"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186</w:t>
            </w:r>
          </w:p>
        </w:tc>
        <w:tc>
          <w:tcPr>
            <w:tcW w:w="434" w:type="pct"/>
            <w:tcBorders>
              <w:top w:val="nil"/>
              <w:left w:val="nil"/>
              <w:bottom w:val="single" w:sz="4" w:space="0" w:color="auto"/>
              <w:right w:val="nil"/>
            </w:tcBorders>
            <w:shd w:val="clear" w:color="auto" w:fill="FABF8F" w:themeFill="accent6" w:themeFillTint="99"/>
            <w:vAlign w:val="center"/>
          </w:tcPr>
          <w:p w14:paraId="5755F637"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34.796</w:t>
            </w:r>
          </w:p>
        </w:tc>
        <w:tc>
          <w:tcPr>
            <w:tcW w:w="271" w:type="pct"/>
            <w:tcBorders>
              <w:top w:val="nil"/>
              <w:left w:val="nil"/>
              <w:bottom w:val="single" w:sz="4" w:space="0" w:color="auto"/>
              <w:right w:val="nil"/>
            </w:tcBorders>
            <w:shd w:val="clear" w:color="auto" w:fill="FABF8F" w:themeFill="accent6" w:themeFillTint="99"/>
            <w:noWrap/>
            <w:vAlign w:val="center"/>
          </w:tcPr>
          <w:p w14:paraId="5B7F6EDA"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135</w:t>
            </w:r>
          </w:p>
        </w:tc>
        <w:tc>
          <w:tcPr>
            <w:tcW w:w="487" w:type="pct"/>
            <w:tcBorders>
              <w:top w:val="nil"/>
              <w:left w:val="nil"/>
              <w:bottom w:val="single" w:sz="4" w:space="0" w:color="auto"/>
              <w:right w:val="nil"/>
            </w:tcBorders>
            <w:shd w:val="clear" w:color="auto" w:fill="FABF8F" w:themeFill="accent6" w:themeFillTint="99"/>
            <w:noWrap/>
            <w:vAlign w:val="center"/>
          </w:tcPr>
          <w:p w14:paraId="12BA80DE"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13.878</w:t>
            </w:r>
          </w:p>
        </w:tc>
        <w:tc>
          <w:tcPr>
            <w:tcW w:w="394" w:type="pct"/>
            <w:tcBorders>
              <w:top w:val="nil"/>
              <w:left w:val="nil"/>
              <w:bottom w:val="single" w:sz="4" w:space="0" w:color="auto"/>
              <w:right w:val="nil"/>
            </w:tcBorders>
            <w:shd w:val="clear" w:color="auto" w:fill="FABF8F" w:themeFill="accent6" w:themeFillTint="99"/>
            <w:noWrap/>
            <w:vAlign w:val="center"/>
          </w:tcPr>
          <w:p w14:paraId="5E8FBDAF"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10</w:t>
            </w:r>
          </w:p>
        </w:tc>
        <w:tc>
          <w:tcPr>
            <w:tcW w:w="480" w:type="pct"/>
            <w:tcBorders>
              <w:top w:val="nil"/>
              <w:left w:val="nil"/>
              <w:bottom w:val="single" w:sz="4" w:space="0" w:color="auto"/>
              <w:right w:val="nil"/>
            </w:tcBorders>
            <w:shd w:val="clear" w:color="auto" w:fill="FABF8F" w:themeFill="accent6" w:themeFillTint="99"/>
            <w:noWrap/>
            <w:vAlign w:val="center"/>
          </w:tcPr>
          <w:p w14:paraId="79DA0D03"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11.680</w:t>
            </w:r>
          </w:p>
        </w:tc>
        <w:tc>
          <w:tcPr>
            <w:tcW w:w="277" w:type="pct"/>
            <w:tcBorders>
              <w:top w:val="nil"/>
              <w:left w:val="nil"/>
              <w:bottom w:val="single" w:sz="4" w:space="0" w:color="auto"/>
              <w:right w:val="nil"/>
            </w:tcBorders>
            <w:shd w:val="clear" w:color="auto" w:fill="FABF8F" w:themeFill="accent6" w:themeFillTint="99"/>
            <w:noWrap/>
            <w:vAlign w:val="center"/>
          </w:tcPr>
          <w:p w14:paraId="3D54A3F2"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 xml:space="preserve"> 612 </w:t>
            </w:r>
          </w:p>
        </w:tc>
        <w:tc>
          <w:tcPr>
            <w:tcW w:w="439" w:type="pct"/>
            <w:tcBorders>
              <w:top w:val="nil"/>
              <w:left w:val="nil"/>
              <w:bottom w:val="single" w:sz="4" w:space="0" w:color="auto"/>
              <w:right w:val="nil"/>
            </w:tcBorders>
            <w:shd w:val="clear" w:color="auto" w:fill="FABF8F" w:themeFill="accent6" w:themeFillTint="99"/>
            <w:noWrap/>
            <w:vAlign w:val="center"/>
          </w:tcPr>
          <w:p w14:paraId="3D5B62B5" w14:textId="77777777" w:rsidR="0017101E" w:rsidRPr="00B739A9" w:rsidRDefault="0017101E" w:rsidP="001D196E">
            <w:pPr>
              <w:spacing w:after="0"/>
              <w:ind w:firstLine="0"/>
              <w:jc w:val="right"/>
              <w:rPr>
                <w:rFonts w:ascii="Arial" w:hAnsi="Arial" w:cs="Arial"/>
                <w:bCs/>
                <w:color w:val="000000"/>
                <w:sz w:val="16"/>
                <w:szCs w:val="16"/>
              </w:rPr>
            </w:pPr>
            <w:r>
              <w:rPr>
                <w:rFonts w:ascii="Arial" w:hAnsi="Arial"/>
                <w:color w:val="000000"/>
                <w:sz w:val="16"/>
              </w:rPr>
              <w:t xml:space="preserve"> 179.386 </w:t>
            </w:r>
          </w:p>
        </w:tc>
      </w:tr>
    </w:tbl>
    <w:p w14:paraId="2E4A6AD8" w14:textId="77777777" w:rsidR="0017101E" w:rsidRPr="00033257" w:rsidRDefault="0017101E" w:rsidP="00EF33ED">
      <w:pPr>
        <w:pStyle w:val="texto"/>
        <w:tabs>
          <w:tab w:val="left" w:pos="2977"/>
        </w:tabs>
        <w:spacing w:before="240"/>
        <w:rPr>
          <w:color w:val="000000" w:themeColor="text1"/>
          <w:w w:val="103"/>
        </w:rPr>
      </w:pPr>
      <w:r>
        <w:rPr>
          <w:color w:val="000000" w:themeColor="text1"/>
        </w:rPr>
        <w:t>2021ean toki-entitateek, haien menpeko entitateek eta partzuergoek 612 kontratu adjudikatu zituzten, eta horien zenbatekoa 179,39 milioi izan zen, guztira.</w:t>
      </w:r>
    </w:p>
    <w:p w14:paraId="6FBCADD0" w14:textId="77777777" w:rsidR="0017101E" w:rsidRPr="00033257" w:rsidRDefault="0017101E" w:rsidP="00EF33ED">
      <w:pPr>
        <w:pStyle w:val="texto"/>
        <w:tabs>
          <w:tab w:val="left" w:pos="2977"/>
        </w:tabs>
        <w:rPr>
          <w:color w:val="000000" w:themeColor="text1"/>
          <w:w w:val="103"/>
        </w:rPr>
      </w:pPr>
      <w:r>
        <w:rPr>
          <w:color w:val="000000" w:themeColor="text1"/>
        </w:rPr>
        <w:t>Kontratazio jarduera udaletan eta sozietate publikoetan kontzentratzen da. Udalek kontratuen ehuneko 78 esleitu zituzten; hots, esleitutako zenbateko osoaren ehuneko 40. Kontratu horietatik, erdiak obra kontratuak dira.</w:t>
      </w:r>
    </w:p>
    <w:p w14:paraId="6FF60EB8" w14:textId="3F125968" w:rsidR="00BD6542" w:rsidRPr="00033257" w:rsidRDefault="0017101E" w:rsidP="00EF33ED">
      <w:pPr>
        <w:pStyle w:val="texto"/>
        <w:tabs>
          <w:tab w:val="left" w:pos="2977"/>
        </w:tabs>
        <w:rPr>
          <w:color w:val="000000" w:themeColor="text1"/>
          <w:w w:val="103"/>
        </w:rPr>
      </w:pPr>
      <w:r>
        <w:rPr>
          <w:color w:val="000000" w:themeColor="text1"/>
        </w:rPr>
        <w:t>Bestalde, sozietate publikoek kontratuen ehuneko 13 esleitu zituzten; horrek toki sektore publikoak esleitutako zenbatekoaren ehuneko 55 suposatzen du. Hala ere, datu hori oso baldintzatuta dago, SCPSA sozietateak “Iruñerriko Ingurumen Zentroa ezartzeko proiektua, obra eta abiaraztea” izeneko obra kontratua esleitu zuelako, 66,19 milioiko zenbatekoarekin.</w:t>
      </w:r>
    </w:p>
    <w:p w14:paraId="5E370AFE" w14:textId="2EA6CF57" w:rsidR="0017101E" w:rsidRDefault="0017101E" w:rsidP="00EF33ED">
      <w:pPr>
        <w:pStyle w:val="texto"/>
        <w:tabs>
          <w:tab w:val="left" w:pos="2977"/>
        </w:tabs>
        <w:rPr>
          <w:color w:val="000000" w:themeColor="text1"/>
          <w:w w:val="103"/>
        </w:rPr>
      </w:pPr>
      <w:r>
        <w:rPr>
          <w:color w:val="000000" w:themeColor="text1"/>
        </w:rPr>
        <w:t>Beheko taulan kontratazio jarduera bildu da, kontratu kopurua eta esleitutako zenbatekoa adieraziz, kontratu motaren eta adjudikazio prozeduraren arabera.</w:t>
      </w:r>
    </w:p>
    <w:p w14:paraId="506D05E2" w14:textId="22F8A0A9" w:rsidR="00EF33ED" w:rsidRDefault="00EF33ED" w:rsidP="00EF33ED">
      <w:pPr>
        <w:pStyle w:val="texto"/>
        <w:tabs>
          <w:tab w:val="left" w:pos="2977"/>
        </w:tabs>
        <w:rPr>
          <w:color w:val="000000" w:themeColor="text1"/>
          <w:w w:val="103"/>
        </w:rPr>
      </w:pPr>
    </w:p>
    <w:p w14:paraId="7FC17160" w14:textId="49F41D9C" w:rsidR="006F66AB" w:rsidRPr="00D71C47" w:rsidRDefault="006F66AB" w:rsidP="006F66AB">
      <w:pPr>
        <w:pStyle w:val="texto"/>
        <w:spacing w:after="0"/>
        <w:jc w:val="right"/>
        <w:rPr>
          <w:rFonts w:ascii="Arial Narrow" w:hAnsi="Arial Narrow"/>
          <w:color w:val="000000" w:themeColor="text1"/>
          <w:sz w:val="18"/>
          <w:szCs w:val="18"/>
        </w:rPr>
      </w:pPr>
      <w:r>
        <w:rPr>
          <w:rFonts w:ascii="Arial Narrow" w:hAnsi="Arial Narrow"/>
          <w:color w:val="000000" w:themeColor="text1"/>
          <w:sz w:val="18"/>
        </w:rPr>
        <w:t>(milakoak)</w:t>
      </w:r>
    </w:p>
    <w:tbl>
      <w:tblPr>
        <w:tblW w:w="8930" w:type="dxa"/>
        <w:jc w:val="center"/>
        <w:tblLayout w:type="fixed"/>
        <w:tblCellMar>
          <w:left w:w="70" w:type="dxa"/>
          <w:right w:w="70" w:type="dxa"/>
        </w:tblCellMar>
        <w:tblLook w:val="04A0" w:firstRow="1" w:lastRow="0" w:firstColumn="1" w:lastColumn="0" w:noHBand="0" w:noVBand="1"/>
      </w:tblPr>
      <w:tblGrid>
        <w:gridCol w:w="993"/>
        <w:gridCol w:w="498"/>
        <w:gridCol w:w="705"/>
        <w:gridCol w:w="308"/>
        <w:gridCol w:w="473"/>
        <w:gridCol w:w="284"/>
        <w:gridCol w:w="426"/>
        <w:gridCol w:w="401"/>
        <w:gridCol w:w="588"/>
        <w:gridCol w:w="405"/>
        <w:gridCol w:w="591"/>
        <w:gridCol w:w="424"/>
        <w:gridCol w:w="709"/>
        <w:gridCol w:w="425"/>
        <w:gridCol w:w="566"/>
        <w:gridCol w:w="425"/>
        <w:gridCol w:w="709"/>
      </w:tblGrid>
      <w:tr w:rsidR="0017101E" w:rsidRPr="00EF33ED" w14:paraId="4E1C82DF" w14:textId="77777777" w:rsidTr="009E367B">
        <w:trPr>
          <w:trHeight w:val="198"/>
          <w:jc w:val="center"/>
        </w:trPr>
        <w:tc>
          <w:tcPr>
            <w:tcW w:w="993" w:type="dxa"/>
            <w:vMerge w:val="restart"/>
            <w:tcBorders>
              <w:top w:val="single" w:sz="8" w:space="0" w:color="auto"/>
              <w:left w:val="nil"/>
              <w:bottom w:val="single" w:sz="8" w:space="0" w:color="000000"/>
            </w:tcBorders>
            <w:shd w:val="clear" w:color="auto" w:fill="FABF8F" w:themeFill="accent6" w:themeFillTint="99"/>
            <w:noWrap/>
            <w:vAlign w:val="center"/>
            <w:hideMark/>
          </w:tcPr>
          <w:p w14:paraId="121FD38A" w14:textId="77777777" w:rsidR="0017101E" w:rsidRPr="00EF33ED" w:rsidRDefault="0017101E" w:rsidP="00EF33ED">
            <w:pPr>
              <w:pStyle w:val="cuadroCabe"/>
              <w:spacing w:line="240" w:lineRule="auto"/>
              <w:jc w:val="center"/>
              <w:rPr>
                <w:rFonts w:cs="Arial"/>
                <w:sz w:val="16"/>
                <w:szCs w:val="16"/>
                <w:lang w:val="es-ES" w:eastAsia="es-ES"/>
              </w:rPr>
            </w:pPr>
          </w:p>
        </w:tc>
        <w:tc>
          <w:tcPr>
            <w:tcW w:w="1203" w:type="dxa"/>
            <w:gridSpan w:val="2"/>
            <w:tcBorders>
              <w:top w:val="single" w:sz="4" w:space="0" w:color="auto"/>
              <w:bottom w:val="single" w:sz="4" w:space="0" w:color="auto"/>
            </w:tcBorders>
            <w:shd w:val="clear" w:color="auto" w:fill="FABF8F" w:themeFill="accent6" w:themeFillTint="99"/>
            <w:vAlign w:val="center"/>
            <w:hideMark/>
          </w:tcPr>
          <w:p w14:paraId="31EB6270" w14:textId="77777777" w:rsidR="0017101E" w:rsidRPr="00EF33ED" w:rsidRDefault="0017101E" w:rsidP="001D196E">
            <w:pPr>
              <w:pStyle w:val="cuadroCabe"/>
              <w:spacing w:line="240" w:lineRule="auto"/>
              <w:jc w:val="center"/>
              <w:rPr>
                <w:rFonts w:cs="Arial"/>
                <w:sz w:val="16"/>
                <w:szCs w:val="16"/>
              </w:rPr>
            </w:pPr>
            <w:r>
              <w:rPr>
                <w:sz w:val="16"/>
              </w:rPr>
              <w:t>Irekia</w:t>
            </w:r>
          </w:p>
        </w:tc>
        <w:tc>
          <w:tcPr>
            <w:tcW w:w="781" w:type="dxa"/>
            <w:gridSpan w:val="2"/>
            <w:tcBorders>
              <w:top w:val="single" w:sz="4" w:space="0" w:color="auto"/>
              <w:bottom w:val="single" w:sz="4" w:space="0" w:color="auto"/>
            </w:tcBorders>
            <w:shd w:val="clear" w:color="auto" w:fill="FABF8F" w:themeFill="accent6" w:themeFillTint="99"/>
            <w:vAlign w:val="center"/>
            <w:hideMark/>
          </w:tcPr>
          <w:p w14:paraId="403CF077" w14:textId="77777777" w:rsidR="0017101E" w:rsidRPr="00EF33ED" w:rsidRDefault="0017101E" w:rsidP="001D196E">
            <w:pPr>
              <w:pStyle w:val="cuadroCabe"/>
              <w:spacing w:line="240" w:lineRule="auto"/>
              <w:jc w:val="right"/>
              <w:rPr>
                <w:rFonts w:cs="Arial"/>
                <w:sz w:val="16"/>
                <w:szCs w:val="16"/>
              </w:rPr>
            </w:pPr>
            <w:r>
              <w:rPr>
                <w:sz w:val="16"/>
              </w:rPr>
              <w:t>Mugatua</w:t>
            </w:r>
          </w:p>
        </w:tc>
        <w:tc>
          <w:tcPr>
            <w:tcW w:w="707" w:type="dxa"/>
            <w:gridSpan w:val="2"/>
            <w:tcBorders>
              <w:top w:val="single" w:sz="4" w:space="0" w:color="auto"/>
              <w:bottom w:val="single" w:sz="4" w:space="0" w:color="auto"/>
            </w:tcBorders>
            <w:shd w:val="clear" w:color="auto" w:fill="FABF8F" w:themeFill="accent6" w:themeFillTint="99"/>
            <w:vAlign w:val="center"/>
            <w:hideMark/>
          </w:tcPr>
          <w:p w14:paraId="2E64D233" w14:textId="77777777" w:rsidR="0017101E" w:rsidRPr="00EF33ED" w:rsidRDefault="0017101E" w:rsidP="001D196E">
            <w:pPr>
              <w:pStyle w:val="cuadroCabe"/>
              <w:spacing w:line="240" w:lineRule="auto"/>
              <w:jc w:val="right"/>
              <w:rPr>
                <w:rFonts w:cs="Arial"/>
                <w:sz w:val="16"/>
                <w:szCs w:val="16"/>
              </w:rPr>
            </w:pPr>
            <w:r>
              <w:rPr>
                <w:sz w:val="16"/>
              </w:rPr>
              <w:t>Negoziatua</w:t>
            </w:r>
          </w:p>
        </w:tc>
        <w:tc>
          <w:tcPr>
            <w:tcW w:w="989" w:type="dxa"/>
            <w:gridSpan w:val="2"/>
            <w:tcBorders>
              <w:top w:val="single" w:sz="4" w:space="0" w:color="auto"/>
              <w:bottom w:val="single" w:sz="4" w:space="0" w:color="auto"/>
            </w:tcBorders>
            <w:shd w:val="clear" w:color="auto" w:fill="FABF8F" w:themeFill="accent6" w:themeFillTint="99"/>
            <w:vAlign w:val="center"/>
            <w:hideMark/>
          </w:tcPr>
          <w:p w14:paraId="5F8DBD51" w14:textId="77777777" w:rsidR="0017101E" w:rsidRPr="00EF33ED" w:rsidRDefault="0017101E" w:rsidP="001D196E">
            <w:pPr>
              <w:pStyle w:val="cuadroCabe"/>
              <w:spacing w:line="240" w:lineRule="auto"/>
              <w:jc w:val="right"/>
              <w:rPr>
                <w:rFonts w:cs="Arial"/>
                <w:sz w:val="16"/>
                <w:szCs w:val="16"/>
              </w:rPr>
            </w:pPr>
            <w:r>
              <w:rPr>
                <w:sz w:val="16"/>
              </w:rPr>
              <w:t>Sinplifikatua</w:t>
            </w:r>
          </w:p>
        </w:tc>
        <w:tc>
          <w:tcPr>
            <w:tcW w:w="996" w:type="dxa"/>
            <w:gridSpan w:val="2"/>
            <w:tcBorders>
              <w:top w:val="single" w:sz="4" w:space="0" w:color="auto"/>
              <w:bottom w:val="single" w:sz="4" w:space="0" w:color="auto"/>
            </w:tcBorders>
            <w:shd w:val="clear" w:color="auto" w:fill="FABF8F" w:themeFill="accent6" w:themeFillTint="99"/>
            <w:vAlign w:val="center"/>
            <w:hideMark/>
          </w:tcPr>
          <w:p w14:paraId="55834DF9" w14:textId="77777777" w:rsidR="0017101E" w:rsidRPr="00EF33ED" w:rsidRDefault="0017101E" w:rsidP="001D196E">
            <w:pPr>
              <w:pStyle w:val="cuadroCabe"/>
              <w:spacing w:line="240" w:lineRule="auto"/>
              <w:jc w:val="right"/>
              <w:rPr>
                <w:rFonts w:cs="Arial"/>
                <w:sz w:val="16"/>
                <w:szCs w:val="16"/>
              </w:rPr>
            </w:pPr>
            <w:r>
              <w:rPr>
                <w:sz w:val="16"/>
              </w:rPr>
              <w:t>Esp-akord. oinarritua</w:t>
            </w:r>
          </w:p>
        </w:tc>
        <w:tc>
          <w:tcPr>
            <w:tcW w:w="1133" w:type="dxa"/>
            <w:gridSpan w:val="2"/>
            <w:tcBorders>
              <w:top w:val="single" w:sz="4" w:space="0" w:color="auto"/>
              <w:bottom w:val="single" w:sz="4" w:space="0" w:color="auto"/>
            </w:tcBorders>
            <w:shd w:val="clear" w:color="auto" w:fill="FABF8F" w:themeFill="accent6" w:themeFillTint="99"/>
            <w:vAlign w:val="center"/>
            <w:hideMark/>
          </w:tcPr>
          <w:p w14:paraId="6337ABA0" w14:textId="77777777" w:rsidR="0017101E" w:rsidRPr="00EF33ED" w:rsidRDefault="0017101E" w:rsidP="001D196E">
            <w:pPr>
              <w:pStyle w:val="cuadroCabe"/>
              <w:spacing w:line="240" w:lineRule="auto"/>
              <w:jc w:val="right"/>
              <w:rPr>
                <w:rFonts w:cs="Arial"/>
                <w:sz w:val="16"/>
                <w:szCs w:val="16"/>
              </w:rPr>
            </w:pPr>
            <w:r>
              <w:rPr>
                <w:sz w:val="16"/>
              </w:rPr>
              <w:t>Hitz. edo liz. gabe negoziatua</w:t>
            </w:r>
          </w:p>
        </w:tc>
        <w:tc>
          <w:tcPr>
            <w:tcW w:w="991" w:type="dxa"/>
            <w:gridSpan w:val="2"/>
            <w:tcBorders>
              <w:top w:val="single" w:sz="4" w:space="0" w:color="auto"/>
              <w:bottom w:val="single" w:sz="4" w:space="0" w:color="auto"/>
            </w:tcBorders>
            <w:shd w:val="clear" w:color="auto" w:fill="FABF8F" w:themeFill="accent6" w:themeFillTint="99"/>
            <w:vAlign w:val="center"/>
            <w:hideMark/>
          </w:tcPr>
          <w:p w14:paraId="127EF682" w14:textId="77777777" w:rsidR="0017101E" w:rsidRPr="00EF33ED" w:rsidRDefault="0017101E" w:rsidP="00FA2E05">
            <w:pPr>
              <w:pStyle w:val="cuadroCabe"/>
              <w:spacing w:line="240" w:lineRule="auto"/>
              <w:jc w:val="right"/>
              <w:rPr>
                <w:rFonts w:cs="Arial"/>
                <w:sz w:val="16"/>
                <w:szCs w:val="16"/>
              </w:rPr>
            </w:pPr>
            <w:r>
              <w:rPr>
                <w:sz w:val="16"/>
              </w:rPr>
              <w:t>Ez dago jasota*</w:t>
            </w:r>
          </w:p>
        </w:tc>
        <w:tc>
          <w:tcPr>
            <w:tcW w:w="1134" w:type="dxa"/>
            <w:gridSpan w:val="2"/>
            <w:tcBorders>
              <w:top w:val="single" w:sz="4" w:space="0" w:color="auto"/>
              <w:bottom w:val="single" w:sz="4" w:space="0" w:color="auto"/>
              <w:right w:val="nil"/>
            </w:tcBorders>
            <w:shd w:val="clear" w:color="auto" w:fill="FABF8F" w:themeFill="accent6" w:themeFillTint="99"/>
            <w:vAlign w:val="center"/>
            <w:hideMark/>
          </w:tcPr>
          <w:p w14:paraId="0E746F62" w14:textId="77777777" w:rsidR="0017101E" w:rsidRPr="00EF33ED" w:rsidRDefault="0017101E" w:rsidP="00FA2E05">
            <w:pPr>
              <w:pStyle w:val="cuadroCabe"/>
              <w:spacing w:line="240" w:lineRule="auto"/>
              <w:jc w:val="center"/>
              <w:rPr>
                <w:rFonts w:cs="Arial"/>
                <w:sz w:val="16"/>
                <w:szCs w:val="16"/>
              </w:rPr>
            </w:pPr>
            <w:r>
              <w:rPr>
                <w:sz w:val="16"/>
              </w:rPr>
              <w:t>Guztira</w:t>
            </w:r>
          </w:p>
        </w:tc>
      </w:tr>
      <w:tr w:rsidR="0017101E" w:rsidRPr="00EF33ED" w14:paraId="7D9937CA" w14:textId="77777777" w:rsidTr="009E367B">
        <w:trPr>
          <w:trHeight w:val="198"/>
          <w:jc w:val="center"/>
        </w:trPr>
        <w:tc>
          <w:tcPr>
            <w:tcW w:w="993" w:type="dxa"/>
            <w:vMerge/>
            <w:tcBorders>
              <w:top w:val="single" w:sz="8" w:space="0" w:color="auto"/>
              <w:left w:val="nil"/>
              <w:bottom w:val="single" w:sz="8" w:space="0" w:color="000000"/>
            </w:tcBorders>
            <w:shd w:val="clear" w:color="auto" w:fill="FABF8F" w:themeFill="accent6" w:themeFillTint="99"/>
            <w:vAlign w:val="center"/>
            <w:hideMark/>
          </w:tcPr>
          <w:p w14:paraId="1FE2DD96" w14:textId="77777777" w:rsidR="0017101E" w:rsidRPr="00EF33ED" w:rsidRDefault="0017101E" w:rsidP="00EF33ED">
            <w:pPr>
              <w:pStyle w:val="cuadroCabe"/>
              <w:spacing w:line="240" w:lineRule="auto"/>
              <w:rPr>
                <w:rFonts w:cs="Arial"/>
                <w:sz w:val="16"/>
                <w:szCs w:val="16"/>
                <w:lang w:val="es-ES" w:eastAsia="es-ES"/>
              </w:rPr>
            </w:pPr>
          </w:p>
        </w:tc>
        <w:tc>
          <w:tcPr>
            <w:tcW w:w="498" w:type="dxa"/>
            <w:tcBorders>
              <w:top w:val="single" w:sz="4" w:space="0" w:color="auto"/>
              <w:bottom w:val="single" w:sz="8" w:space="0" w:color="auto"/>
            </w:tcBorders>
            <w:shd w:val="clear" w:color="auto" w:fill="FABF8F" w:themeFill="accent6" w:themeFillTint="99"/>
            <w:vAlign w:val="center"/>
            <w:hideMark/>
          </w:tcPr>
          <w:p w14:paraId="702DEA87" w14:textId="77777777" w:rsidR="0017101E" w:rsidRPr="00EF33ED" w:rsidRDefault="0017101E" w:rsidP="001D196E">
            <w:pPr>
              <w:pStyle w:val="cuadroCabe"/>
              <w:spacing w:line="240" w:lineRule="auto"/>
              <w:ind w:hanging="73"/>
              <w:jc w:val="right"/>
              <w:rPr>
                <w:rFonts w:cs="Arial"/>
                <w:sz w:val="16"/>
                <w:szCs w:val="16"/>
              </w:rPr>
            </w:pPr>
            <w:r>
              <w:rPr>
                <w:sz w:val="16"/>
              </w:rPr>
              <w:t>Kop.</w:t>
            </w:r>
          </w:p>
        </w:tc>
        <w:tc>
          <w:tcPr>
            <w:tcW w:w="705" w:type="dxa"/>
            <w:tcBorders>
              <w:top w:val="single" w:sz="4" w:space="0" w:color="auto"/>
              <w:bottom w:val="single" w:sz="8" w:space="0" w:color="auto"/>
            </w:tcBorders>
            <w:shd w:val="clear" w:color="auto" w:fill="FABF8F" w:themeFill="accent6" w:themeFillTint="99"/>
            <w:vAlign w:val="center"/>
            <w:hideMark/>
          </w:tcPr>
          <w:p w14:paraId="632F6738" w14:textId="77777777" w:rsidR="0017101E" w:rsidRPr="00EF33ED" w:rsidRDefault="0017101E" w:rsidP="001D196E">
            <w:pPr>
              <w:pStyle w:val="cuadroCabe"/>
              <w:spacing w:line="240" w:lineRule="auto"/>
              <w:ind w:hanging="73"/>
              <w:jc w:val="right"/>
              <w:rPr>
                <w:rFonts w:cs="Arial"/>
                <w:sz w:val="16"/>
                <w:szCs w:val="16"/>
              </w:rPr>
            </w:pPr>
            <w:r>
              <w:rPr>
                <w:sz w:val="16"/>
              </w:rPr>
              <w:t>Zenb.</w:t>
            </w:r>
          </w:p>
        </w:tc>
        <w:tc>
          <w:tcPr>
            <w:tcW w:w="308" w:type="dxa"/>
            <w:tcBorders>
              <w:top w:val="single" w:sz="4" w:space="0" w:color="auto"/>
              <w:bottom w:val="single" w:sz="8" w:space="0" w:color="auto"/>
            </w:tcBorders>
            <w:shd w:val="clear" w:color="auto" w:fill="FABF8F" w:themeFill="accent6" w:themeFillTint="99"/>
            <w:vAlign w:val="center"/>
            <w:hideMark/>
          </w:tcPr>
          <w:p w14:paraId="350C21BE" w14:textId="77777777" w:rsidR="0017101E" w:rsidRPr="00EF33ED" w:rsidRDefault="0017101E" w:rsidP="001D196E">
            <w:pPr>
              <w:pStyle w:val="cuadroCabe"/>
              <w:spacing w:line="240" w:lineRule="auto"/>
              <w:ind w:hanging="73"/>
              <w:jc w:val="right"/>
              <w:rPr>
                <w:rFonts w:cs="Arial"/>
                <w:sz w:val="16"/>
                <w:szCs w:val="16"/>
              </w:rPr>
            </w:pPr>
            <w:r>
              <w:rPr>
                <w:sz w:val="16"/>
              </w:rPr>
              <w:t>Kop.</w:t>
            </w:r>
          </w:p>
        </w:tc>
        <w:tc>
          <w:tcPr>
            <w:tcW w:w="473" w:type="dxa"/>
            <w:tcBorders>
              <w:top w:val="single" w:sz="4" w:space="0" w:color="auto"/>
              <w:bottom w:val="single" w:sz="8" w:space="0" w:color="auto"/>
            </w:tcBorders>
            <w:shd w:val="clear" w:color="auto" w:fill="FABF8F" w:themeFill="accent6" w:themeFillTint="99"/>
            <w:vAlign w:val="center"/>
            <w:hideMark/>
          </w:tcPr>
          <w:p w14:paraId="3DAEF692" w14:textId="77777777" w:rsidR="0017101E" w:rsidRPr="00EF33ED" w:rsidRDefault="0017101E" w:rsidP="001D196E">
            <w:pPr>
              <w:pStyle w:val="cuadroCabe"/>
              <w:spacing w:line="240" w:lineRule="auto"/>
              <w:ind w:hanging="73"/>
              <w:jc w:val="right"/>
              <w:rPr>
                <w:rFonts w:cs="Arial"/>
                <w:sz w:val="16"/>
                <w:szCs w:val="16"/>
              </w:rPr>
            </w:pPr>
            <w:r>
              <w:rPr>
                <w:sz w:val="16"/>
              </w:rPr>
              <w:t>Zenb.</w:t>
            </w:r>
          </w:p>
        </w:tc>
        <w:tc>
          <w:tcPr>
            <w:tcW w:w="284" w:type="dxa"/>
            <w:tcBorders>
              <w:top w:val="single" w:sz="4" w:space="0" w:color="auto"/>
              <w:bottom w:val="single" w:sz="8" w:space="0" w:color="auto"/>
            </w:tcBorders>
            <w:shd w:val="clear" w:color="auto" w:fill="FABF8F" w:themeFill="accent6" w:themeFillTint="99"/>
            <w:vAlign w:val="center"/>
            <w:hideMark/>
          </w:tcPr>
          <w:p w14:paraId="5D47E9A2" w14:textId="77777777" w:rsidR="0017101E" w:rsidRPr="00EF33ED" w:rsidRDefault="0017101E" w:rsidP="001D196E">
            <w:pPr>
              <w:pStyle w:val="cuadroCabe"/>
              <w:spacing w:line="240" w:lineRule="auto"/>
              <w:ind w:hanging="73"/>
              <w:jc w:val="right"/>
              <w:rPr>
                <w:rFonts w:cs="Arial"/>
                <w:sz w:val="16"/>
                <w:szCs w:val="16"/>
              </w:rPr>
            </w:pPr>
            <w:r>
              <w:rPr>
                <w:sz w:val="16"/>
              </w:rPr>
              <w:t>Kop.</w:t>
            </w:r>
          </w:p>
        </w:tc>
        <w:tc>
          <w:tcPr>
            <w:tcW w:w="426" w:type="dxa"/>
            <w:tcBorders>
              <w:top w:val="single" w:sz="4" w:space="0" w:color="auto"/>
              <w:bottom w:val="single" w:sz="8" w:space="0" w:color="auto"/>
            </w:tcBorders>
            <w:shd w:val="clear" w:color="auto" w:fill="FABF8F" w:themeFill="accent6" w:themeFillTint="99"/>
            <w:vAlign w:val="center"/>
            <w:hideMark/>
          </w:tcPr>
          <w:p w14:paraId="28F43012" w14:textId="77777777" w:rsidR="0017101E" w:rsidRPr="00EF33ED" w:rsidRDefault="0017101E" w:rsidP="001D196E">
            <w:pPr>
              <w:pStyle w:val="cuadroCabe"/>
              <w:spacing w:line="240" w:lineRule="auto"/>
              <w:ind w:hanging="73"/>
              <w:jc w:val="right"/>
              <w:rPr>
                <w:rFonts w:cs="Arial"/>
                <w:sz w:val="16"/>
                <w:szCs w:val="16"/>
              </w:rPr>
            </w:pPr>
            <w:r>
              <w:rPr>
                <w:sz w:val="16"/>
              </w:rPr>
              <w:t>Zenb.</w:t>
            </w:r>
          </w:p>
        </w:tc>
        <w:tc>
          <w:tcPr>
            <w:tcW w:w="401" w:type="dxa"/>
            <w:tcBorders>
              <w:top w:val="single" w:sz="4" w:space="0" w:color="auto"/>
              <w:bottom w:val="single" w:sz="8" w:space="0" w:color="auto"/>
            </w:tcBorders>
            <w:shd w:val="clear" w:color="auto" w:fill="FABF8F" w:themeFill="accent6" w:themeFillTint="99"/>
            <w:vAlign w:val="center"/>
            <w:hideMark/>
          </w:tcPr>
          <w:p w14:paraId="0C90B8CC" w14:textId="77777777" w:rsidR="0017101E" w:rsidRPr="00EF33ED" w:rsidRDefault="0017101E" w:rsidP="001D196E">
            <w:pPr>
              <w:pStyle w:val="cuadroCabe"/>
              <w:spacing w:line="240" w:lineRule="auto"/>
              <w:ind w:hanging="73"/>
              <w:jc w:val="right"/>
              <w:rPr>
                <w:rFonts w:cs="Arial"/>
                <w:sz w:val="16"/>
                <w:szCs w:val="16"/>
              </w:rPr>
            </w:pPr>
            <w:r>
              <w:rPr>
                <w:sz w:val="16"/>
              </w:rPr>
              <w:t>Kop.</w:t>
            </w:r>
          </w:p>
        </w:tc>
        <w:tc>
          <w:tcPr>
            <w:tcW w:w="588" w:type="dxa"/>
            <w:tcBorders>
              <w:top w:val="single" w:sz="4" w:space="0" w:color="auto"/>
              <w:bottom w:val="single" w:sz="8" w:space="0" w:color="auto"/>
            </w:tcBorders>
            <w:shd w:val="clear" w:color="auto" w:fill="FABF8F" w:themeFill="accent6" w:themeFillTint="99"/>
            <w:vAlign w:val="center"/>
            <w:hideMark/>
          </w:tcPr>
          <w:p w14:paraId="6F752933" w14:textId="77777777" w:rsidR="0017101E" w:rsidRPr="00EF33ED" w:rsidRDefault="0017101E" w:rsidP="001D196E">
            <w:pPr>
              <w:pStyle w:val="cuadroCabe"/>
              <w:spacing w:line="240" w:lineRule="auto"/>
              <w:ind w:hanging="73"/>
              <w:jc w:val="right"/>
              <w:rPr>
                <w:rFonts w:cs="Arial"/>
                <w:sz w:val="16"/>
                <w:szCs w:val="16"/>
              </w:rPr>
            </w:pPr>
            <w:r>
              <w:rPr>
                <w:sz w:val="16"/>
              </w:rPr>
              <w:t>Zenb.</w:t>
            </w:r>
          </w:p>
        </w:tc>
        <w:tc>
          <w:tcPr>
            <w:tcW w:w="405" w:type="dxa"/>
            <w:tcBorders>
              <w:top w:val="single" w:sz="4" w:space="0" w:color="auto"/>
              <w:bottom w:val="single" w:sz="8" w:space="0" w:color="auto"/>
            </w:tcBorders>
            <w:shd w:val="clear" w:color="auto" w:fill="FABF8F" w:themeFill="accent6" w:themeFillTint="99"/>
            <w:vAlign w:val="center"/>
            <w:hideMark/>
          </w:tcPr>
          <w:p w14:paraId="1E99F031" w14:textId="77777777" w:rsidR="0017101E" w:rsidRPr="00EF33ED" w:rsidRDefault="0017101E" w:rsidP="001D196E">
            <w:pPr>
              <w:pStyle w:val="cuadroCabe"/>
              <w:spacing w:line="240" w:lineRule="auto"/>
              <w:ind w:hanging="73"/>
              <w:jc w:val="right"/>
              <w:rPr>
                <w:rFonts w:cs="Arial"/>
                <w:sz w:val="16"/>
                <w:szCs w:val="16"/>
              </w:rPr>
            </w:pPr>
            <w:r>
              <w:rPr>
                <w:sz w:val="16"/>
              </w:rPr>
              <w:t>Kop.</w:t>
            </w:r>
          </w:p>
        </w:tc>
        <w:tc>
          <w:tcPr>
            <w:tcW w:w="591" w:type="dxa"/>
            <w:tcBorders>
              <w:top w:val="single" w:sz="4" w:space="0" w:color="auto"/>
              <w:bottom w:val="single" w:sz="8" w:space="0" w:color="auto"/>
            </w:tcBorders>
            <w:shd w:val="clear" w:color="auto" w:fill="FABF8F" w:themeFill="accent6" w:themeFillTint="99"/>
            <w:vAlign w:val="center"/>
            <w:hideMark/>
          </w:tcPr>
          <w:p w14:paraId="15C8E3B9" w14:textId="77777777" w:rsidR="0017101E" w:rsidRPr="00EF33ED" w:rsidRDefault="0017101E" w:rsidP="001D196E">
            <w:pPr>
              <w:pStyle w:val="cuadroCabe"/>
              <w:spacing w:line="240" w:lineRule="auto"/>
              <w:ind w:hanging="73"/>
              <w:jc w:val="right"/>
              <w:rPr>
                <w:rFonts w:cs="Arial"/>
                <w:sz w:val="16"/>
                <w:szCs w:val="16"/>
              </w:rPr>
            </w:pPr>
            <w:r>
              <w:rPr>
                <w:sz w:val="16"/>
              </w:rPr>
              <w:t>Zenb.</w:t>
            </w:r>
          </w:p>
        </w:tc>
        <w:tc>
          <w:tcPr>
            <w:tcW w:w="424" w:type="dxa"/>
            <w:tcBorders>
              <w:top w:val="single" w:sz="4" w:space="0" w:color="auto"/>
              <w:bottom w:val="single" w:sz="8" w:space="0" w:color="auto"/>
            </w:tcBorders>
            <w:shd w:val="clear" w:color="auto" w:fill="FABF8F" w:themeFill="accent6" w:themeFillTint="99"/>
            <w:vAlign w:val="center"/>
            <w:hideMark/>
          </w:tcPr>
          <w:p w14:paraId="7EDBBDD9" w14:textId="77777777" w:rsidR="0017101E" w:rsidRPr="00EF33ED" w:rsidRDefault="0017101E" w:rsidP="001D196E">
            <w:pPr>
              <w:pStyle w:val="cuadroCabe"/>
              <w:spacing w:line="240" w:lineRule="auto"/>
              <w:ind w:hanging="73"/>
              <w:jc w:val="right"/>
              <w:rPr>
                <w:rFonts w:cs="Arial"/>
                <w:sz w:val="16"/>
                <w:szCs w:val="16"/>
              </w:rPr>
            </w:pPr>
            <w:r>
              <w:rPr>
                <w:sz w:val="16"/>
              </w:rPr>
              <w:t>Kop.</w:t>
            </w:r>
          </w:p>
        </w:tc>
        <w:tc>
          <w:tcPr>
            <w:tcW w:w="709" w:type="dxa"/>
            <w:tcBorders>
              <w:top w:val="single" w:sz="4" w:space="0" w:color="auto"/>
              <w:bottom w:val="single" w:sz="8" w:space="0" w:color="auto"/>
            </w:tcBorders>
            <w:shd w:val="clear" w:color="auto" w:fill="FABF8F" w:themeFill="accent6" w:themeFillTint="99"/>
            <w:vAlign w:val="center"/>
            <w:hideMark/>
          </w:tcPr>
          <w:p w14:paraId="4BA596F9" w14:textId="77777777" w:rsidR="0017101E" w:rsidRPr="00EF33ED" w:rsidRDefault="0017101E" w:rsidP="001D196E">
            <w:pPr>
              <w:pStyle w:val="cuadroCabe"/>
              <w:spacing w:line="240" w:lineRule="auto"/>
              <w:ind w:hanging="73"/>
              <w:jc w:val="right"/>
              <w:rPr>
                <w:rFonts w:cs="Arial"/>
                <w:sz w:val="16"/>
                <w:szCs w:val="16"/>
              </w:rPr>
            </w:pPr>
            <w:r>
              <w:rPr>
                <w:sz w:val="16"/>
              </w:rPr>
              <w:t>Zenb.</w:t>
            </w:r>
          </w:p>
        </w:tc>
        <w:tc>
          <w:tcPr>
            <w:tcW w:w="425" w:type="dxa"/>
            <w:tcBorders>
              <w:top w:val="single" w:sz="4" w:space="0" w:color="auto"/>
              <w:bottom w:val="single" w:sz="8" w:space="0" w:color="auto"/>
            </w:tcBorders>
            <w:shd w:val="clear" w:color="auto" w:fill="FABF8F" w:themeFill="accent6" w:themeFillTint="99"/>
            <w:vAlign w:val="center"/>
            <w:hideMark/>
          </w:tcPr>
          <w:p w14:paraId="39AF6D97" w14:textId="77777777" w:rsidR="0017101E" w:rsidRPr="00EF33ED" w:rsidRDefault="0017101E" w:rsidP="001D196E">
            <w:pPr>
              <w:pStyle w:val="cuadroCabe"/>
              <w:spacing w:line="240" w:lineRule="auto"/>
              <w:ind w:hanging="73"/>
              <w:jc w:val="right"/>
              <w:rPr>
                <w:rFonts w:cs="Arial"/>
                <w:sz w:val="16"/>
                <w:szCs w:val="16"/>
              </w:rPr>
            </w:pPr>
            <w:r>
              <w:rPr>
                <w:sz w:val="16"/>
              </w:rPr>
              <w:t>Kop.</w:t>
            </w:r>
          </w:p>
        </w:tc>
        <w:tc>
          <w:tcPr>
            <w:tcW w:w="566" w:type="dxa"/>
            <w:tcBorders>
              <w:top w:val="single" w:sz="4" w:space="0" w:color="auto"/>
              <w:bottom w:val="single" w:sz="8" w:space="0" w:color="auto"/>
            </w:tcBorders>
            <w:shd w:val="clear" w:color="auto" w:fill="FABF8F" w:themeFill="accent6" w:themeFillTint="99"/>
            <w:vAlign w:val="center"/>
            <w:hideMark/>
          </w:tcPr>
          <w:p w14:paraId="2FDD5DA1" w14:textId="77777777" w:rsidR="0017101E" w:rsidRPr="00EF33ED" w:rsidRDefault="0017101E" w:rsidP="001D196E">
            <w:pPr>
              <w:pStyle w:val="cuadroCabe"/>
              <w:spacing w:line="240" w:lineRule="auto"/>
              <w:ind w:hanging="73"/>
              <w:jc w:val="right"/>
              <w:rPr>
                <w:rFonts w:cs="Arial"/>
                <w:sz w:val="16"/>
                <w:szCs w:val="16"/>
              </w:rPr>
            </w:pPr>
            <w:r>
              <w:rPr>
                <w:sz w:val="16"/>
              </w:rPr>
              <w:t>Zenb.</w:t>
            </w:r>
          </w:p>
        </w:tc>
        <w:tc>
          <w:tcPr>
            <w:tcW w:w="425" w:type="dxa"/>
            <w:tcBorders>
              <w:top w:val="single" w:sz="4" w:space="0" w:color="auto"/>
              <w:bottom w:val="single" w:sz="8" w:space="0" w:color="auto"/>
            </w:tcBorders>
            <w:shd w:val="clear" w:color="auto" w:fill="FABF8F" w:themeFill="accent6" w:themeFillTint="99"/>
            <w:vAlign w:val="center"/>
            <w:hideMark/>
          </w:tcPr>
          <w:p w14:paraId="316EF095" w14:textId="77777777" w:rsidR="0017101E" w:rsidRPr="00EF33ED" w:rsidRDefault="0017101E" w:rsidP="001D196E">
            <w:pPr>
              <w:pStyle w:val="cuadroCabe"/>
              <w:spacing w:line="240" w:lineRule="auto"/>
              <w:ind w:hanging="73"/>
              <w:jc w:val="right"/>
              <w:rPr>
                <w:rFonts w:cs="Arial"/>
                <w:sz w:val="16"/>
                <w:szCs w:val="16"/>
              </w:rPr>
            </w:pPr>
            <w:r>
              <w:rPr>
                <w:sz w:val="16"/>
              </w:rPr>
              <w:t>Kop.</w:t>
            </w:r>
          </w:p>
        </w:tc>
        <w:tc>
          <w:tcPr>
            <w:tcW w:w="709" w:type="dxa"/>
            <w:tcBorders>
              <w:top w:val="single" w:sz="4" w:space="0" w:color="auto"/>
              <w:bottom w:val="single" w:sz="8" w:space="0" w:color="auto"/>
              <w:right w:val="nil"/>
            </w:tcBorders>
            <w:shd w:val="clear" w:color="auto" w:fill="FABF8F" w:themeFill="accent6" w:themeFillTint="99"/>
            <w:vAlign w:val="center"/>
            <w:hideMark/>
          </w:tcPr>
          <w:p w14:paraId="44E8B866" w14:textId="77777777" w:rsidR="0017101E" w:rsidRPr="00EF33ED" w:rsidRDefault="0017101E" w:rsidP="001D196E">
            <w:pPr>
              <w:pStyle w:val="cuadroCabe"/>
              <w:spacing w:line="240" w:lineRule="auto"/>
              <w:ind w:hanging="73"/>
              <w:jc w:val="right"/>
              <w:rPr>
                <w:rFonts w:cs="Arial"/>
                <w:sz w:val="16"/>
                <w:szCs w:val="16"/>
              </w:rPr>
            </w:pPr>
            <w:r>
              <w:rPr>
                <w:sz w:val="16"/>
              </w:rPr>
              <w:t>Zenb.</w:t>
            </w:r>
          </w:p>
        </w:tc>
      </w:tr>
      <w:tr w:rsidR="0017101E" w:rsidRPr="00EF33ED" w14:paraId="3838AD3F" w14:textId="77777777" w:rsidTr="009E367B">
        <w:trPr>
          <w:trHeight w:val="198"/>
          <w:jc w:val="center"/>
        </w:trPr>
        <w:tc>
          <w:tcPr>
            <w:tcW w:w="993" w:type="dxa"/>
            <w:tcBorders>
              <w:top w:val="nil"/>
              <w:left w:val="nil"/>
              <w:bottom w:val="single" w:sz="2" w:space="0" w:color="auto"/>
            </w:tcBorders>
            <w:shd w:val="clear" w:color="auto" w:fill="auto"/>
            <w:noWrap/>
            <w:vAlign w:val="center"/>
            <w:hideMark/>
          </w:tcPr>
          <w:p w14:paraId="2736276C" w14:textId="77777777" w:rsidR="0017101E" w:rsidRPr="00EF33ED" w:rsidRDefault="0017101E" w:rsidP="00EF33ED">
            <w:pPr>
              <w:pStyle w:val="cuatexto"/>
              <w:spacing w:line="240" w:lineRule="auto"/>
              <w:rPr>
                <w:sz w:val="18"/>
                <w:szCs w:val="18"/>
              </w:rPr>
            </w:pPr>
            <w:r>
              <w:rPr>
                <w:sz w:val="18"/>
              </w:rPr>
              <w:t>Obrak</w:t>
            </w:r>
          </w:p>
        </w:tc>
        <w:tc>
          <w:tcPr>
            <w:tcW w:w="498" w:type="dxa"/>
            <w:tcBorders>
              <w:top w:val="nil"/>
              <w:bottom w:val="single" w:sz="2" w:space="0" w:color="auto"/>
            </w:tcBorders>
            <w:shd w:val="clear" w:color="auto" w:fill="auto"/>
            <w:noWrap/>
            <w:vAlign w:val="center"/>
            <w:hideMark/>
          </w:tcPr>
          <w:p w14:paraId="60F564E8"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176</w:t>
            </w:r>
          </w:p>
        </w:tc>
        <w:tc>
          <w:tcPr>
            <w:tcW w:w="705" w:type="dxa"/>
            <w:tcBorders>
              <w:top w:val="nil"/>
              <w:bottom w:val="single" w:sz="2" w:space="0" w:color="auto"/>
            </w:tcBorders>
            <w:shd w:val="clear" w:color="auto" w:fill="auto"/>
            <w:noWrap/>
            <w:vAlign w:val="center"/>
            <w:hideMark/>
          </w:tcPr>
          <w:p w14:paraId="4EE25ACE"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110.499</w:t>
            </w:r>
          </w:p>
        </w:tc>
        <w:tc>
          <w:tcPr>
            <w:tcW w:w="308" w:type="dxa"/>
            <w:tcBorders>
              <w:top w:val="nil"/>
              <w:bottom w:val="single" w:sz="2" w:space="0" w:color="auto"/>
            </w:tcBorders>
            <w:shd w:val="clear" w:color="auto" w:fill="auto"/>
            <w:noWrap/>
            <w:vAlign w:val="center"/>
            <w:hideMark/>
          </w:tcPr>
          <w:p w14:paraId="29654CF9"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 xml:space="preserve"> 1 </w:t>
            </w:r>
          </w:p>
        </w:tc>
        <w:tc>
          <w:tcPr>
            <w:tcW w:w="473" w:type="dxa"/>
            <w:tcBorders>
              <w:top w:val="nil"/>
              <w:bottom w:val="single" w:sz="2" w:space="0" w:color="auto"/>
            </w:tcBorders>
            <w:shd w:val="clear" w:color="auto" w:fill="auto"/>
            <w:noWrap/>
            <w:vAlign w:val="center"/>
            <w:hideMark/>
          </w:tcPr>
          <w:p w14:paraId="0CD124DB"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38</w:t>
            </w:r>
          </w:p>
        </w:tc>
        <w:tc>
          <w:tcPr>
            <w:tcW w:w="284" w:type="dxa"/>
            <w:tcBorders>
              <w:top w:val="nil"/>
              <w:bottom w:val="single" w:sz="2" w:space="0" w:color="auto"/>
            </w:tcBorders>
            <w:shd w:val="clear" w:color="auto" w:fill="auto"/>
            <w:noWrap/>
            <w:vAlign w:val="center"/>
            <w:hideMark/>
          </w:tcPr>
          <w:p w14:paraId="2CC21B90"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2</w:t>
            </w:r>
          </w:p>
        </w:tc>
        <w:tc>
          <w:tcPr>
            <w:tcW w:w="426" w:type="dxa"/>
            <w:tcBorders>
              <w:top w:val="nil"/>
              <w:bottom w:val="single" w:sz="2" w:space="0" w:color="auto"/>
            </w:tcBorders>
            <w:shd w:val="clear" w:color="auto" w:fill="auto"/>
            <w:noWrap/>
            <w:vAlign w:val="center"/>
            <w:hideMark/>
          </w:tcPr>
          <w:p w14:paraId="1DCDD72D"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162</w:t>
            </w:r>
          </w:p>
        </w:tc>
        <w:tc>
          <w:tcPr>
            <w:tcW w:w="401" w:type="dxa"/>
            <w:tcBorders>
              <w:top w:val="nil"/>
              <w:bottom w:val="single" w:sz="2" w:space="0" w:color="auto"/>
            </w:tcBorders>
            <w:shd w:val="clear" w:color="auto" w:fill="auto"/>
            <w:noWrap/>
            <w:vAlign w:val="center"/>
            <w:hideMark/>
          </w:tcPr>
          <w:p w14:paraId="43F02807"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79</w:t>
            </w:r>
          </w:p>
        </w:tc>
        <w:tc>
          <w:tcPr>
            <w:tcW w:w="588" w:type="dxa"/>
            <w:tcBorders>
              <w:top w:val="nil"/>
              <w:bottom w:val="single" w:sz="2" w:space="0" w:color="auto"/>
            </w:tcBorders>
            <w:shd w:val="clear" w:color="auto" w:fill="auto"/>
            <w:noWrap/>
            <w:vAlign w:val="center"/>
            <w:hideMark/>
          </w:tcPr>
          <w:p w14:paraId="33446C8E"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5.958</w:t>
            </w:r>
          </w:p>
        </w:tc>
        <w:tc>
          <w:tcPr>
            <w:tcW w:w="405" w:type="dxa"/>
            <w:tcBorders>
              <w:top w:val="nil"/>
              <w:bottom w:val="single" w:sz="2" w:space="0" w:color="auto"/>
            </w:tcBorders>
            <w:shd w:val="clear" w:color="auto" w:fill="auto"/>
            <w:noWrap/>
            <w:vAlign w:val="center"/>
            <w:hideMark/>
          </w:tcPr>
          <w:p w14:paraId="5E88EA72"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11</w:t>
            </w:r>
          </w:p>
        </w:tc>
        <w:tc>
          <w:tcPr>
            <w:tcW w:w="591" w:type="dxa"/>
            <w:tcBorders>
              <w:top w:val="nil"/>
              <w:bottom w:val="single" w:sz="2" w:space="0" w:color="auto"/>
            </w:tcBorders>
            <w:shd w:val="clear" w:color="auto" w:fill="auto"/>
            <w:noWrap/>
            <w:vAlign w:val="center"/>
            <w:hideMark/>
          </w:tcPr>
          <w:p w14:paraId="02D8285F"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1.479</w:t>
            </w:r>
          </w:p>
        </w:tc>
        <w:tc>
          <w:tcPr>
            <w:tcW w:w="424" w:type="dxa"/>
            <w:tcBorders>
              <w:top w:val="nil"/>
              <w:bottom w:val="single" w:sz="2" w:space="0" w:color="auto"/>
            </w:tcBorders>
            <w:shd w:val="clear" w:color="auto" w:fill="auto"/>
            <w:noWrap/>
            <w:vAlign w:val="center"/>
            <w:hideMark/>
          </w:tcPr>
          <w:p w14:paraId="73999762"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3</w:t>
            </w:r>
          </w:p>
        </w:tc>
        <w:tc>
          <w:tcPr>
            <w:tcW w:w="709" w:type="dxa"/>
            <w:tcBorders>
              <w:top w:val="nil"/>
              <w:bottom w:val="single" w:sz="2" w:space="0" w:color="auto"/>
            </w:tcBorders>
            <w:shd w:val="clear" w:color="auto" w:fill="auto"/>
            <w:noWrap/>
            <w:vAlign w:val="center"/>
            <w:hideMark/>
          </w:tcPr>
          <w:p w14:paraId="6F5909ED"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141</w:t>
            </w:r>
          </w:p>
        </w:tc>
        <w:tc>
          <w:tcPr>
            <w:tcW w:w="425" w:type="dxa"/>
            <w:tcBorders>
              <w:top w:val="nil"/>
              <w:bottom w:val="single" w:sz="2" w:space="0" w:color="auto"/>
            </w:tcBorders>
            <w:shd w:val="clear" w:color="auto" w:fill="auto"/>
            <w:noWrap/>
            <w:vAlign w:val="center"/>
            <w:hideMark/>
          </w:tcPr>
          <w:p w14:paraId="02DC4293"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9</w:t>
            </w:r>
          </w:p>
        </w:tc>
        <w:tc>
          <w:tcPr>
            <w:tcW w:w="566" w:type="dxa"/>
            <w:tcBorders>
              <w:top w:val="nil"/>
              <w:bottom w:val="single" w:sz="2" w:space="0" w:color="auto"/>
            </w:tcBorders>
            <w:shd w:val="clear" w:color="auto" w:fill="auto"/>
            <w:noWrap/>
            <w:vAlign w:val="center"/>
            <w:hideMark/>
          </w:tcPr>
          <w:p w14:paraId="3189AF75"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756</w:t>
            </w:r>
          </w:p>
        </w:tc>
        <w:tc>
          <w:tcPr>
            <w:tcW w:w="425" w:type="dxa"/>
            <w:tcBorders>
              <w:top w:val="nil"/>
              <w:bottom w:val="single" w:sz="2" w:space="0" w:color="auto"/>
            </w:tcBorders>
            <w:shd w:val="clear" w:color="auto" w:fill="auto"/>
            <w:noWrap/>
            <w:vAlign w:val="center"/>
            <w:hideMark/>
          </w:tcPr>
          <w:p w14:paraId="7A56C143" w14:textId="77777777" w:rsidR="0017101E" w:rsidRPr="00EF33ED" w:rsidRDefault="0017101E" w:rsidP="001D196E">
            <w:pPr>
              <w:spacing w:after="0"/>
              <w:ind w:hanging="73"/>
              <w:jc w:val="right"/>
              <w:rPr>
                <w:rFonts w:ascii="Arial Narrow" w:hAnsi="Arial Narrow" w:cs="Calibri"/>
                <w:bCs/>
                <w:color w:val="000000"/>
                <w:sz w:val="18"/>
                <w:szCs w:val="18"/>
              </w:rPr>
            </w:pPr>
            <w:r>
              <w:rPr>
                <w:rFonts w:ascii="Arial Narrow" w:hAnsi="Arial Narrow"/>
                <w:color w:val="000000"/>
                <w:sz w:val="18"/>
              </w:rPr>
              <w:t xml:space="preserve"> 281 </w:t>
            </w:r>
          </w:p>
        </w:tc>
        <w:tc>
          <w:tcPr>
            <w:tcW w:w="709" w:type="dxa"/>
            <w:tcBorders>
              <w:top w:val="nil"/>
              <w:bottom w:val="single" w:sz="2" w:space="0" w:color="auto"/>
              <w:right w:val="nil"/>
            </w:tcBorders>
            <w:shd w:val="clear" w:color="auto" w:fill="auto"/>
            <w:noWrap/>
            <w:vAlign w:val="center"/>
            <w:hideMark/>
          </w:tcPr>
          <w:p w14:paraId="028E66AE"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119.031</w:t>
            </w:r>
          </w:p>
        </w:tc>
      </w:tr>
      <w:tr w:rsidR="0017101E" w:rsidRPr="00EF33ED" w14:paraId="45F71317" w14:textId="77777777" w:rsidTr="009E367B">
        <w:trPr>
          <w:trHeight w:val="198"/>
          <w:jc w:val="center"/>
        </w:trPr>
        <w:tc>
          <w:tcPr>
            <w:tcW w:w="993" w:type="dxa"/>
            <w:tcBorders>
              <w:top w:val="single" w:sz="2" w:space="0" w:color="auto"/>
              <w:left w:val="nil"/>
              <w:bottom w:val="single" w:sz="2" w:space="0" w:color="auto"/>
            </w:tcBorders>
            <w:shd w:val="clear" w:color="auto" w:fill="auto"/>
            <w:noWrap/>
            <w:vAlign w:val="center"/>
            <w:hideMark/>
          </w:tcPr>
          <w:p w14:paraId="0991B5D7" w14:textId="77777777" w:rsidR="0017101E" w:rsidRPr="00EF33ED" w:rsidRDefault="0017101E" w:rsidP="00EF33ED">
            <w:pPr>
              <w:pStyle w:val="cuatexto"/>
              <w:spacing w:line="240" w:lineRule="auto"/>
              <w:rPr>
                <w:sz w:val="18"/>
                <w:szCs w:val="18"/>
              </w:rPr>
            </w:pPr>
            <w:r>
              <w:rPr>
                <w:sz w:val="18"/>
              </w:rPr>
              <w:t>Zerbitzuak</w:t>
            </w:r>
          </w:p>
        </w:tc>
        <w:tc>
          <w:tcPr>
            <w:tcW w:w="498" w:type="dxa"/>
            <w:tcBorders>
              <w:top w:val="single" w:sz="2" w:space="0" w:color="auto"/>
              <w:bottom w:val="single" w:sz="2" w:space="0" w:color="auto"/>
            </w:tcBorders>
            <w:shd w:val="clear" w:color="auto" w:fill="auto"/>
            <w:noWrap/>
            <w:vAlign w:val="center"/>
            <w:hideMark/>
          </w:tcPr>
          <w:p w14:paraId="09E31CEC"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139</w:t>
            </w:r>
          </w:p>
        </w:tc>
        <w:tc>
          <w:tcPr>
            <w:tcW w:w="705" w:type="dxa"/>
            <w:tcBorders>
              <w:top w:val="single" w:sz="2" w:space="0" w:color="auto"/>
              <w:bottom w:val="single" w:sz="2" w:space="0" w:color="auto"/>
            </w:tcBorders>
            <w:shd w:val="clear" w:color="auto" w:fill="auto"/>
            <w:noWrap/>
            <w:vAlign w:val="center"/>
            <w:hideMark/>
          </w:tcPr>
          <w:p w14:paraId="433B25D3"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32.818</w:t>
            </w:r>
          </w:p>
        </w:tc>
        <w:tc>
          <w:tcPr>
            <w:tcW w:w="308" w:type="dxa"/>
            <w:tcBorders>
              <w:top w:val="single" w:sz="2" w:space="0" w:color="auto"/>
              <w:bottom w:val="single" w:sz="2" w:space="0" w:color="auto"/>
            </w:tcBorders>
            <w:shd w:val="clear" w:color="auto" w:fill="auto"/>
            <w:noWrap/>
            <w:vAlign w:val="center"/>
            <w:hideMark/>
          </w:tcPr>
          <w:p w14:paraId="0E19070B"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 -</w:t>
            </w:r>
          </w:p>
        </w:tc>
        <w:tc>
          <w:tcPr>
            <w:tcW w:w="473" w:type="dxa"/>
            <w:tcBorders>
              <w:top w:val="single" w:sz="2" w:space="0" w:color="auto"/>
              <w:bottom w:val="single" w:sz="2" w:space="0" w:color="auto"/>
            </w:tcBorders>
            <w:shd w:val="clear" w:color="auto" w:fill="auto"/>
            <w:noWrap/>
            <w:vAlign w:val="center"/>
            <w:hideMark/>
          </w:tcPr>
          <w:p w14:paraId="1096122A"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284" w:type="dxa"/>
            <w:tcBorders>
              <w:top w:val="single" w:sz="2" w:space="0" w:color="auto"/>
              <w:bottom w:val="single" w:sz="2" w:space="0" w:color="auto"/>
            </w:tcBorders>
            <w:shd w:val="clear" w:color="auto" w:fill="auto"/>
            <w:noWrap/>
            <w:vAlign w:val="center"/>
            <w:hideMark/>
          </w:tcPr>
          <w:p w14:paraId="33A66D29"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w:t>
            </w:r>
          </w:p>
        </w:tc>
        <w:tc>
          <w:tcPr>
            <w:tcW w:w="426" w:type="dxa"/>
            <w:tcBorders>
              <w:top w:val="single" w:sz="2" w:space="0" w:color="auto"/>
              <w:bottom w:val="single" w:sz="2" w:space="0" w:color="auto"/>
            </w:tcBorders>
            <w:shd w:val="clear" w:color="auto" w:fill="auto"/>
            <w:noWrap/>
            <w:vAlign w:val="center"/>
            <w:hideMark/>
          </w:tcPr>
          <w:p w14:paraId="174B1212"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60</w:t>
            </w:r>
          </w:p>
        </w:tc>
        <w:tc>
          <w:tcPr>
            <w:tcW w:w="401" w:type="dxa"/>
            <w:tcBorders>
              <w:top w:val="single" w:sz="2" w:space="0" w:color="auto"/>
              <w:bottom w:val="single" w:sz="2" w:space="0" w:color="auto"/>
            </w:tcBorders>
            <w:shd w:val="clear" w:color="auto" w:fill="auto"/>
            <w:noWrap/>
            <w:vAlign w:val="center"/>
            <w:hideMark/>
          </w:tcPr>
          <w:p w14:paraId="2210EED3"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32</w:t>
            </w:r>
          </w:p>
        </w:tc>
        <w:tc>
          <w:tcPr>
            <w:tcW w:w="588" w:type="dxa"/>
            <w:tcBorders>
              <w:top w:val="single" w:sz="2" w:space="0" w:color="auto"/>
              <w:bottom w:val="single" w:sz="2" w:space="0" w:color="auto"/>
            </w:tcBorders>
            <w:shd w:val="clear" w:color="auto" w:fill="auto"/>
            <w:noWrap/>
            <w:vAlign w:val="center"/>
            <w:hideMark/>
          </w:tcPr>
          <w:p w14:paraId="5A9DDCF2"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850</w:t>
            </w:r>
          </w:p>
        </w:tc>
        <w:tc>
          <w:tcPr>
            <w:tcW w:w="405" w:type="dxa"/>
            <w:tcBorders>
              <w:top w:val="single" w:sz="2" w:space="0" w:color="auto"/>
              <w:bottom w:val="single" w:sz="2" w:space="0" w:color="auto"/>
            </w:tcBorders>
            <w:shd w:val="clear" w:color="auto" w:fill="auto"/>
            <w:noWrap/>
            <w:vAlign w:val="center"/>
            <w:hideMark/>
          </w:tcPr>
          <w:p w14:paraId="6474E532"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w:t>
            </w:r>
          </w:p>
        </w:tc>
        <w:tc>
          <w:tcPr>
            <w:tcW w:w="591" w:type="dxa"/>
            <w:tcBorders>
              <w:top w:val="single" w:sz="2" w:space="0" w:color="auto"/>
              <w:bottom w:val="single" w:sz="2" w:space="0" w:color="auto"/>
            </w:tcBorders>
            <w:shd w:val="clear" w:color="auto" w:fill="auto"/>
            <w:noWrap/>
            <w:vAlign w:val="center"/>
            <w:hideMark/>
          </w:tcPr>
          <w:p w14:paraId="4BAEDB6F"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264</w:t>
            </w:r>
          </w:p>
        </w:tc>
        <w:tc>
          <w:tcPr>
            <w:tcW w:w="424" w:type="dxa"/>
            <w:tcBorders>
              <w:top w:val="single" w:sz="2" w:space="0" w:color="auto"/>
              <w:bottom w:val="single" w:sz="2" w:space="0" w:color="auto"/>
            </w:tcBorders>
            <w:shd w:val="clear" w:color="auto" w:fill="auto"/>
            <w:noWrap/>
            <w:vAlign w:val="center"/>
            <w:hideMark/>
          </w:tcPr>
          <w:p w14:paraId="62218FB3"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13</w:t>
            </w:r>
          </w:p>
        </w:tc>
        <w:tc>
          <w:tcPr>
            <w:tcW w:w="709" w:type="dxa"/>
            <w:tcBorders>
              <w:top w:val="single" w:sz="2" w:space="0" w:color="auto"/>
              <w:bottom w:val="single" w:sz="2" w:space="0" w:color="auto"/>
            </w:tcBorders>
            <w:shd w:val="clear" w:color="auto" w:fill="auto"/>
            <w:noWrap/>
            <w:vAlign w:val="center"/>
            <w:hideMark/>
          </w:tcPr>
          <w:p w14:paraId="2800D342"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805</w:t>
            </w:r>
          </w:p>
        </w:tc>
        <w:tc>
          <w:tcPr>
            <w:tcW w:w="425" w:type="dxa"/>
            <w:tcBorders>
              <w:top w:val="single" w:sz="2" w:space="0" w:color="auto"/>
              <w:bottom w:val="single" w:sz="2" w:space="0" w:color="auto"/>
            </w:tcBorders>
            <w:shd w:val="clear" w:color="auto" w:fill="auto"/>
            <w:noWrap/>
            <w:vAlign w:val="center"/>
            <w:hideMark/>
          </w:tcPr>
          <w:p w14:paraId="0AA0F6D4"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 -</w:t>
            </w:r>
          </w:p>
        </w:tc>
        <w:tc>
          <w:tcPr>
            <w:tcW w:w="566" w:type="dxa"/>
            <w:tcBorders>
              <w:top w:val="single" w:sz="2" w:space="0" w:color="auto"/>
              <w:bottom w:val="single" w:sz="2" w:space="0" w:color="auto"/>
            </w:tcBorders>
            <w:shd w:val="clear" w:color="auto" w:fill="auto"/>
            <w:noWrap/>
            <w:vAlign w:val="center"/>
            <w:hideMark/>
          </w:tcPr>
          <w:p w14:paraId="48F00459"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425" w:type="dxa"/>
            <w:tcBorders>
              <w:top w:val="single" w:sz="2" w:space="0" w:color="auto"/>
              <w:bottom w:val="single" w:sz="2" w:space="0" w:color="auto"/>
            </w:tcBorders>
            <w:shd w:val="clear" w:color="auto" w:fill="auto"/>
            <w:noWrap/>
            <w:vAlign w:val="center"/>
            <w:hideMark/>
          </w:tcPr>
          <w:p w14:paraId="21AA3459" w14:textId="77777777" w:rsidR="0017101E" w:rsidRPr="00EF33ED" w:rsidRDefault="0017101E" w:rsidP="001D196E">
            <w:pPr>
              <w:spacing w:after="0"/>
              <w:ind w:hanging="73"/>
              <w:jc w:val="right"/>
              <w:rPr>
                <w:rFonts w:ascii="Arial Narrow" w:hAnsi="Arial Narrow" w:cs="Calibri"/>
                <w:bCs/>
                <w:color w:val="000000"/>
                <w:sz w:val="18"/>
                <w:szCs w:val="18"/>
              </w:rPr>
            </w:pPr>
            <w:r>
              <w:rPr>
                <w:rFonts w:ascii="Arial Narrow" w:hAnsi="Arial Narrow"/>
                <w:color w:val="000000"/>
                <w:sz w:val="18"/>
              </w:rPr>
              <w:t xml:space="preserve"> 186 </w:t>
            </w:r>
          </w:p>
        </w:tc>
        <w:tc>
          <w:tcPr>
            <w:tcW w:w="709" w:type="dxa"/>
            <w:tcBorders>
              <w:top w:val="single" w:sz="2" w:space="0" w:color="auto"/>
              <w:bottom w:val="single" w:sz="2" w:space="0" w:color="auto"/>
              <w:right w:val="nil"/>
            </w:tcBorders>
            <w:shd w:val="clear" w:color="auto" w:fill="auto"/>
            <w:noWrap/>
            <w:vAlign w:val="center"/>
            <w:hideMark/>
          </w:tcPr>
          <w:p w14:paraId="11DA46A8"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34.796</w:t>
            </w:r>
          </w:p>
        </w:tc>
      </w:tr>
      <w:tr w:rsidR="0017101E" w:rsidRPr="00EF33ED" w14:paraId="369C3F33" w14:textId="77777777" w:rsidTr="009E367B">
        <w:trPr>
          <w:trHeight w:val="198"/>
          <w:jc w:val="center"/>
        </w:trPr>
        <w:tc>
          <w:tcPr>
            <w:tcW w:w="993" w:type="dxa"/>
            <w:tcBorders>
              <w:top w:val="single" w:sz="2" w:space="0" w:color="auto"/>
              <w:left w:val="nil"/>
              <w:bottom w:val="single" w:sz="2" w:space="0" w:color="auto"/>
            </w:tcBorders>
            <w:shd w:val="clear" w:color="auto" w:fill="auto"/>
            <w:noWrap/>
            <w:vAlign w:val="center"/>
            <w:hideMark/>
          </w:tcPr>
          <w:p w14:paraId="092FBE30" w14:textId="77777777" w:rsidR="0017101E" w:rsidRPr="00EF33ED" w:rsidRDefault="0017101E" w:rsidP="00EF33ED">
            <w:pPr>
              <w:pStyle w:val="cuatexto"/>
              <w:spacing w:line="240" w:lineRule="auto"/>
              <w:rPr>
                <w:sz w:val="18"/>
                <w:szCs w:val="18"/>
              </w:rPr>
            </w:pPr>
            <w:r>
              <w:rPr>
                <w:sz w:val="18"/>
              </w:rPr>
              <w:t>Hornidurak</w:t>
            </w:r>
          </w:p>
        </w:tc>
        <w:tc>
          <w:tcPr>
            <w:tcW w:w="498" w:type="dxa"/>
            <w:tcBorders>
              <w:top w:val="single" w:sz="2" w:space="0" w:color="auto"/>
              <w:bottom w:val="single" w:sz="2" w:space="0" w:color="auto"/>
            </w:tcBorders>
            <w:shd w:val="clear" w:color="auto" w:fill="auto"/>
            <w:noWrap/>
            <w:vAlign w:val="center"/>
            <w:hideMark/>
          </w:tcPr>
          <w:p w14:paraId="30CBA9E8"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106</w:t>
            </w:r>
          </w:p>
        </w:tc>
        <w:tc>
          <w:tcPr>
            <w:tcW w:w="705" w:type="dxa"/>
            <w:tcBorders>
              <w:top w:val="single" w:sz="2" w:space="0" w:color="auto"/>
              <w:bottom w:val="single" w:sz="2" w:space="0" w:color="auto"/>
            </w:tcBorders>
            <w:shd w:val="clear" w:color="auto" w:fill="auto"/>
            <w:noWrap/>
            <w:vAlign w:val="center"/>
            <w:hideMark/>
          </w:tcPr>
          <w:p w14:paraId="37F61CBB"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10.943</w:t>
            </w:r>
          </w:p>
        </w:tc>
        <w:tc>
          <w:tcPr>
            <w:tcW w:w="308" w:type="dxa"/>
            <w:tcBorders>
              <w:top w:val="single" w:sz="2" w:space="0" w:color="auto"/>
              <w:bottom w:val="single" w:sz="2" w:space="0" w:color="auto"/>
            </w:tcBorders>
            <w:shd w:val="clear" w:color="auto" w:fill="auto"/>
            <w:noWrap/>
            <w:vAlign w:val="center"/>
            <w:hideMark/>
          </w:tcPr>
          <w:p w14:paraId="743B5442"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 -</w:t>
            </w:r>
          </w:p>
        </w:tc>
        <w:tc>
          <w:tcPr>
            <w:tcW w:w="473" w:type="dxa"/>
            <w:tcBorders>
              <w:top w:val="single" w:sz="2" w:space="0" w:color="auto"/>
              <w:bottom w:val="single" w:sz="2" w:space="0" w:color="auto"/>
            </w:tcBorders>
            <w:shd w:val="clear" w:color="auto" w:fill="auto"/>
            <w:noWrap/>
            <w:vAlign w:val="center"/>
            <w:hideMark/>
          </w:tcPr>
          <w:p w14:paraId="60D9EF91"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284" w:type="dxa"/>
            <w:tcBorders>
              <w:top w:val="single" w:sz="2" w:space="0" w:color="auto"/>
              <w:bottom w:val="single" w:sz="2" w:space="0" w:color="auto"/>
            </w:tcBorders>
            <w:shd w:val="clear" w:color="auto" w:fill="auto"/>
            <w:noWrap/>
            <w:vAlign w:val="center"/>
            <w:hideMark/>
          </w:tcPr>
          <w:p w14:paraId="64E14F55"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w:t>
            </w:r>
          </w:p>
        </w:tc>
        <w:tc>
          <w:tcPr>
            <w:tcW w:w="426" w:type="dxa"/>
            <w:tcBorders>
              <w:top w:val="single" w:sz="2" w:space="0" w:color="auto"/>
              <w:bottom w:val="single" w:sz="2" w:space="0" w:color="auto"/>
            </w:tcBorders>
            <w:shd w:val="clear" w:color="auto" w:fill="auto"/>
            <w:noWrap/>
            <w:vAlign w:val="center"/>
            <w:hideMark/>
          </w:tcPr>
          <w:p w14:paraId="6A89157D"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150</w:t>
            </w:r>
          </w:p>
        </w:tc>
        <w:tc>
          <w:tcPr>
            <w:tcW w:w="401" w:type="dxa"/>
            <w:tcBorders>
              <w:top w:val="single" w:sz="2" w:space="0" w:color="auto"/>
              <w:bottom w:val="single" w:sz="2" w:space="0" w:color="auto"/>
            </w:tcBorders>
            <w:shd w:val="clear" w:color="auto" w:fill="auto"/>
            <w:noWrap/>
            <w:vAlign w:val="center"/>
            <w:hideMark/>
          </w:tcPr>
          <w:p w14:paraId="63ECE29B"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21</w:t>
            </w:r>
          </w:p>
        </w:tc>
        <w:tc>
          <w:tcPr>
            <w:tcW w:w="588" w:type="dxa"/>
            <w:tcBorders>
              <w:top w:val="single" w:sz="2" w:space="0" w:color="auto"/>
              <w:bottom w:val="single" w:sz="2" w:space="0" w:color="auto"/>
            </w:tcBorders>
            <w:shd w:val="clear" w:color="auto" w:fill="auto"/>
            <w:noWrap/>
            <w:vAlign w:val="center"/>
            <w:hideMark/>
          </w:tcPr>
          <w:p w14:paraId="35168856"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658</w:t>
            </w:r>
          </w:p>
        </w:tc>
        <w:tc>
          <w:tcPr>
            <w:tcW w:w="405" w:type="dxa"/>
            <w:tcBorders>
              <w:top w:val="single" w:sz="2" w:space="0" w:color="auto"/>
              <w:bottom w:val="single" w:sz="2" w:space="0" w:color="auto"/>
            </w:tcBorders>
            <w:shd w:val="clear" w:color="auto" w:fill="auto"/>
            <w:noWrap/>
            <w:vAlign w:val="center"/>
            <w:hideMark/>
          </w:tcPr>
          <w:p w14:paraId="50ED22E0"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 </w:t>
            </w:r>
          </w:p>
        </w:tc>
        <w:tc>
          <w:tcPr>
            <w:tcW w:w="591" w:type="dxa"/>
            <w:tcBorders>
              <w:top w:val="single" w:sz="2" w:space="0" w:color="auto"/>
              <w:bottom w:val="single" w:sz="2" w:space="0" w:color="auto"/>
            </w:tcBorders>
            <w:shd w:val="clear" w:color="auto" w:fill="auto"/>
            <w:noWrap/>
            <w:vAlign w:val="center"/>
            <w:hideMark/>
          </w:tcPr>
          <w:p w14:paraId="0812ED9E"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424" w:type="dxa"/>
            <w:tcBorders>
              <w:top w:val="single" w:sz="2" w:space="0" w:color="auto"/>
              <w:bottom w:val="single" w:sz="2" w:space="0" w:color="auto"/>
            </w:tcBorders>
            <w:shd w:val="clear" w:color="auto" w:fill="auto"/>
            <w:noWrap/>
            <w:vAlign w:val="center"/>
            <w:hideMark/>
          </w:tcPr>
          <w:p w14:paraId="0D246AF9"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7</w:t>
            </w:r>
          </w:p>
        </w:tc>
        <w:tc>
          <w:tcPr>
            <w:tcW w:w="709" w:type="dxa"/>
            <w:tcBorders>
              <w:top w:val="single" w:sz="2" w:space="0" w:color="auto"/>
              <w:bottom w:val="single" w:sz="2" w:space="0" w:color="auto"/>
            </w:tcBorders>
            <w:shd w:val="clear" w:color="auto" w:fill="auto"/>
            <w:noWrap/>
            <w:vAlign w:val="center"/>
            <w:hideMark/>
          </w:tcPr>
          <w:p w14:paraId="5DF22ACE"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2.128</w:t>
            </w:r>
          </w:p>
        </w:tc>
        <w:tc>
          <w:tcPr>
            <w:tcW w:w="425" w:type="dxa"/>
            <w:tcBorders>
              <w:top w:val="single" w:sz="2" w:space="0" w:color="auto"/>
              <w:bottom w:val="single" w:sz="2" w:space="0" w:color="auto"/>
            </w:tcBorders>
            <w:shd w:val="clear" w:color="auto" w:fill="auto"/>
            <w:noWrap/>
            <w:vAlign w:val="center"/>
            <w:hideMark/>
          </w:tcPr>
          <w:p w14:paraId="30FB2EC7"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566" w:type="dxa"/>
            <w:tcBorders>
              <w:top w:val="single" w:sz="2" w:space="0" w:color="auto"/>
              <w:bottom w:val="single" w:sz="2" w:space="0" w:color="auto"/>
            </w:tcBorders>
            <w:shd w:val="clear" w:color="auto" w:fill="auto"/>
            <w:noWrap/>
            <w:vAlign w:val="center"/>
            <w:hideMark/>
          </w:tcPr>
          <w:p w14:paraId="3A53A7B2"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425" w:type="dxa"/>
            <w:tcBorders>
              <w:top w:val="single" w:sz="2" w:space="0" w:color="auto"/>
              <w:bottom w:val="single" w:sz="2" w:space="0" w:color="auto"/>
            </w:tcBorders>
            <w:shd w:val="clear" w:color="auto" w:fill="auto"/>
            <w:noWrap/>
            <w:vAlign w:val="center"/>
            <w:hideMark/>
          </w:tcPr>
          <w:p w14:paraId="789683AA" w14:textId="77777777" w:rsidR="0017101E" w:rsidRPr="00EF33ED" w:rsidRDefault="0017101E" w:rsidP="001D196E">
            <w:pPr>
              <w:spacing w:after="0"/>
              <w:ind w:hanging="73"/>
              <w:jc w:val="right"/>
              <w:rPr>
                <w:rFonts w:ascii="Arial Narrow" w:hAnsi="Arial Narrow" w:cs="Calibri"/>
                <w:bCs/>
                <w:color w:val="000000"/>
                <w:sz w:val="18"/>
                <w:szCs w:val="18"/>
              </w:rPr>
            </w:pPr>
            <w:r>
              <w:rPr>
                <w:rFonts w:ascii="Arial Narrow" w:hAnsi="Arial Narrow"/>
                <w:color w:val="000000"/>
                <w:sz w:val="18"/>
              </w:rPr>
              <w:t xml:space="preserve"> 135 </w:t>
            </w:r>
          </w:p>
        </w:tc>
        <w:tc>
          <w:tcPr>
            <w:tcW w:w="709" w:type="dxa"/>
            <w:tcBorders>
              <w:top w:val="single" w:sz="2" w:space="0" w:color="auto"/>
              <w:bottom w:val="single" w:sz="2" w:space="0" w:color="auto"/>
              <w:right w:val="nil"/>
            </w:tcBorders>
            <w:shd w:val="clear" w:color="auto" w:fill="auto"/>
            <w:noWrap/>
            <w:vAlign w:val="center"/>
            <w:hideMark/>
          </w:tcPr>
          <w:p w14:paraId="409B05A9"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13.878</w:t>
            </w:r>
          </w:p>
        </w:tc>
      </w:tr>
      <w:tr w:rsidR="0017101E" w:rsidRPr="00EF33ED" w14:paraId="5D2B8CA1" w14:textId="77777777" w:rsidTr="009E367B">
        <w:trPr>
          <w:trHeight w:val="198"/>
          <w:jc w:val="center"/>
        </w:trPr>
        <w:tc>
          <w:tcPr>
            <w:tcW w:w="993" w:type="dxa"/>
            <w:tcBorders>
              <w:top w:val="single" w:sz="2" w:space="0" w:color="auto"/>
              <w:left w:val="nil"/>
              <w:bottom w:val="single" w:sz="4" w:space="0" w:color="auto"/>
            </w:tcBorders>
            <w:shd w:val="clear" w:color="auto" w:fill="auto"/>
            <w:noWrap/>
            <w:vAlign w:val="center"/>
            <w:hideMark/>
          </w:tcPr>
          <w:p w14:paraId="26BA8D44" w14:textId="77777777" w:rsidR="0017101E" w:rsidRPr="00EF33ED" w:rsidRDefault="0017101E" w:rsidP="00EF33ED">
            <w:pPr>
              <w:pStyle w:val="cuatexto"/>
              <w:spacing w:line="240" w:lineRule="auto"/>
              <w:rPr>
                <w:sz w:val="18"/>
                <w:szCs w:val="18"/>
              </w:rPr>
            </w:pPr>
            <w:r>
              <w:rPr>
                <w:sz w:val="18"/>
              </w:rPr>
              <w:t>Zerbitzu-emakidak</w:t>
            </w:r>
          </w:p>
        </w:tc>
        <w:tc>
          <w:tcPr>
            <w:tcW w:w="498" w:type="dxa"/>
            <w:tcBorders>
              <w:top w:val="single" w:sz="2" w:space="0" w:color="auto"/>
              <w:bottom w:val="single" w:sz="4" w:space="0" w:color="auto"/>
            </w:tcBorders>
            <w:shd w:val="clear" w:color="auto" w:fill="auto"/>
            <w:noWrap/>
            <w:vAlign w:val="center"/>
            <w:hideMark/>
          </w:tcPr>
          <w:p w14:paraId="1391D46B"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9</w:t>
            </w:r>
          </w:p>
        </w:tc>
        <w:tc>
          <w:tcPr>
            <w:tcW w:w="705" w:type="dxa"/>
            <w:tcBorders>
              <w:top w:val="single" w:sz="2" w:space="0" w:color="auto"/>
              <w:bottom w:val="single" w:sz="4" w:space="0" w:color="auto"/>
            </w:tcBorders>
            <w:shd w:val="clear" w:color="auto" w:fill="auto"/>
            <w:noWrap/>
            <w:vAlign w:val="center"/>
            <w:hideMark/>
          </w:tcPr>
          <w:p w14:paraId="104D9469"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11.677</w:t>
            </w:r>
          </w:p>
        </w:tc>
        <w:tc>
          <w:tcPr>
            <w:tcW w:w="308" w:type="dxa"/>
            <w:tcBorders>
              <w:top w:val="single" w:sz="2" w:space="0" w:color="auto"/>
              <w:bottom w:val="single" w:sz="4" w:space="0" w:color="auto"/>
            </w:tcBorders>
            <w:shd w:val="clear" w:color="auto" w:fill="auto"/>
            <w:noWrap/>
            <w:vAlign w:val="center"/>
            <w:hideMark/>
          </w:tcPr>
          <w:p w14:paraId="0CAD1802"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 -</w:t>
            </w:r>
          </w:p>
        </w:tc>
        <w:tc>
          <w:tcPr>
            <w:tcW w:w="473" w:type="dxa"/>
            <w:tcBorders>
              <w:top w:val="single" w:sz="2" w:space="0" w:color="auto"/>
              <w:bottom w:val="single" w:sz="4" w:space="0" w:color="auto"/>
            </w:tcBorders>
            <w:shd w:val="clear" w:color="auto" w:fill="auto"/>
            <w:noWrap/>
            <w:vAlign w:val="center"/>
            <w:hideMark/>
          </w:tcPr>
          <w:p w14:paraId="0512896E"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284" w:type="dxa"/>
            <w:tcBorders>
              <w:top w:val="single" w:sz="2" w:space="0" w:color="auto"/>
              <w:bottom w:val="single" w:sz="4" w:space="0" w:color="auto"/>
            </w:tcBorders>
            <w:shd w:val="clear" w:color="auto" w:fill="auto"/>
            <w:noWrap/>
            <w:vAlign w:val="center"/>
            <w:hideMark/>
          </w:tcPr>
          <w:p w14:paraId="6644F91B"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426" w:type="dxa"/>
            <w:tcBorders>
              <w:top w:val="single" w:sz="2" w:space="0" w:color="auto"/>
              <w:bottom w:val="single" w:sz="4" w:space="0" w:color="auto"/>
            </w:tcBorders>
            <w:shd w:val="clear" w:color="auto" w:fill="auto"/>
            <w:noWrap/>
            <w:vAlign w:val="center"/>
            <w:hideMark/>
          </w:tcPr>
          <w:p w14:paraId="7EB2007A"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401" w:type="dxa"/>
            <w:tcBorders>
              <w:top w:val="single" w:sz="2" w:space="0" w:color="auto"/>
              <w:bottom w:val="single" w:sz="4" w:space="0" w:color="auto"/>
            </w:tcBorders>
            <w:shd w:val="clear" w:color="auto" w:fill="auto"/>
            <w:noWrap/>
            <w:vAlign w:val="center"/>
            <w:hideMark/>
          </w:tcPr>
          <w:p w14:paraId="30470A0D"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w:t>
            </w:r>
          </w:p>
        </w:tc>
        <w:tc>
          <w:tcPr>
            <w:tcW w:w="588" w:type="dxa"/>
            <w:tcBorders>
              <w:top w:val="single" w:sz="2" w:space="0" w:color="auto"/>
              <w:bottom w:val="single" w:sz="4" w:space="0" w:color="auto"/>
            </w:tcBorders>
            <w:shd w:val="clear" w:color="auto" w:fill="auto"/>
            <w:noWrap/>
            <w:vAlign w:val="center"/>
            <w:hideMark/>
          </w:tcPr>
          <w:p w14:paraId="1ABCEBE9"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4</w:t>
            </w:r>
          </w:p>
        </w:tc>
        <w:tc>
          <w:tcPr>
            <w:tcW w:w="405" w:type="dxa"/>
            <w:tcBorders>
              <w:top w:val="single" w:sz="2" w:space="0" w:color="auto"/>
              <w:bottom w:val="single" w:sz="4" w:space="0" w:color="auto"/>
            </w:tcBorders>
            <w:shd w:val="clear" w:color="auto" w:fill="auto"/>
            <w:noWrap/>
            <w:vAlign w:val="center"/>
            <w:hideMark/>
          </w:tcPr>
          <w:p w14:paraId="0A16BD44"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 </w:t>
            </w:r>
          </w:p>
        </w:tc>
        <w:tc>
          <w:tcPr>
            <w:tcW w:w="591" w:type="dxa"/>
            <w:tcBorders>
              <w:top w:val="single" w:sz="2" w:space="0" w:color="auto"/>
              <w:bottom w:val="single" w:sz="4" w:space="0" w:color="auto"/>
            </w:tcBorders>
            <w:shd w:val="clear" w:color="auto" w:fill="auto"/>
            <w:noWrap/>
            <w:vAlign w:val="center"/>
            <w:hideMark/>
          </w:tcPr>
          <w:p w14:paraId="46D21969"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424" w:type="dxa"/>
            <w:tcBorders>
              <w:top w:val="single" w:sz="2" w:space="0" w:color="auto"/>
              <w:bottom w:val="single" w:sz="4" w:space="0" w:color="auto"/>
            </w:tcBorders>
            <w:shd w:val="clear" w:color="auto" w:fill="auto"/>
            <w:noWrap/>
            <w:vAlign w:val="center"/>
            <w:hideMark/>
          </w:tcPr>
          <w:p w14:paraId="137965D0"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709" w:type="dxa"/>
            <w:tcBorders>
              <w:top w:val="single" w:sz="2" w:space="0" w:color="auto"/>
              <w:bottom w:val="single" w:sz="4" w:space="0" w:color="auto"/>
            </w:tcBorders>
            <w:shd w:val="clear" w:color="auto" w:fill="auto"/>
            <w:noWrap/>
            <w:vAlign w:val="center"/>
            <w:hideMark/>
          </w:tcPr>
          <w:p w14:paraId="4225F3DF"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425" w:type="dxa"/>
            <w:tcBorders>
              <w:top w:val="single" w:sz="2" w:space="0" w:color="auto"/>
              <w:bottom w:val="single" w:sz="4" w:space="0" w:color="auto"/>
            </w:tcBorders>
            <w:shd w:val="clear" w:color="auto" w:fill="auto"/>
            <w:noWrap/>
            <w:vAlign w:val="center"/>
            <w:hideMark/>
          </w:tcPr>
          <w:p w14:paraId="15BE4A3C"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566" w:type="dxa"/>
            <w:tcBorders>
              <w:top w:val="single" w:sz="2" w:space="0" w:color="auto"/>
              <w:bottom w:val="single" w:sz="4" w:space="0" w:color="auto"/>
            </w:tcBorders>
            <w:shd w:val="clear" w:color="auto" w:fill="auto"/>
            <w:noWrap/>
            <w:vAlign w:val="center"/>
            <w:hideMark/>
          </w:tcPr>
          <w:p w14:paraId="6D93BE19" w14:textId="77777777" w:rsidR="0017101E" w:rsidRPr="00EF33ED" w:rsidRDefault="007C6CA5" w:rsidP="001D196E">
            <w:pPr>
              <w:spacing w:after="0"/>
              <w:ind w:hanging="73"/>
              <w:jc w:val="right"/>
              <w:rPr>
                <w:rFonts w:ascii="Arial Narrow" w:hAnsi="Arial Narrow" w:cs="Calibri"/>
                <w:color w:val="000000"/>
                <w:sz w:val="18"/>
                <w:szCs w:val="18"/>
              </w:rPr>
            </w:pPr>
            <w:r>
              <w:rPr>
                <w:rFonts w:ascii="Arial Narrow" w:hAnsi="Arial Narrow"/>
                <w:color w:val="000000"/>
                <w:sz w:val="18"/>
              </w:rPr>
              <w:t>-</w:t>
            </w:r>
          </w:p>
        </w:tc>
        <w:tc>
          <w:tcPr>
            <w:tcW w:w="425" w:type="dxa"/>
            <w:tcBorders>
              <w:top w:val="single" w:sz="2" w:space="0" w:color="auto"/>
              <w:bottom w:val="single" w:sz="4" w:space="0" w:color="auto"/>
            </w:tcBorders>
            <w:shd w:val="clear" w:color="auto" w:fill="auto"/>
            <w:noWrap/>
            <w:vAlign w:val="center"/>
            <w:hideMark/>
          </w:tcPr>
          <w:p w14:paraId="4810FE87" w14:textId="77777777" w:rsidR="0017101E" w:rsidRPr="00EF33ED" w:rsidRDefault="0017101E" w:rsidP="001D196E">
            <w:pPr>
              <w:spacing w:after="0"/>
              <w:ind w:hanging="73"/>
              <w:jc w:val="right"/>
              <w:rPr>
                <w:rFonts w:ascii="Arial Narrow" w:hAnsi="Arial Narrow" w:cs="Calibri"/>
                <w:bCs/>
                <w:color w:val="000000"/>
                <w:sz w:val="18"/>
                <w:szCs w:val="18"/>
              </w:rPr>
            </w:pPr>
            <w:r>
              <w:rPr>
                <w:rFonts w:ascii="Arial Narrow" w:hAnsi="Arial Narrow"/>
                <w:color w:val="000000"/>
                <w:sz w:val="18"/>
              </w:rPr>
              <w:t xml:space="preserve"> 10 </w:t>
            </w:r>
          </w:p>
        </w:tc>
        <w:tc>
          <w:tcPr>
            <w:tcW w:w="709" w:type="dxa"/>
            <w:tcBorders>
              <w:top w:val="single" w:sz="2" w:space="0" w:color="auto"/>
              <w:bottom w:val="single" w:sz="4" w:space="0" w:color="auto"/>
              <w:right w:val="nil"/>
            </w:tcBorders>
            <w:shd w:val="clear" w:color="auto" w:fill="auto"/>
            <w:noWrap/>
            <w:vAlign w:val="center"/>
            <w:hideMark/>
          </w:tcPr>
          <w:p w14:paraId="36D22FD1" w14:textId="77777777" w:rsidR="0017101E" w:rsidRPr="00EF33ED" w:rsidRDefault="0017101E" w:rsidP="001D196E">
            <w:pPr>
              <w:spacing w:after="0"/>
              <w:ind w:hanging="73"/>
              <w:jc w:val="right"/>
              <w:rPr>
                <w:rFonts w:ascii="Arial Narrow" w:hAnsi="Arial Narrow" w:cs="Calibri"/>
                <w:color w:val="000000"/>
                <w:sz w:val="18"/>
                <w:szCs w:val="18"/>
              </w:rPr>
            </w:pPr>
            <w:r>
              <w:rPr>
                <w:rFonts w:ascii="Arial Narrow" w:hAnsi="Arial Narrow"/>
                <w:color w:val="000000"/>
                <w:sz w:val="18"/>
              </w:rPr>
              <w:t>11.680</w:t>
            </w:r>
          </w:p>
        </w:tc>
      </w:tr>
      <w:tr w:rsidR="0017101E" w:rsidRPr="00EF33ED" w14:paraId="07F3EC22" w14:textId="77777777" w:rsidTr="009E367B">
        <w:trPr>
          <w:trHeight w:val="255"/>
          <w:jc w:val="center"/>
        </w:trPr>
        <w:tc>
          <w:tcPr>
            <w:tcW w:w="993" w:type="dxa"/>
            <w:tcBorders>
              <w:top w:val="single" w:sz="4" w:space="0" w:color="auto"/>
              <w:left w:val="nil"/>
              <w:bottom w:val="single" w:sz="4" w:space="0" w:color="auto"/>
            </w:tcBorders>
            <w:shd w:val="clear" w:color="auto" w:fill="FABF8F" w:themeFill="accent6" w:themeFillTint="99"/>
            <w:noWrap/>
            <w:vAlign w:val="center"/>
            <w:hideMark/>
          </w:tcPr>
          <w:p w14:paraId="44727373" w14:textId="77777777" w:rsidR="0017101E" w:rsidRPr="00EF33ED" w:rsidRDefault="0017101E" w:rsidP="00EF33ED">
            <w:pPr>
              <w:pStyle w:val="cuadroCabe"/>
              <w:spacing w:line="240" w:lineRule="auto"/>
              <w:rPr>
                <w:rFonts w:cs="Arial"/>
                <w:sz w:val="16"/>
                <w:szCs w:val="16"/>
              </w:rPr>
            </w:pPr>
            <w:r>
              <w:rPr>
                <w:sz w:val="16"/>
              </w:rPr>
              <w:t>Guztira</w:t>
            </w:r>
          </w:p>
        </w:tc>
        <w:tc>
          <w:tcPr>
            <w:tcW w:w="498" w:type="dxa"/>
            <w:tcBorders>
              <w:top w:val="single" w:sz="4" w:space="0" w:color="auto"/>
              <w:bottom w:val="single" w:sz="4" w:space="0" w:color="auto"/>
            </w:tcBorders>
            <w:shd w:val="clear" w:color="auto" w:fill="FABF8F" w:themeFill="accent6" w:themeFillTint="99"/>
            <w:noWrap/>
            <w:vAlign w:val="center"/>
            <w:hideMark/>
          </w:tcPr>
          <w:p w14:paraId="304789CA" w14:textId="77777777" w:rsidR="0017101E" w:rsidRPr="00EF33ED" w:rsidRDefault="0017101E" w:rsidP="001D196E">
            <w:pPr>
              <w:spacing w:after="0"/>
              <w:ind w:hanging="73"/>
              <w:jc w:val="right"/>
              <w:rPr>
                <w:rFonts w:ascii="Arial" w:hAnsi="Arial" w:cs="Arial"/>
                <w:bCs/>
                <w:color w:val="000000"/>
                <w:sz w:val="16"/>
                <w:szCs w:val="16"/>
              </w:rPr>
            </w:pPr>
            <w:r>
              <w:rPr>
                <w:rFonts w:ascii="Arial" w:hAnsi="Arial"/>
                <w:color w:val="000000"/>
                <w:sz w:val="16"/>
              </w:rPr>
              <w:t>430</w:t>
            </w:r>
          </w:p>
        </w:tc>
        <w:tc>
          <w:tcPr>
            <w:tcW w:w="705" w:type="dxa"/>
            <w:tcBorders>
              <w:top w:val="single" w:sz="4" w:space="0" w:color="auto"/>
              <w:bottom w:val="single" w:sz="4" w:space="0" w:color="auto"/>
            </w:tcBorders>
            <w:shd w:val="clear" w:color="auto" w:fill="FABF8F" w:themeFill="accent6" w:themeFillTint="99"/>
            <w:noWrap/>
            <w:vAlign w:val="center"/>
            <w:hideMark/>
          </w:tcPr>
          <w:p w14:paraId="7D5C5F04" w14:textId="77777777" w:rsidR="0017101E" w:rsidRPr="00EF33ED" w:rsidRDefault="0017101E" w:rsidP="001D196E">
            <w:pPr>
              <w:spacing w:after="0"/>
              <w:ind w:hanging="73"/>
              <w:jc w:val="right"/>
              <w:rPr>
                <w:rFonts w:ascii="Arial" w:hAnsi="Arial" w:cs="Arial"/>
                <w:color w:val="000000"/>
                <w:sz w:val="16"/>
                <w:szCs w:val="16"/>
              </w:rPr>
            </w:pPr>
            <w:r>
              <w:rPr>
                <w:rFonts w:ascii="Arial" w:hAnsi="Arial"/>
                <w:color w:val="000000"/>
                <w:sz w:val="16"/>
              </w:rPr>
              <w:t>165.936</w:t>
            </w:r>
          </w:p>
        </w:tc>
        <w:tc>
          <w:tcPr>
            <w:tcW w:w="308" w:type="dxa"/>
            <w:tcBorders>
              <w:top w:val="single" w:sz="4" w:space="0" w:color="auto"/>
              <w:bottom w:val="single" w:sz="4" w:space="0" w:color="auto"/>
            </w:tcBorders>
            <w:shd w:val="clear" w:color="auto" w:fill="FABF8F" w:themeFill="accent6" w:themeFillTint="99"/>
            <w:noWrap/>
            <w:vAlign w:val="center"/>
            <w:hideMark/>
          </w:tcPr>
          <w:p w14:paraId="6B8E35E1" w14:textId="77777777" w:rsidR="0017101E" w:rsidRPr="00EF33ED" w:rsidRDefault="0017101E" w:rsidP="001D196E">
            <w:pPr>
              <w:spacing w:after="0"/>
              <w:ind w:hanging="73"/>
              <w:jc w:val="right"/>
              <w:rPr>
                <w:rFonts w:ascii="Arial" w:hAnsi="Arial" w:cs="Arial"/>
                <w:bCs/>
                <w:color w:val="000000"/>
                <w:sz w:val="16"/>
                <w:szCs w:val="16"/>
              </w:rPr>
            </w:pPr>
            <w:r>
              <w:rPr>
                <w:rFonts w:ascii="Arial" w:hAnsi="Arial"/>
                <w:color w:val="000000"/>
                <w:sz w:val="16"/>
              </w:rPr>
              <w:t>1</w:t>
            </w:r>
          </w:p>
        </w:tc>
        <w:tc>
          <w:tcPr>
            <w:tcW w:w="473" w:type="dxa"/>
            <w:tcBorders>
              <w:top w:val="single" w:sz="4" w:space="0" w:color="auto"/>
              <w:bottom w:val="single" w:sz="4" w:space="0" w:color="auto"/>
            </w:tcBorders>
            <w:shd w:val="clear" w:color="auto" w:fill="FABF8F" w:themeFill="accent6" w:themeFillTint="99"/>
            <w:noWrap/>
            <w:vAlign w:val="center"/>
            <w:hideMark/>
          </w:tcPr>
          <w:p w14:paraId="33A369E3" w14:textId="77777777" w:rsidR="0017101E" w:rsidRPr="00EF33ED" w:rsidRDefault="0017101E" w:rsidP="001D196E">
            <w:pPr>
              <w:spacing w:after="0"/>
              <w:ind w:hanging="73"/>
              <w:jc w:val="right"/>
              <w:rPr>
                <w:rFonts w:ascii="Arial" w:hAnsi="Arial" w:cs="Arial"/>
                <w:color w:val="000000"/>
                <w:sz w:val="16"/>
                <w:szCs w:val="16"/>
              </w:rPr>
            </w:pPr>
            <w:r>
              <w:rPr>
                <w:rFonts w:ascii="Arial" w:hAnsi="Arial"/>
                <w:color w:val="000000"/>
                <w:sz w:val="16"/>
              </w:rPr>
              <w:t>38</w:t>
            </w:r>
          </w:p>
        </w:tc>
        <w:tc>
          <w:tcPr>
            <w:tcW w:w="284" w:type="dxa"/>
            <w:tcBorders>
              <w:top w:val="single" w:sz="4" w:space="0" w:color="auto"/>
              <w:bottom w:val="single" w:sz="4" w:space="0" w:color="auto"/>
            </w:tcBorders>
            <w:shd w:val="clear" w:color="auto" w:fill="FABF8F" w:themeFill="accent6" w:themeFillTint="99"/>
            <w:noWrap/>
            <w:vAlign w:val="center"/>
            <w:hideMark/>
          </w:tcPr>
          <w:p w14:paraId="7163D972" w14:textId="77777777" w:rsidR="0017101E" w:rsidRPr="00EF33ED" w:rsidRDefault="0017101E" w:rsidP="001D196E">
            <w:pPr>
              <w:spacing w:after="0"/>
              <w:ind w:hanging="73"/>
              <w:jc w:val="right"/>
              <w:rPr>
                <w:rFonts w:ascii="Arial" w:hAnsi="Arial" w:cs="Arial"/>
                <w:bCs/>
                <w:color w:val="000000"/>
                <w:sz w:val="16"/>
                <w:szCs w:val="16"/>
              </w:rPr>
            </w:pPr>
            <w:r>
              <w:rPr>
                <w:rFonts w:ascii="Arial" w:hAnsi="Arial"/>
                <w:color w:val="000000"/>
                <w:sz w:val="16"/>
              </w:rPr>
              <w:t>4</w:t>
            </w:r>
          </w:p>
        </w:tc>
        <w:tc>
          <w:tcPr>
            <w:tcW w:w="426" w:type="dxa"/>
            <w:tcBorders>
              <w:top w:val="single" w:sz="4" w:space="0" w:color="auto"/>
              <w:bottom w:val="single" w:sz="4" w:space="0" w:color="auto"/>
            </w:tcBorders>
            <w:shd w:val="clear" w:color="auto" w:fill="FABF8F" w:themeFill="accent6" w:themeFillTint="99"/>
            <w:noWrap/>
            <w:vAlign w:val="center"/>
            <w:hideMark/>
          </w:tcPr>
          <w:p w14:paraId="0B341EB7" w14:textId="77777777" w:rsidR="0017101E" w:rsidRPr="00EF33ED" w:rsidRDefault="0017101E" w:rsidP="001D196E">
            <w:pPr>
              <w:spacing w:after="0"/>
              <w:ind w:hanging="73"/>
              <w:jc w:val="right"/>
              <w:rPr>
                <w:rFonts w:ascii="Arial" w:hAnsi="Arial" w:cs="Arial"/>
                <w:color w:val="000000"/>
                <w:sz w:val="16"/>
                <w:szCs w:val="16"/>
              </w:rPr>
            </w:pPr>
            <w:r>
              <w:rPr>
                <w:rFonts w:ascii="Arial" w:hAnsi="Arial"/>
                <w:color w:val="000000"/>
                <w:sz w:val="16"/>
              </w:rPr>
              <w:t>372</w:t>
            </w:r>
          </w:p>
        </w:tc>
        <w:tc>
          <w:tcPr>
            <w:tcW w:w="401" w:type="dxa"/>
            <w:tcBorders>
              <w:top w:val="single" w:sz="4" w:space="0" w:color="auto"/>
              <w:bottom w:val="single" w:sz="4" w:space="0" w:color="auto"/>
            </w:tcBorders>
            <w:shd w:val="clear" w:color="auto" w:fill="FABF8F" w:themeFill="accent6" w:themeFillTint="99"/>
            <w:noWrap/>
            <w:vAlign w:val="center"/>
            <w:hideMark/>
          </w:tcPr>
          <w:p w14:paraId="4F1384E9" w14:textId="77777777" w:rsidR="0017101E" w:rsidRPr="00EF33ED" w:rsidRDefault="0017101E" w:rsidP="001D196E">
            <w:pPr>
              <w:spacing w:after="0"/>
              <w:ind w:hanging="73"/>
              <w:jc w:val="right"/>
              <w:rPr>
                <w:rFonts w:ascii="Arial" w:hAnsi="Arial" w:cs="Arial"/>
                <w:bCs/>
                <w:color w:val="000000"/>
                <w:sz w:val="16"/>
                <w:szCs w:val="16"/>
              </w:rPr>
            </w:pPr>
            <w:r>
              <w:rPr>
                <w:rFonts w:ascii="Arial" w:hAnsi="Arial"/>
                <w:color w:val="000000"/>
                <w:sz w:val="16"/>
              </w:rPr>
              <w:t>133</w:t>
            </w:r>
          </w:p>
        </w:tc>
        <w:tc>
          <w:tcPr>
            <w:tcW w:w="588" w:type="dxa"/>
            <w:tcBorders>
              <w:top w:val="single" w:sz="4" w:space="0" w:color="auto"/>
              <w:bottom w:val="single" w:sz="4" w:space="0" w:color="auto"/>
            </w:tcBorders>
            <w:shd w:val="clear" w:color="auto" w:fill="FABF8F" w:themeFill="accent6" w:themeFillTint="99"/>
            <w:noWrap/>
            <w:vAlign w:val="center"/>
            <w:hideMark/>
          </w:tcPr>
          <w:p w14:paraId="2CBC172D" w14:textId="77777777" w:rsidR="0017101E" w:rsidRPr="00EF33ED" w:rsidRDefault="0017101E" w:rsidP="001D196E">
            <w:pPr>
              <w:spacing w:after="0"/>
              <w:ind w:hanging="73"/>
              <w:jc w:val="right"/>
              <w:rPr>
                <w:rFonts w:ascii="Arial" w:hAnsi="Arial" w:cs="Arial"/>
                <w:color w:val="000000"/>
                <w:sz w:val="16"/>
                <w:szCs w:val="16"/>
              </w:rPr>
            </w:pPr>
            <w:r>
              <w:rPr>
                <w:rFonts w:ascii="Arial" w:hAnsi="Arial"/>
                <w:color w:val="000000"/>
                <w:sz w:val="16"/>
              </w:rPr>
              <w:t>7.469</w:t>
            </w:r>
          </w:p>
        </w:tc>
        <w:tc>
          <w:tcPr>
            <w:tcW w:w="405" w:type="dxa"/>
            <w:tcBorders>
              <w:top w:val="single" w:sz="4" w:space="0" w:color="auto"/>
              <w:bottom w:val="single" w:sz="4" w:space="0" w:color="auto"/>
            </w:tcBorders>
            <w:shd w:val="clear" w:color="auto" w:fill="FABF8F" w:themeFill="accent6" w:themeFillTint="99"/>
            <w:noWrap/>
            <w:vAlign w:val="center"/>
            <w:hideMark/>
          </w:tcPr>
          <w:p w14:paraId="2655FCB7" w14:textId="77777777" w:rsidR="0017101E" w:rsidRPr="00EF33ED" w:rsidRDefault="0017101E" w:rsidP="001D196E">
            <w:pPr>
              <w:spacing w:after="0"/>
              <w:ind w:hanging="73"/>
              <w:jc w:val="right"/>
              <w:rPr>
                <w:rFonts w:ascii="Arial" w:hAnsi="Arial" w:cs="Arial"/>
                <w:bCs/>
                <w:color w:val="000000"/>
                <w:sz w:val="16"/>
                <w:szCs w:val="16"/>
              </w:rPr>
            </w:pPr>
            <w:r>
              <w:rPr>
                <w:rFonts w:ascii="Arial" w:hAnsi="Arial"/>
                <w:color w:val="000000"/>
                <w:sz w:val="16"/>
              </w:rPr>
              <w:t>12</w:t>
            </w:r>
          </w:p>
        </w:tc>
        <w:tc>
          <w:tcPr>
            <w:tcW w:w="591" w:type="dxa"/>
            <w:tcBorders>
              <w:top w:val="single" w:sz="4" w:space="0" w:color="auto"/>
              <w:bottom w:val="single" w:sz="4" w:space="0" w:color="auto"/>
            </w:tcBorders>
            <w:shd w:val="clear" w:color="auto" w:fill="FABF8F" w:themeFill="accent6" w:themeFillTint="99"/>
            <w:noWrap/>
            <w:vAlign w:val="center"/>
            <w:hideMark/>
          </w:tcPr>
          <w:p w14:paraId="2C5E2C83" w14:textId="77777777" w:rsidR="0017101E" w:rsidRPr="00EF33ED" w:rsidRDefault="0017101E" w:rsidP="001D196E">
            <w:pPr>
              <w:spacing w:after="0"/>
              <w:ind w:hanging="73"/>
              <w:jc w:val="right"/>
              <w:rPr>
                <w:rFonts w:ascii="Arial" w:hAnsi="Arial" w:cs="Arial"/>
                <w:color w:val="000000"/>
                <w:sz w:val="16"/>
                <w:szCs w:val="16"/>
              </w:rPr>
            </w:pPr>
            <w:r>
              <w:rPr>
                <w:rFonts w:ascii="Arial" w:hAnsi="Arial"/>
                <w:color w:val="000000"/>
                <w:sz w:val="16"/>
              </w:rPr>
              <w:t>1.742</w:t>
            </w:r>
          </w:p>
        </w:tc>
        <w:tc>
          <w:tcPr>
            <w:tcW w:w="424" w:type="dxa"/>
            <w:tcBorders>
              <w:top w:val="single" w:sz="4" w:space="0" w:color="auto"/>
              <w:bottom w:val="single" w:sz="4" w:space="0" w:color="auto"/>
            </w:tcBorders>
            <w:shd w:val="clear" w:color="auto" w:fill="FABF8F" w:themeFill="accent6" w:themeFillTint="99"/>
            <w:noWrap/>
            <w:vAlign w:val="center"/>
            <w:hideMark/>
          </w:tcPr>
          <w:p w14:paraId="7A79C848" w14:textId="77777777" w:rsidR="0017101E" w:rsidRPr="00EF33ED" w:rsidRDefault="0017101E" w:rsidP="001D196E">
            <w:pPr>
              <w:spacing w:after="0"/>
              <w:ind w:hanging="73"/>
              <w:jc w:val="right"/>
              <w:rPr>
                <w:rFonts w:ascii="Arial" w:hAnsi="Arial" w:cs="Arial"/>
                <w:bCs/>
                <w:color w:val="000000"/>
                <w:sz w:val="16"/>
                <w:szCs w:val="16"/>
              </w:rPr>
            </w:pPr>
            <w:r>
              <w:rPr>
                <w:rFonts w:ascii="Arial" w:hAnsi="Arial"/>
                <w:color w:val="000000"/>
                <w:sz w:val="16"/>
              </w:rPr>
              <w:t>23</w:t>
            </w:r>
          </w:p>
        </w:tc>
        <w:tc>
          <w:tcPr>
            <w:tcW w:w="709" w:type="dxa"/>
            <w:tcBorders>
              <w:top w:val="single" w:sz="4" w:space="0" w:color="auto"/>
              <w:bottom w:val="single" w:sz="4" w:space="0" w:color="auto"/>
            </w:tcBorders>
            <w:shd w:val="clear" w:color="auto" w:fill="FABF8F" w:themeFill="accent6" w:themeFillTint="99"/>
            <w:noWrap/>
            <w:vAlign w:val="center"/>
            <w:hideMark/>
          </w:tcPr>
          <w:p w14:paraId="07ADFC2A" w14:textId="77777777" w:rsidR="0017101E" w:rsidRPr="00EF33ED" w:rsidRDefault="0017101E" w:rsidP="001D196E">
            <w:pPr>
              <w:spacing w:after="0"/>
              <w:ind w:hanging="73"/>
              <w:jc w:val="right"/>
              <w:rPr>
                <w:rFonts w:ascii="Arial" w:hAnsi="Arial" w:cs="Arial"/>
                <w:color w:val="000000"/>
                <w:sz w:val="16"/>
                <w:szCs w:val="16"/>
              </w:rPr>
            </w:pPr>
            <w:r>
              <w:rPr>
                <w:rFonts w:ascii="Arial" w:hAnsi="Arial"/>
                <w:color w:val="000000"/>
                <w:sz w:val="16"/>
              </w:rPr>
              <w:t>3.074</w:t>
            </w:r>
          </w:p>
        </w:tc>
        <w:tc>
          <w:tcPr>
            <w:tcW w:w="425" w:type="dxa"/>
            <w:tcBorders>
              <w:top w:val="single" w:sz="4" w:space="0" w:color="auto"/>
              <w:bottom w:val="single" w:sz="4" w:space="0" w:color="auto"/>
            </w:tcBorders>
            <w:shd w:val="clear" w:color="auto" w:fill="FABF8F" w:themeFill="accent6" w:themeFillTint="99"/>
            <w:noWrap/>
            <w:vAlign w:val="center"/>
            <w:hideMark/>
          </w:tcPr>
          <w:p w14:paraId="3C1237B2" w14:textId="77777777" w:rsidR="0017101E" w:rsidRPr="00EF33ED" w:rsidRDefault="0017101E" w:rsidP="001D196E">
            <w:pPr>
              <w:spacing w:after="0"/>
              <w:ind w:hanging="73"/>
              <w:jc w:val="right"/>
              <w:rPr>
                <w:rFonts w:ascii="Arial" w:hAnsi="Arial" w:cs="Arial"/>
                <w:bCs/>
                <w:color w:val="000000"/>
                <w:sz w:val="16"/>
                <w:szCs w:val="16"/>
              </w:rPr>
            </w:pPr>
            <w:r>
              <w:rPr>
                <w:rFonts w:ascii="Arial" w:hAnsi="Arial"/>
                <w:color w:val="000000"/>
                <w:sz w:val="16"/>
              </w:rPr>
              <w:t>9</w:t>
            </w:r>
          </w:p>
        </w:tc>
        <w:tc>
          <w:tcPr>
            <w:tcW w:w="566" w:type="dxa"/>
            <w:tcBorders>
              <w:top w:val="single" w:sz="4" w:space="0" w:color="auto"/>
              <w:bottom w:val="single" w:sz="4" w:space="0" w:color="auto"/>
            </w:tcBorders>
            <w:shd w:val="clear" w:color="auto" w:fill="FABF8F" w:themeFill="accent6" w:themeFillTint="99"/>
            <w:noWrap/>
            <w:vAlign w:val="center"/>
            <w:hideMark/>
          </w:tcPr>
          <w:p w14:paraId="6DD86A4C" w14:textId="77777777" w:rsidR="0017101E" w:rsidRPr="00EF33ED" w:rsidRDefault="0017101E" w:rsidP="001D196E">
            <w:pPr>
              <w:spacing w:after="0"/>
              <w:ind w:hanging="73"/>
              <w:jc w:val="right"/>
              <w:rPr>
                <w:rFonts w:ascii="Arial" w:hAnsi="Arial" w:cs="Arial"/>
                <w:color w:val="000000"/>
                <w:sz w:val="16"/>
                <w:szCs w:val="16"/>
              </w:rPr>
            </w:pPr>
            <w:r>
              <w:rPr>
                <w:rFonts w:ascii="Arial" w:hAnsi="Arial"/>
                <w:color w:val="000000"/>
                <w:sz w:val="16"/>
              </w:rPr>
              <w:t>756</w:t>
            </w:r>
          </w:p>
        </w:tc>
        <w:tc>
          <w:tcPr>
            <w:tcW w:w="425" w:type="dxa"/>
            <w:tcBorders>
              <w:top w:val="single" w:sz="4" w:space="0" w:color="auto"/>
              <w:bottom w:val="single" w:sz="4" w:space="0" w:color="auto"/>
            </w:tcBorders>
            <w:shd w:val="clear" w:color="auto" w:fill="FABF8F" w:themeFill="accent6" w:themeFillTint="99"/>
            <w:noWrap/>
            <w:vAlign w:val="center"/>
            <w:hideMark/>
          </w:tcPr>
          <w:p w14:paraId="16B73D44" w14:textId="77777777" w:rsidR="0017101E" w:rsidRPr="00EF33ED" w:rsidRDefault="0017101E" w:rsidP="001D196E">
            <w:pPr>
              <w:spacing w:after="0"/>
              <w:ind w:hanging="73"/>
              <w:jc w:val="right"/>
              <w:rPr>
                <w:rFonts w:ascii="Arial" w:hAnsi="Arial" w:cs="Arial"/>
                <w:bCs/>
                <w:color w:val="000000"/>
                <w:sz w:val="16"/>
                <w:szCs w:val="16"/>
              </w:rPr>
            </w:pPr>
            <w:r>
              <w:rPr>
                <w:rFonts w:ascii="Arial" w:hAnsi="Arial"/>
                <w:color w:val="000000"/>
                <w:sz w:val="16"/>
              </w:rPr>
              <w:t>612</w:t>
            </w:r>
          </w:p>
        </w:tc>
        <w:tc>
          <w:tcPr>
            <w:tcW w:w="709" w:type="dxa"/>
            <w:tcBorders>
              <w:top w:val="single" w:sz="4" w:space="0" w:color="auto"/>
              <w:bottom w:val="single" w:sz="4" w:space="0" w:color="auto"/>
              <w:right w:val="nil"/>
            </w:tcBorders>
            <w:shd w:val="clear" w:color="auto" w:fill="FABF8F" w:themeFill="accent6" w:themeFillTint="99"/>
            <w:noWrap/>
            <w:vAlign w:val="center"/>
            <w:hideMark/>
          </w:tcPr>
          <w:p w14:paraId="1FED617C" w14:textId="77777777" w:rsidR="0017101E" w:rsidRPr="00EF33ED" w:rsidRDefault="0017101E" w:rsidP="001D196E">
            <w:pPr>
              <w:spacing w:after="0"/>
              <w:ind w:hanging="73"/>
              <w:jc w:val="right"/>
              <w:rPr>
                <w:rFonts w:ascii="Arial" w:hAnsi="Arial" w:cs="Arial"/>
                <w:color w:val="000000"/>
                <w:sz w:val="16"/>
                <w:szCs w:val="16"/>
              </w:rPr>
            </w:pPr>
            <w:r>
              <w:rPr>
                <w:rFonts w:ascii="Arial" w:hAnsi="Arial"/>
                <w:color w:val="000000"/>
                <w:sz w:val="16"/>
              </w:rPr>
              <w:t>179.386</w:t>
            </w:r>
          </w:p>
        </w:tc>
      </w:tr>
    </w:tbl>
    <w:p w14:paraId="3A039385" w14:textId="77777777" w:rsidR="0017101E" w:rsidRPr="00033257" w:rsidRDefault="0017101E" w:rsidP="009D4522">
      <w:pPr>
        <w:pStyle w:val="Prrafodelista"/>
        <w:spacing w:before="60" w:after="240"/>
        <w:ind w:left="0"/>
        <w:contextualSpacing w:val="0"/>
        <w:jc w:val="both"/>
        <w:rPr>
          <w:rFonts w:ascii="Arial" w:hAnsi="Arial" w:cs="Arial"/>
          <w:color w:val="000000" w:themeColor="text1"/>
          <w:sz w:val="14"/>
          <w:szCs w:val="14"/>
        </w:rPr>
      </w:pPr>
      <w:r>
        <w:rPr>
          <w:rFonts w:ascii="Arial" w:hAnsi="Arial"/>
          <w:color w:val="000000" w:themeColor="text1"/>
          <w:sz w:val="14"/>
        </w:rPr>
        <w:t xml:space="preserve">(*) Kontratuen Erregistroan ez da ageri zein adjudikazio prozedura erabili den. </w:t>
      </w:r>
    </w:p>
    <w:p w14:paraId="3D38BF84" w14:textId="77777777" w:rsidR="0017101E" w:rsidRPr="00033257" w:rsidRDefault="0017101E" w:rsidP="009D4522">
      <w:pPr>
        <w:pStyle w:val="texto"/>
        <w:tabs>
          <w:tab w:val="left" w:pos="2977"/>
        </w:tabs>
        <w:spacing w:before="120" w:after="120"/>
        <w:rPr>
          <w:color w:val="000000" w:themeColor="text1"/>
          <w:w w:val="103"/>
        </w:rPr>
      </w:pPr>
      <w:r>
        <w:rPr>
          <w:color w:val="000000" w:themeColor="text1"/>
        </w:rPr>
        <w:t>Obra kontratuak zenbateko osoaren ehuneko 66 dira, baina ehuneko hori asko baldintzatzen du lehen aipatutako 66,19 milioiko kontratuak. Hori kenduta, obra kontratuak esleitutako zenbatekoaren ehuneko 47 eta kontratu kopuruaren ehuneko 46 izango lirateke; zerbitzu kontratuak, berriz, guztizkoaren ehuneko 30 izango lirateke, zenbatekoari eta kontratu kopuruari dagokienez.</w:t>
      </w:r>
    </w:p>
    <w:p w14:paraId="100E09AD" w14:textId="77777777" w:rsidR="00BD6542" w:rsidRPr="00033257" w:rsidRDefault="0017101E" w:rsidP="00BD6542">
      <w:pPr>
        <w:pStyle w:val="texto"/>
        <w:tabs>
          <w:tab w:val="left" w:pos="2977"/>
        </w:tabs>
        <w:spacing w:after="120"/>
        <w:rPr>
          <w:color w:val="000000" w:themeColor="text1"/>
          <w:w w:val="103"/>
        </w:rPr>
      </w:pPr>
      <w:r>
        <w:rPr>
          <w:color w:val="000000" w:themeColor="text1"/>
        </w:rPr>
        <w:t>Gehien erabiltzen den kontratazio prozedura irekia da, esleipenen ehuneko 70ean eta guztizko zenbatekoaren ehuneko 93an aplikatu baita. Ondoren, prozedura sinplifikatua dago, kontratuen ehuneko 22an eta guztizko zenbatekoaren ehuneko 4an erabiltzen baita. Zifra horiek 2020koen eta 2019koen antzekoak dira.</w:t>
      </w:r>
    </w:p>
    <w:p w14:paraId="09417B34" w14:textId="39DD931C" w:rsidR="00BD6542" w:rsidRPr="00033257" w:rsidRDefault="00705A32" w:rsidP="00EC4C05">
      <w:pPr>
        <w:pStyle w:val="texto"/>
        <w:tabs>
          <w:tab w:val="left" w:pos="2977"/>
        </w:tabs>
        <w:spacing w:after="0"/>
        <w:rPr>
          <w:color w:val="000000" w:themeColor="text1"/>
          <w:w w:val="103"/>
        </w:rPr>
      </w:pPr>
      <w:r>
        <w:rPr>
          <w:color w:val="000000" w:themeColor="text1"/>
        </w:rPr>
        <w:t>Kontratazioak kontratu gutxi batzuetan kontzentratzen dira, taula honetan ikus dezakegun bezala:</w:t>
      </w:r>
    </w:p>
    <w:p w14:paraId="40621C36" w14:textId="4DD884AB" w:rsidR="006F66AB" w:rsidRPr="00D71C47" w:rsidRDefault="00F66334" w:rsidP="006F66AB">
      <w:pPr>
        <w:pStyle w:val="texto"/>
        <w:spacing w:after="0"/>
        <w:jc w:val="right"/>
        <w:rPr>
          <w:rFonts w:ascii="Arial Narrow" w:hAnsi="Arial Narrow"/>
          <w:color w:val="000000" w:themeColor="text1"/>
          <w:sz w:val="18"/>
          <w:szCs w:val="18"/>
        </w:rPr>
      </w:pPr>
      <w:r>
        <w:rPr>
          <w:rFonts w:ascii="Arial Narrow" w:hAnsi="Arial Narrow"/>
          <w:color w:val="000000" w:themeColor="text1"/>
          <w:sz w:val="18"/>
        </w:rPr>
        <w:t>(milakoak)</w:t>
      </w:r>
    </w:p>
    <w:tbl>
      <w:tblPr>
        <w:tblW w:w="8789" w:type="dxa"/>
        <w:jc w:val="center"/>
        <w:tblCellMar>
          <w:left w:w="70" w:type="dxa"/>
          <w:right w:w="70" w:type="dxa"/>
        </w:tblCellMar>
        <w:tblLook w:val="04A0" w:firstRow="1" w:lastRow="0" w:firstColumn="1" w:lastColumn="0" w:noHBand="0" w:noVBand="1"/>
      </w:tblPr>
      <w:tblGrid>
        <w:gridCol w:w="2127"/>
        <w:gridCol w:w="567"/>
        <w:gridCol w:w="850"/>
        <w:gridCol w:w="567"/>
        <w:gridCol w:w="709"/>
        <w:gridCol w:w="567"/>
        <w:gridCol w:w="709"/>
        <w:gridCol w:w="494"/>
        <w:gridCol w:w="849"/>
        <w:gridCol w:w="567"/>
        <w:gridCol w:w="851"/>
      </w:tblGrid>
      <w:tr w:rsidR="00BD6542" w:rsidRPr="00EF33ED" w14:paraId="1348DDB2" w14:textId="77777777" w:rsidTr="00E422E0">
        <w:trPr>
          <w:trHeight w:val="170"/>
          <w:jc w:val="center"/>
        </w:trPr>
        <w:tc>
          <w:tcPr>
            <w:tcW w:w="2127" w:type="dxa"/>
            <w:vMerge w:val="restart"/>
            <w:tcBorders>
              <w:top w:val="single" w:sz="4" w:space="0" w:color="auto"/>
              <w:left w:val="nil"/>
              <w:bottom w:val="single" w:sz="8" w:space="0" w:color="000000"/>
            </w:tcBorders>
            <w:shd w:val="clear" w:color="auto" w:fill="FABF8F" w:themeFill="accent6" w:themeFillTint="99"/>
            <w:noWrap/>
            <w:vAlign w:val="center"/>
            <w:hideMark/>
          </w:tcPr>
          <w:p w14:paraId="63E4A9CD" w14:textId="6200C63B" w:rsidR="00BD6542" w:rsidRPr="00EF33ED" w:rsidRDefault="00BD6542" w:rsidP="00FA2E05">
            <w:pPr>
              <w:pStyle w:val="cuadroCabe"/>
              <w:spacing w:line="240" w:lineRule="auto"/>
              <w:rPr>
                <w:sz w:val="16"/>
                <w:szCs w:val="16"/>
                <w:lang w:val="es-ES" w:eastAsia="es-ES"/>
              </w:rPr>
            </w:pPr>
          </w:p>
        </w:tc>
        <w:tc>
          <w:tcPr>
            <w:tcW w:w="1417" w:type="dxa"/>
            <w:gridSpan w:val="2"/>
            <w:tcBorders>
              <w:top w:val="single" w:sz="4" w:space="0" w:color="auto"/>
              <w:bottom w:val="single" w:sz="2" w:space="0" w:color="auto"/>
            </w:tcBorders>
            <w:shd w:val="clear" w:color="auto" w:fill="FABF8F" w:themeFill="accent6" w:themeFillTint="99"/>
            <w:vAlign w:val="center"/>
            <w:hideMark/>
          </w:tcPr>
          <w:p w14:paraId="0B319446" w14:textId="77777777" w:rsidR="00BD6542" w:rsidRPr="00EF33ED" w:rsidRDefault="00BD6542" w:rsidP="00FA2E05">
            <w:pPr>
              <w:pStyle w:val="cuadroCabe"/>
              <w:spacing w:line="240" w:lineRule="auto"/>
              <w:jc w:val="center"/>
              <w:rPr>
                <w:sz w:val="16"/>
                <w:szCs w:val="16"/>
              </w:rPr>
            </w:pPr>
            <w:r>
              <w:rPr>
                <w:sz w:val="16"/>
              </w:rPr>
              <w:t>Obrak</w:t>
            </w:r>
          </w:p>
        </w:tc>
        <w:tc>
          <w:tcPr>
            <w:tcW w:w="1276" w:type="dxa"/>
            <w:gridSpan w:val="2"/>
            <w:tcBorders>
              <w:top w:val="single" w:sz="4" w:space="0" w:color="auto"/>
              <w:bottom w:val="single" w:sz="2" w:space="0" w:color="auto"/>
            </w:tcBorders>
            <w:shd w:val="clear" w:color="auto" w:fill="FABF8F" w:themeFill="accent6" w:themeFillTint="99"/>
            <w:vAlign w:val="center"/>
            <w:hideMark/>
          </w:tcPr>
          <w:p w14:paraId="566D95D1" w14:textId="77777777" w:rsidR="00BD6542" w:rsidRPr="00EF33ED" w:rsidRDefault="00BD6542" w:rsidP="00FA2E05">
            <w:pPr>
              <w:pStyle w:val="cuadroCabe"/>
              <w:spacing w:line="240" w:lineRule="auto"/>
              <w:jc w:val="center"/>
              <w:rPr>
                <w:rFonts w:cs="Calibri"/>
                <w:sz w:val="16"/>
                <w:szCs w:val="16"/>
              </w:rPr>
            </w:pPr>
            <w:r>
              <w:rPr>
                <w:sz w:val="16"/>
              </w:rPr>
              <w:t>Zerbitzuak</w:t>
            </w:r>
          </w:p>
        </w:tc>
        <w:tc>
          <w:tcPr>
            <w:tcW w:w="1276" w:type="dxa"/>
            <w:gridSpan w:val="2"/>
            <w:tcBorders>
              <w:top w:val="single" w:sz="4" w:space="0" w:color="auto"/>
              <w:bottom w:val="single" w:sz="2" w:space="0" w:color="auto"/>
            </w:tcBorders>
            <w:shd w:val="clear" w:color="auto" w:fill="FABF8F" w:themeFill="accent6" w:themeFillTint="99"/>
            <w:vAlign w:val="center"/>
            <w:hideMark/>
          </w:tcPr>
          <w:p w14:paraId="036B83B7" w14:textId="77777777" w:rsidR="00BD6542" w:rsidRPr="00EF33ED" w:rsidRDefault="00BD6542" w:rsidP="00FA2E05">
            <w:pPr>
              <w:pStyle w:val="cuadroCabe"/>
              <w:spacing w:line="240" w:lineRule="auto"/>
              <w:jc w:val="center"/>
              <w:rPr>
                <w:rFonts w:cs="Calibri"/>
                <w:sz w:val="16"/>
                <w:szCs w:val="16"/>
              </w:rPr>
            </w:pPr>
            <w:r>
              <w:rPr>
                <w:sz w:val="16"/>
              </w:rPr>
              <w:t>Hornidurak</w:t>
            </w:r>
          </w:p>
        </w:tc>
        <w:tc>
          <w:tcPr>
            <w:tcW w:w="1275" w:type="dxa"/>
            <w:gridSpan w:val="2"/>
            <w:tcBorders>
              <w:top w:val="single" w:sz="4" w:space="0" w:color="auto"/>
              <w:bottom w:val="single" w:sz="2" w:space="0" w:color="auto"/>
            </w:tcBorders>
            <w:shd w:val="clear" w:color="auto" w:fill="FABF8F" w:themeFill="accent6" w:themeFillTint="99"/>
            <w:vAlign w:val="center"/>
            <w:hideMark/>
          </w:tcPr>
          <w:p w14:paraId="70F5B965" w14:textId="77777777" w:rsidR="00EF33ED" w:rsidRDefault="00BD6542" w:rsidP="00FA2E05">
            <w:pPr>
              <w:pStyle w:val="cuadroCabe"/>
              <w:spacing w:line="240" w:lineRule="auto"/>
              <w:jc w:val="center"/>
              <w:rPr>
                <w:rFonts w:cs="Calibri"/>
                <w:sz w:val="16"/>
                <w:szCs w:val="16"/>
              </w:rPr>
            </w:pPr>
            <w:r>
              <w:rPr>
                <w:sz w:val="16"/>
              </w:rPr>
              <w:t>Zerbitzuak</w:t>
            </w:r>
          </w:p>
          <w:p w14:paraId="7EB02054" w14:textId="709A77E0" w:rsidR="00BD6542" w:rsidRPr="00EF33ED" w:rsidRDefault="00BD6542" w:rsidP="00FA2E05">
            <w:pPr>
              <w:pStyle w:val="cuadroCabe"/>
              <w:spacing w:line="240" w:lineRule="auto"/>
              <w:jc w:val="center"/>
              <w:rPr>
                <w:rFonts w:cs="Calibri"/>
                <w:sz w:val="16"/>
                <w:szCs w:val="16"/>
              </w:rPr>
            </w:pPr>
            <w:r>
              <w:rPr>
                <w:sz w:val="16"/>
              </w:rPr>
              <w:t>ematea</w:t>
            </w:r>
          </w:p>
        </w:tc>
        <w:tc>
          <w:tcPr>
            <w:tcW w:w="1418" w:type="dxa"/>
            <w:gridSpan w:val="2"/>
            <w:tcBorders>
              <w:top w:val="single" w:sz="4" w:space="0" w:color="auto"/>
              <w:bottom w:val="single" w:sz="2" w:space="0" w:color="auto"/>
            </w:tcBorders>
            <w:shd w:val="clear" w:color="auto" w:fill="FABF8F" w:themeFill="accent6" w:themeFillTint="99"/>
            <w:vAlign w:val="center"/>
            <w:hideMark/>
          </w:tcPr>
          <w:p w14:paraId="67183AB2" w14:textId="77777777" w:rsidR="00BD6542" w:rsidRPr="00EF33ED" w:rsidRDefault="00BD6542" w:rsidP="00FA2E05">
            <w:pPr>
              <w:pStyle w:val="cuadroCabe"/>
              <w:spacing w:line="240" w:lineRule="auto"/>
              <w:jc w:val="center"/>
              <w:rPr>
                <w:rFonts w:cs="Calibri"/>
                <w:sz w:val="16"/>
                <w:szCs w:val="16"/>
              </w:rPr>
            </w:pPr>
            <w:r>
              <w:rPr>
                <w:sz w:val="16"/>
              </w:rPr>
              <w:t>Guztira</w:t>
            </w:r>
          </w:p>
        </w:tc>
      </w:tr>
      <w:tr w:rsidR="00BD6542" w:rsidRPr="00EF33ED" w14:paraId="4BA233F1" w14:textId="77777777" w:rsidTr="00E422E0">
        <w:trPr>
          <w:trHeight w:val="170"/>
          <w:jc w:val="center"/>
        </w:trPr>
        <w:tc>
          <w:tcPr>
            <w:tcW w:w="2127" w:type="dxa"/>
            <w:vMerge/>
            <w:tcBorders>
              <w:top w:val="single" w:sz="8" w:space="0" w:color="000000"/>
              <w:left w:val="nil"/>
              <w:bottom w:val="single" w:sz="8" w:space="0" w:color="000000"/>
            </w:tcBorders>
            <w:shd w:val="clear" w:color="auto" w:fill="FABF8F" w:themeFill="accent6" w:themeFillTint="99"/>
            <w:vAlign w:val="center"/>
            <w:hideMark/>
          </w:tcPr>
          <w:p w14:paraId="07F023C8" w14:textId="77777777" w:rsidR="00BD6542" w:rsidRPr="00EF33ED" w:rsidRDefault="00BD6542" w:rsidP="00FA2E05">
            <w:pPr>
              <w:pStyle w:val="cuadroCabe"/>
              <w:spacing w:line="240" w:lineRule="auto"/>
              <w:rPr>
                <w:sz w:val="16"/>
                <w:szCs w:val="16"/>
                <w:lang w:val="es-ES" w:eastAsia="es-ES"/>
              </w:rPr>
            </w:pPr>
          </w:p>
        </w:tc>
        <w:tc>
          <w:tcPr>
            <w:tcW w:w="567" w:type="dxa"/>
            <w:tcBorders>
              <w:top w:val="single" w:sz="2" w:space="0" w:color="auto"/>
              <w:bottom w:val="single" w:sz="8" w:space="0" w:color="auto"/>
            </w:tcBorders>
            <w:shd w:val="clear" w:color="auto" w:fill="FABF8F" w:themeFill="accent6" w:themeFillTint="99"/>
            <w:vAlign w:val="center"/>
            <w:hideMark/>
          </w:tcPr>
          <w:p w14:paraId="75644429" w14:textId="77777777" w:rsidR="00BD6542" w:rsidRPr="00EF33ED" w:rsidRDefault="00BD6542" w:rsidP="00FA2E05">
            <w:pPr>
              <w:pStyle w:val="cuadroCabe"/>
              <w:spacing w:line="240" w:lineRule="auto"/>
              <w:jc w:val="right"/>
              <w:rPr>
                <w:sz w:val="16"/>
                <w:szCs w:val="16"/>
              </w:rPr>
            </w:pPr>
            <w:r>
              <w:rPr>
                <w:sz w:val="16"/>
              </w:rPr>
              <w:t>Kop.</w:t>
            </w:r>
          </w:p>
        </w:tc>
        <w:tc>
          <w:tcPr>
            <w:tcW w:w="850" w:type="dxa"/>
            <w:tcBorders>
              <w:top w:val="single" w:sz="2" w:space="0" w:color="auto"/>
              <w:bottom w:val="single" w:sz="8" w:space="0" w:color="auto"/>
            </w:tcBorders>
            <w:shd w:val="clear" w:color="auto" w:fill="FABF8F" w:themeFill="accent6" w:themeFillTint="99"/>
            <w:vAlign w:val="center"/>
            <w:hideMark/>
          </w:tcPr>
          <w:p w14:paraId="54ACF133" w14:textId="77777777" w:rsidR="00BD6542" w:rsidRPr="00EF33ED" w:rsidRDefault="00BD6542" w:rsidP="00FA2E05">
            <w:pPr>
              <w:pStyle w:val="cuadroCabe"/>
              <w:spacing w:line="240" w:lineRule="auto"/>
              <w:jc w:val="right"/>
              <w:rPr>
                <w:sz w:val="16"/>
                <w:szCs w:val="16"/>
              </w:rPr>
            </w:pPr>
            <w:r>
              <w:rPr>
                <w:sz w:val="16"/>
              </w:rPr>
              <w:t>Zenb.</w:t>
            </w:r>
          </w:p>
        </w:tc>
        <w:tc>
          <w:tcPr>
            <w:tcW w:w="567" w:type="dxa"/>
            <w:tcBorders>
              <w:top w:val="single" w:sz="2" w:space="0" w:color="auto"/>
              <w:bottom w:val="single" w:sz="8" w:space="0" w:color="auto"/>
            </w:tcBorders>
            <w:shd w:val="clear" w:color="auto" w:fill="FABF8F" w:themeFill="accent6" w:themeFillTint="99"/>
            <w:vAlign w:val="center"/>
            <w:hideMark/>
          </w:tcPr>
          <w:p w14:paraId="38EB7661" w14:textId="77777777" w:rsidR="00BD6542" w:rsidRPr="00EF33ED" w:rsidRDefault="00BD6542" w:rsidP="00FA2E05">
            <w:pPr>
              <w:pStyle w:val="cuadroCabe"/>
              <w:spacing w:line="240" w:lineRule="auto"/>
              <w:jc w:val="right"/>
              <w:rPr>
                <w:rFonts w:cs="Calibri"/>
                <w:sz w:val="16"/>
                <w:szCs w:val="16"/>
              </w:rPr>
            </w:pPr>
            <w:r>
              <w:rPr>
                <w:sz w:val="16"/>
              </w:rPr>
              <w:t>Kop.</w:t>
            </w:r>
          </w:p>
        </w:tc>
        <w:tc>
          <w:tcPr>
            <w:tcW w:w="709" w:type="dxa"/>
            <w:tcBorders>
              <w:top w:val="single" w:sz="2" w:space="0" w:color="auto"/>
              <w:bottom w:val="single" w:sz="8" w:space="0" w:color="auto"/>
            </w:tcBorders>
            <w:shd w:val="clear" w:color="auto" w:fill="FABF8F" w:themeFill="accent6" w:themeFillTint="99"/>
            <w:vAlign w:val="center"/>
            <w:hideMark/>
          </w:tcPr>
          <w:p w14:paraId="508B2D9B" w14:textId="77777777" w:rsidR="00BD6542" w:rsidRPr="00EF33ED" w:rsidRDefault="00BD6542" w:rsidP="00FA2E05">
            <w:pPr>
              <w:pStyle w:val="cuadroCabe"/>
              <w:spacing w:line="240" w:lineRule="auto"/>
              <w:jc w:val="right"/>
              <w:rPr>
                <w:rFonts w:cs="Calibri"/>
                <w:sz w:val="16"/>
                <w:szCs w:val="16"/>
              </w:rPr>
            </w:pPr>
            <w:r>
              <w:rPr>
                <w:sz w:val="16"/>
              </w:rPr>
              <w:t>Zenb.</w:t>
            </w:r>
          </w:p>
        </w:tc>
        <w:tc>
          <w:tcPr>
            <w:tcW w:w="567" w:type="dxa"/>
            <w:tcBorders>
              <w:top w:val="single" w:sz="2" w:space="0" w:color="auto"/>
              <w:bottom w:val="single" w:sz="8" w:space="0" w:color="auto"/>
            </w:tcBorders>
            <w:shd w:val="clear" w:color="auto" w:fill="FABF8F" w:themeFill="accent6" w:themeFillTint="99"/>
            <w:vAlign w:val="center"/>
            <w:hideMark/>
          </w:tcPr>
          <w:p w14:paraId="7417EE8D" w14:textId="77777777" w:rsidR="00BD6542" w:rsidRPr="00EF33ED" w:rsidRDefault="00BD6542" w:rsidP="00FA2E05">
            <w:pPr>
              <w:pStyle w:val="cuadroCabe"/>
              <w:spacing w:line="240" w:lineRule="auto"/>
              <w:jc w:val="right"/>
              <w:rPr>
                <w:rFonts w:cs="Calibri"/>
                <w:sz w:val="16"/>
                <w:szCs w:val="16"/>
              </w:rPr>
            </w:pPr>
            <w:r>
              <w:rPr>
                <w:sz w:val="16"/>
              </w:rPr>
              <w:t>Kop.</w:t>
            </w:r>
          </w:p>
        </w:tc>
        <w:tc>
          <w:tcPr>
            <w:tcW w:w="709" w:type="dxa"/>
            <w:tcBorders>
              <w:top w:val="single" w:sz="2" w:space="0" w:color="auto"/>
              <w:bottom w:val="single" w:sz="8" w:space="0" w:color="auto"/>
            </w:tcBorders>
            <w:shd w:val="clear" w:color="auto" w:fill="FABF8F" w:themeFill="accent6" w:themeFillTint="99"/>
            <w:vAlign w:val="center"/>
            <w:hideMark/>
          </w:tcPr>
          <w:p w14:paraId="40C261DC" w14:textId="77777777" w:rsidR="00BD6542" w:rsidRPr="00EF33ED" w:rsidRDefault="00BD6542" w:rsidP="00FA2E05">
            <w:pPr>
              <w:pStyle w:val="cuadroCabe"/>
              <w:spacing w:line="240" w:lineRule="auto"/>
              <w:jc w:val="right"/>
              <w:rPr>
                <w:rFonts w:cs="Calibri"/>
                <w:sz w:val="16"/>
                <w:szCs w:val="16"/>
              </w:rPr>
            </w:pPr>
            <w:r>
              <w:rPr>
                <w:sz w:val="16"/>
              </w:rPr>
              <w:t>Zenb.</w:t>
            </w:r>
          </w:p>
        </w:tc>
        <w:tc>
          <w:tcPr>
            <w:tcW w:w="426" w:type="dxa"/>
            <w:tcBorders>
              <w:top w:val="single" w:sz="2" w:space="0" w:color="auto"/>
              <w:bottom w:val="single" w:sz="8" w:space="0" w:color="auto"/>
            </w:tcBorders>
            <w:shd w:val="clear" w:color="auto" w:fill="FABF8F" w:themeFill="accent6" w:themeFillTint="99"/>
            <w:vAlign w:val="center"/>
            <w:hideMark/>
          </w:tcPr>
          <w:p w14:paraId="47F4E990" w14:textId="77777777" w:rsidR="00BD6542" w:rsidRPr="00EF33ED" w:rsidRDefault="00BD6542" w:rsidP="00FA2E05">
            <w:pPr>
              <w:pStyle w:val="cuadroCabe"/>
              <w:spacing w:line="240" w:lineRule="auto"/>
              <w:jc w:val="right"/>
              <w:rPr>
                <w:rFonts w:cs="Calibri"/>
                <w:sz w:val="16"/>
                <w:szCs w:val="16"/>
              </w:rPr>
            </w:pPr>
            <w:r>
              <w:rPr>
                <w:sz w:val="16"/>
              </w:rPr>
              <w:t>Kop.</w:t>
            </w:r>
          </w:p>
        </w:tc>
        <w:tc>
          <w:tcPr>
            <w:tcW w:w="849" w:type="dxa"/>
            <w:tcBorders>
              <w:top w:val="single" w:sz="2" w:space="0" w:color="auto"/>
              <w:bottom w:val="single" w:sz="8" w:space="0" w:color="auto"/>
            </w:tcBorders>
            <w:shd w:val="clear" w:color="auto" w:fill="FABF8F" w:themeFill="accent6" w:themeFillTint="99"/>
            <w:vAlign w:val="center"/>
            <w:hideMark/>
          </w:tcPr>
          <w:p w14:paraId="5BD4716E" w14:textId="77777777" w:rsidR="00BD6542" w:rsidRPr="00EF33ED" w:rsidRDefault="00BD6542" w:rsidP="00FA2E05">
            <w:pPr>
              <w:pStyle w:val="cuadroCabe"/>
              <w:spacing w:line="240" w:lineRule="auto"/>
              <w:jc w:val="right"/>
              <w:rPr>
                <w:rFonts w:cs="Calibri"/>
                <w:sz w:val="16"/>
                <w:szCs w:val="16"/>
              </w:rPr>
            </w:pPr>
            <w:r>
              <w:rPr>
                <w:sz w:val="16"/>
              </w:rPr>
              <w:t>Zenb.</w:t>
            </w:r>
          </w:p>
        </w:tc>
        <w:tc>
          <w:tcPr>
            <w:tcW w:w="567" w:type="dxa"/>
            <w:tcBorders>
              <w:top w:val="single" w:sz="2" w:space="0" w:color="auto"/>
              <w:bottom w:val="single" w:sz="8" w:space="0" w:color="auto"/>
            </w:tcBorders>
            <w:shd w:val="clear" w:color="auto" w:fill="FABF8F" w:themeFill="accent6" w:themeFillTint="99"/>
            <w:vAlign w:val="center"/>
            <w:hideMark/>
          </w:tcPr>
          <w:p w14:paraId="26694561" w14:textId="77777777" w:rsidR="00BD6542" w:rsidRPr="00EF33ED" w:rsidRDefault="00BD6542" w:rsidP="00FA2E05">
            <w:pPr>
              <w:pStyle w:val="cuadroCabe"/>
              <w:spacing w:line="240" w:lineRule="auto"/>
              <w:jc w:val="right"/>
              <w:rPr>
                <w:rFonts w:cs="Calibri"/>
                <w:sz w:val="16"/>
                <w:szCs w:val="16"/>
              </w:rPr>
            </w:pPr>
            <w:r>
              <w:rPr>
                <w:sz w:val="16"/>
              </w:rPr>
              <w:t>Kop.</w:t>
            </w:r>
          </w:p>
        </w:tc>
        <w:tc>
          <w:tcPr>
            <w:tcW w:w="851" w:type="dxa"/>
            <w:tcBorders>
              <w:top w:val="single" w:sz="2" w:space="0" w:color="auto"/>
              <w:bottom w:val="single" w:sz="8" w:space="0" w:color="auto"/>
            </w:tcBorders>
            <w:shd w:val="clear" w:color="auto" w:fill="FABF8F" w:themeFill="accent6" w:themeFillTint="99"/>
            <w:vAlign w:val="center"/>
            <w:hideMark/>
          </w:tcPr>
          <w:p w14:paraId="0ECCCFA0" w14:textId="77777777" w:rsidR="00BD6542" w:rsidRPr="00EF33ED" w:rsidRDefault="00BD6542" w:rsidP="00FA2E05">
            <w:pPr>
              <w:pStyle w:val="cuadroCabe"/>
              <w:spacing w:line="240" w:lineRule="auto"/>
              <w:jc w:val="right"/>
              <w:rPr>
                <w:rFonts w:cs="Calibri"/>
                <w:sz w:val="16"/>
                <w:szCs w:val="16"/>
              </w:rPr>
            </w:pPr>
            <w:r>
              <w:rPr>
                <w:sz w:val="16"/>
              </w:rPr>
              <w:t>Zenb.</w:t>
            </w:r>
          </w:p>
        </w:tc>
      </w:tr>
      <w:tr w:rsidR="00BD6542" w:rsidRPr="00033257" w14:paraId="72DE041E" w14:textId="77777777" w:rsidTr="00FA2E05">
        <w:trPr>
          <w:trHeight w:val="198"/>
          <w:jc w:val="center"/>
        </w:trPr>
        <w:tc>
          <w:tcPr>
            <w:tcW w:w="2127" w:type="dxa"/>
            <w:tcBorders>
              <w:top w:val="nil"/>
              <w:left w:val="nil"/>
              <w:bottom w:val="single" w:sz="2" w:space="0" w:color="auto"/>
            </w:tcBorders>
            <w:shd w:val="clear" w:color="auto" w:fill="auto"/>
            <w:noWrap/>
            <w:vAlign w:val="center"/>
            <w:hideMark/>
          </w:tcPr>
          <w:p w14:paraId="577C36E3" w14:textId="77777777" w:rsidR="00BD6542" w:rsidRPr="00033257" w:rsidRDefault="00BD6542" w:rsidP="00FA2E05">
            <w:pPr>
              <w:pStyle w:val="cuatexto"/>
              <w:spacing w:line="240" w:lineRule="auto"/>
              <w:rPr>
                <w:szCs w:val="20"/>
              </w:rPr>
            </w:pPr>
            <w:r>
              <w:t>&gt; 600.000</w:t>
            </w:r>
          </w:p>
        </w:tc>
        <w:tc>
          <w:tcPr>
            <w:tcW w:w="567" w:type="dxa"/>
            <w:tcBorders>
              <w:top w:val="single" w:sz="8" w:space="0" w:color="auto"/>
              <w:bottom w:val="single" w:sz="2" w:space="0" w:color="auto"/>
            </w:tcBorders>
            <w:shd w:val="clear" w:color="auto" w:fill="auto"/>
            <w:noWrap/>
            <w:vAlign w:val="center"/>
            <w:hideMark/>
          </w:tcPr>
          <w:p w14:paraId="2145DE47"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15 </w:t>
            </w:r>
          </w:p>
        </w:tc>
        <w:tc>
          <w:tcPr>
            <w:tcW w:w="850" w:type="dxa"/>
            <w:tcBorders>
              <w:top w:val="single" w:sz="8" w:space="0" w:color="auto"/>
              <w:bottom w:val="single" w:sz="2" w:space="0" w:color="auto"/>
            </w:tcBorders>
            <w:shd w:val="clear" w:color="auto" w:fill="auto"/>
            <w:noWrap/>
            <w:vAlign w:val="center"/>
            <w:hideMark/>
          </w:tcPr>
          <w:p w14:paraId="2ADA0FA6"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83.515 </w:t>
            </w:r>
          </w:p>
        </w:tc>
        <w:tc>
          <w:tcPr>
            <w:tcW w:w="567" w:type="dxa"/>
            <w:tcBorders>
              <w:top w:val="nil"/>
              <w:bottom w:val="single" w:sz="2" w:space="0" w:color="auto"/>
            </w:tcBorders>
            <w:shd w:val="clear" w:color="auto" w:fill="auto"/>
            <w:noWrap/>
            <w:vAlign w:val="center"/>
            <w:hideMark/>
          </w:tcPr>
          <w:p w14:paraId="42A7531B"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15 </w:t>
            </w:r>
          </w:p>
        </w:tc>
        <w:tc>
          <w:tcPr>
            <w:tcW w:w="709" w:type="dxa"/>
            <w:tcBorders>
              <w:top w:val="nil"/>
              <w:bottom w:val="single" w:sz="2" w:space="0" w:color="auto"/>
            </w:tcBorders>
            <w:shd w:val="clear" w:color="auto" w:fill="auto"/>
            <w:noWrap/>
            <w:vAlign w:val="center"/>
            <w:hideMark/>
          </w:tcPr>
          <w:p w14:paraId="612F2B13"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21.827 </w:t>
            </w:r>
          </w:p>
        </w:tc>
        <w:tc>
          <w:tcPr>
            <w:tcW w:w="567" w:type="dxa"/>
            <w:tcBorders>
              <w:top w:val="nil"/>
              <w:bottom w:val="single" w:sz="2" w:space="0" w:color="auto"/>
            </w:tcBorders>
            <w:shd w:val="clear" w:color="auto" w:fill="auto"/>
            <w:noWrap/>
            <w:vAlign w:val="center"/>
            <w:hideMark/>
          </w:tcPr>
          <w:p w14:paraId="7FB046B2"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6 </w:t>
            </w:r>
          </w:p>
        </w:tc>
        <w:tc>
          <w:tcPr>
            <w:tcW w:w="709" w:type="dxa"/>
            <w:tcBorders>
              <w:top w:val="nil"/>
              <w:bottom w:val="single" w:sz="2" w:space="0" w:color="auto"/>
            </w:tcBorders>
            <w:shd w:val="clear" w:color="auto" w:fill="auto"/>
            <w:noWrap/>
            <w:vAlign w:val="center"/>
            <w:hideMark/>
          </w:tcPr>
          <w:p w14:paraId="362B1D6C"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5.956 </w:t>
            </w:r>
          </w:p>
        </w:tc>
        <w:tc>
          <w:tcPr>
            <w:tcW w:w="426" w:type="dxa"/>
            <w:tcBorders>
              <w:top w:val="nil"/>
              <w:bottom w:val="single" w:sz="2" w:space="0" w:color="auto"/>
            </w:tcBorders>
            <w:shd w:val="clear" w:color="auto" w:fill="auto"/>
            <w:noWrap/>
            <w:vAlign w:val="center"/>
            <w:hideMark/>
          </w:tcPr>
          <w:p w14:paraId="59C510EC"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 </w:t>
            </w:r>
          </w:p>
        </w:tc>
        <w:tc>
          <w:tcPr>
            <w:tcW w:w="849" w:type="dxa"/>
            <w:tcBorders>
              <w:top w:val="nil"/>
              <w:bottom w:val="single" w:sz="2" w:space="0" w:color="auto"/>
            </w:tcBorders>
            <w:shd w:val="clear" w:color="auto" w:fill="auto"/>
            <w:noWrap/>
            <w:vAlign w:val="center"/>
            <w:hideMark/>
          </w:tcPr>
          <w:p w14:paraId="21947743"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11.446 </w:t>
            </w:r>
          </w:p>
        </w:tc>
        <w:tc>
          <w:tcPr>
            <w:tcW w:w="567" w:type="dxa"/>
            <w:tcBorders>
              <w:top w:val="nil"/>
              <w:bottom w:val="single" w:sz="2" w:space="0" w:color="auto"/>
            </w:tcBorders>
            <w:shd w:val="clear" w:color="auto" w:fill="auto"/>
            <w:noWrap/>
            <w:vAlign w:val="center"/>
            <w:hideMark/>
          </w:tcPr>
          <w:p w14:paraId="134A3E1E"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37 </w:t>
            </w:r>
          </w:p>
        </w:tc>
        <w:tc>
          <w:tcPr>
            <w:tcW w:w="851" w:type="dxa"/>
            <w:tcBorders>
              <w:top w:val="nil"/>
              <w:bottom w:val="single" w:sz="2" w:space="0" w:color="auto"/>
            </w:tcBorders>
            <w:shd w:val="clear" w:color="auto" w:fill="auto"/>
            <w:noWrap/>
            <w:vAlign w:val="center"/>
            <w:hideMark/>
          </w:tcPr>
          <w:p w14:paraId="1FC5A387"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122.743 </w:t>
            </w:r>
          </w:p>
        </w:tc>
      </w:tr>
      <w:tr w:rsidR="00BD6542" w:rsidRPr="00033257" w14:paraId="2CB8EF49" w14:textId="77777777" w:rsidTr="00FA2E05">
        <w:trPr>
          <w:trHeight w:val="198"/>
          <w:jc w:val="center"/>
        </w:trPr>
        <w:tc>
          <w:tcPr>
            <w:tcW w:w="2127" w:type="dxa"/>
            <w:tcBorders>
              <w:top w:val="single" w:sz="2" w:space="0" w:color="auto"/>
              <w:left w:val="nil"/>
              <w:bottom w:val="single" w:sz="2" w:space="0" w:color="auto"/>
            </w:tcBorders>
            <w:shd w:val="clear" w:color="auto" w:fill="auto"/>
            <w:noWrap/>
            <w:vAlign w:val="center"/>
            <w:hideMark/>
          </w:tcPr>
          <w:p w14:paraId="74F404F2" w14:textId="77777777" w:rsidR="00BD6542" w:rsidRPr="00033257" w:rsidRDefault="00BD6542" w:rsidP="00FA2E05">
            <w:pPr>
              <w:pStyle w:val="cuatexto"/>
              <w:spacing w:line="240" w:lineRule="auto"/>
              <w:rPr>
                <w:szCs w:val="20"/>
              </w:rPr>
            </w:pPr>
            <w:r>
              <w:t>&gt; 400.000 eta &lt;=600.000</w:t>
            </w:r>
          </w:p>
        </w:tc>
        <w:tc>
          <w:tcPr>
            <w:tcW w:w="567" w:type="dxa"/>
            <w:tcBorders>
              <w:top w:val="single" w:sz="2" w:space="0" w:color="auto"/>
              <w:bottom w:val="single" w:sz="2" w:space="0" w:color="auto"/>
            </w:tcBorders>
            <w:shd w:val="clear" w:color="auto" w:fill="auto"/>
            <w:noWrap/>
            <w:vAlign w:val="center"/>
            <w:hideMark/>
          </w:tcPr>
          <w:p w14:paraId="2CDE956A"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16 </w:t>
            </w:r>
          </w:p>
        </w:tc>
        <w:tc>
          <w:tcPr>
            <w:tcW w:w="850" w:type="dxa"/>
            <w:tcBorders>
              <w:top w:val="single" w:sz="2" w:space="0" w:color="auto"/>
              <w:bottom w:val="single" w:sz="2" w:space="0" w:color="auto"/>
            </w:tcBorders>
            <w:shd w:val="clear" w:color="auto" w:fill="auto"/>
            <w:noWrap/>
            <w:vAlign w:val="center"/>
            <w:hideMark/>
          </w:tcPr>
          <w:p w14:paraId="427F0BDD"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8.270 </w:t>
            </w:r>
          </w:p>
        </w:tc>
        <w:tc>
          <w:tcPr>
            <w:tcW w:w="567" w:type="dxa"/>
            <w:tcBorders>
              <w:top w:val="single" w:sz="2" w:space="0" w:color="auto"/>
              <w:bottom w:val="single" w:sz="2" w:space="0" w:color="auto"/>
            </w:tcBorders>
            <w:shd w:val="clear" w:color="auto" w:fill="auto"/>
            <w:noWrap/>
            <w:vAlign w:val="center"/>
            <w:hideMark/>
          </w:tcPr>
          <w:p w14:paraId="5CB8EAB7"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3 </w:t>
            </w:r>
          </w:p>
        </w:tc>
        <w:tc>
          <w:tcPr>
            <w:tcW w:w="709" w:type="dxa"/>
            <w:tcBorders>
              <w:top w:val="single" w:sz="2" w:space="0" w:color="auto"/>
              <w:bottom w:val="single" w:sz="2" w:space="0" w:color="auto"/>
            </w:tcBorders>
            <w:shd w:val="clear" w:color="auto" w:fill="auto"/>
            <w:noWrap/>
            <w:vAlign w:val="center"/>
            <w:hideMark/>
          </w:tcPr>
          <w:p w14:paraId="619B8421"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1.524 </w:t>
            </w:r>
          </w:p>
        </w:tc>
        <w:tc>
          <w:tcPr>
            <w:tcW w:w="567" w:type="dxa"/>
            <w:tcBorders>
              <w:top w:val="single" w:sz="2" w:space="0" w:color="auto"/>
              <w:bottom w:val="single" w:sz="2" w:space="0" w:color="auto"/>
            </w:tcBorders>
            <w:shd w:val="clear" w:color="auto" w:fill="auto"/>
            <w:noWrap/>
            <w:vAlign w:val="center"/>
            <w:hideMark/>
          </w:tcPr>
          <w:p w14:paraId="10BE9FAB"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2 </w:t>
            </w:r>
          </w:p>
        </w:tc>
        <w:tc>
          <w:tcPr>
            <w:tcW w:w="709" w:type="dxa"/>
            <w:tcBorders>
              <w:top w:val="single" w:sz="2" w:space="0" w:color="auto"/>
              <w:bottom w:val="single" w:sz="2" w:space="0" w:color="auto"/>
            </w:tcBorders>
            <w:shd w:val="clear" w:color="auto" w:fill="auto"/>
            <w:noWrap/>
            <w:vAlign w:val="center"/>
            <w:hideMark/>
          </w:tcPr>
          <w:p w14:paraId="18BE99ED"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1.038 </w:t>
            </w:r>
          </w:p>
        </w:tc>
        <w:tc>
          <w:tcPr>
            <w:tcW w:w="426" w:type="dxa"/>
            <w:tcBorders>
              <w:top w:val="single" w:sz="2" w:space="0" w:color="auto"/>
              <w:bottom w:val="single" w:sz="2" w:space="0" w:color="auto"/>
            </w:tcBorders>
            <w:shd w:val="clear" w:color="auto" w:fill="auto"/>
            <w:noWrap/>
            <w:vAlign w:val="center"/>
            <w:hideMark/>
          </w:tcPr>
          <w:p w14:paraId="42D2C97F"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 </w:t>
            </w:r>
          </w:p>
        </w:tc>
        <w:tc>
          <w:tcPr>
            <w:tcW w:w="849" w:type="dxa"/>
            <w:tcBorders>
              <w:top w:val="single" w:sz="2" w:space="0" w:color="auto"/>
              <w:bottom w:val="single" w:sz="2" w:space="0" w:color="auto"/>
            </w:tcBorders>
            <w:shd w:val="clear" w:color="auto" w:fill="auto"/>
            <w:noWrap/>
            <w:vAlign w:val="center"/>
            <w:hideMark/>
          </w:tcPr>
          <w:p w14:paraId="60B8FB99"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 </w:t>
            </w:r>
          </w:p>
        </w:tc>
        <w:tc>
          <w:tcPr>
            <w:tcW w:w="567" w:type="dxa"/>
            <w:tcBorders>
              <w:top w:val="single" w:sz="2" w:space="0" w:color="auto"/>
              <w:bottom w:val="single" w:sz="2" w:space="0" w:color="auto"/>
            </w:tcBorders>
            <w:shd w:val="clear" w:color="auto" w:fill="auto"/>
            <w:noWrap/>
            <w:vAlign w:val="center"/>
            <w:hideMark/>
          </w:tcPr>
          <w:p w14:paraId="491BD3E2"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21 </w:t>
            </w:r>
          </w:p>
        </w:tc>
        <w:tc>
          <w:tcPr>
            <w:tcW w:w="851" w:type="dxa"/>
            <w:tcBorders>
              <w:top w:val="single" w:sz="2" w:space="0" w:color="auto"/>
              <w:bottom w:val="single" w:sz="2" w:space="0" w:color="auto"/>
            </w:tcBorders>
            <w:shd w:val="clear" w:color="auto" w:fill="auto"/>
            <w:noWrap/>
            <w:vAlign w:val="center"/>
            <w:hideMark/>
          </w:tcPr>
          <w:p w14:paraId="68D65025"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10.832 </w:t>
            </w:r>
          </w:p>
        </w:tc>
      </w:tr>
      <w:tr w:rsidR="00BD6542" w:rsidRPr="00033257" w14:paraId="24509671" w14:textId="77777777" w:rsidTr="00FA2E05">
        <w:trPr>
          <w:trHeight w:val="198"/>
          <w:jc w:val="center"/>
        </w:trPr>
        <w:tc>
          <w:tcPr>
            <w:tcW w:w="2127" w:type="dxa"/>
            <w:tcBorders>
              <w:top w:val="single" w:sz="2" w:space="0" w:color="auto"/>
              <w:left w:val="nil"/>
              <w:bottom w:val="single" w:sz="2" w:space="0" w:color="auto"/>
            </w:tcBorders>
            <w:shd w:val="clear" w:color="auto" w:fill="auto"/>
            <w:noWrap/>
            <w:vAlign w:val="center"/>
            <w:hideMark/>
          </w:tcPr>
          <w:p w14:paraId="4F3BE187" w14:textId="77777777" w:rsidR="00BD6542" w:rsidRPr="00033257" w:rsidRDefault="00BD6542" w:rsidP="00FA2E05">
            <w:pPr>
              <w:pStyle w:val="cuatexto"/>
              <w:spacing w:line="240" w:lineRule="auto"/>
              <w:rPr>
                <w:color w:val="000000"/>
                <w:szCs w:val="20"/>
              </w:rPr>
            </w:pPr>
            <w:r>
              <w:rPr>
                <w:color w:val="000000"/>
              </w:rPr>
              <w:t>&gt;150.000 eta &lt; =400.000</w:t>
            </w:r>
          </w:p>
        </w:tc>
        <w:tc>
          <w:tcPr>
            <w:tcW w:w="567" w:type="dxa"/>
            <w:tcBorders>
              <w:top w:val="single" w:sz="2" w:space="0" w:color="auto"/>
              <w:bottom w:val="single" w:sz="2" w:space="0" w:color="auto"/>
            </w:tcBorders>
            <w:shd w:val="clear" w:color="auto" w:fill="auto"/>
            <w:noWrap/>
            <w:vAlign w:val="center"/>
            <w:hideMark/>
          </w:tcPr>
          <w:p w14:paraId="58839019"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56 </w:t>
            </w:r>
          </w:p>
        </w:tc>
        <w:tc>
          <w:tcPr>
            <w:tcW w:w="850" w:type="dxa"/>
            <w:tcBorders>
              <w:top w:val="single" w:sz="2" w:space="0" w:color="auto"/>
              <w:bottom w:val="single" w:sz="2" w:space="0" w:color="auto"/>
            </w:tcBorders>
            <w:shd w:val="clear" w:color="auto" w:fill="auto"/>
            <w:noWrap/>
            <w:vAlign w:val="center"/>
            <w:hideMark/>
          </w:tcPr>
          <w:p w14:paraId="5117DE27"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13.324 </w:t>
            </w:r>
          </w:p>
        </w:tc>
        <w:tc>
          <w:tcPr>
            <w:tcW w:w="567" w:type="dxa"/>
            <w:tcBorders>
              <w:top w:val="single" w:sz="2" w:space="0" w:color="auto"/>
              <w:bottom w:val="single" w:sz="2" w:space="0" w:color="auto"/>
            </w:tcBorders>
            <w:shd w:val="clear" w:color="auto" w:fill="auto"/>
            <w:noWrap/>
            <w:vAlign w:val="center"/>
            <w:hideMark/>
          </w:tcPr>
          <w:p w14:paraId="71989CB8"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21 </w:t>
            </w:r>
          </w:p>
        </w:tc>
        <w:tc>
          <w:tcPr>
            <w:tcW w:w="709" w:type="dxa"/>
            <w:tcBorders>
              <w:top w:val="single" w:sz="2" w:space="0" w:color="auto"/>
              <w:bottom w:val="single" w:sz="2" w:space="0" w:color="auto"/>
            </w:tcBorders>
            <w:shd w:val="clear" w:color="auto" w:fill="auto"/>
            <w:noWrap/>
            <w:vAlign w:val="center"/>
            <w:hideMark/>
          </w:tcPr>
          <w:p w14:paraId="16A1BE97"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4.608 </w:t>
            </w:r>
          </w:p>
        </w:tc>
        <w:tc>
          <w:tcPr>
            <w:tcW w:w="567" w:type="dxa"/>
            <w:tcBorders>
              <w:top w:val="single" w:sz="2" w:space="0" w:color="auto"/>
              <w:bottom w:val="single" w:sz="2" w:space="0" w:color="auto"/>
            </w:tcBorders>
            <w:shd w:val="clear" w:color="auto" w:fill="auto"/>
            <w:noWrap/>
            <w:vAlign w:val="center"/>
            <w:hideMark/>
          </w:tcPr>
          <w:p w14:paraId="6A04E16F"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7 </w:t>
            </w:r>
          </w:p>
        </w:tc>
        <w:tc>
          <w:tcPr>
            <w:tcW w:w="709" w:type="dxa"/>
            <w:tcBorders>
              <w:top w:val="single" w:sz="2" w:space="0" w:color="auto"/>
              <w:bottom w:val="single" w:sz="2" w:space="0" w:color="auto"/>
            </w:tcBorders>
            <w:shd w:val="clear" w:color="auto" w:fill="auto"/>
            <w:noWrap/>
            <w:vAlign w:val="center"/>
            <w:hideMark/>
          </w:tcPr>
          <w:p w14:paraId="4E4D172F"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1.467 </w:t>
            </w:r>
          </w:p>
        </w:tc>
        <w:tc>
          <w:tcPr>
            <w:tcW w:w="426" w:type="dxa"/>
            <w:tcBorders>
              <w:top w:val="single" w:sz="2" w:space="0" w:color="auto"/>
              <w:bottom w:val="single" w:sz="2" w:space="0" w:color="auto"/>
            </w:tcBorders>
            <w:shd w:val="clear" w:color="auto" w:fill="auto"/>
            <w:noWrap/>
            <w:vAlign w:val="center"/>
            <w:hideMark/>
          </w:tcPr>
          <w:p w14:paraId="60665F9F"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 </w:t>
            </w:r>
          </w:p>
        </w:tc>
        <w:tc>
          <w:tcPr>
            <w:tcW w:w="849" w:type="dxa"/>
            <w:tcBorders>
              <w:top w:val="single" w:sz="2" w:space="0" w:color="auto"/>
              <w:bottom w:val="single" w:sz="2" w:space="0" w:color="auto"/>
            </w:tcBorders>
            <w:shd w:val="clear" w:color="auto" w:fill="auto"/>
            <w:noWrap/>
            <w:vAlign w:val="center"/>
            <w:hideMark/>
          </w:tcPr>
          <w:p w14:paraId="1F71755B"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174 </w:t>
            </w:r>
          </w:p>
        </w:tc>
        <w:tc>
          <w:tcPr>
            <w:tcW w:w="567" w:type="dxa"/>
            <w:tcBorders>
              <w:top w:val="single" w:sz="2" w:space="0" w:color="auto"/>
              <w:bottom w:val="single" w:sz="2" w:space="0" w:color="auto"/>
            </w:tcBorders>
            <w:shd w:val="clear" w:color="auto" w:fill="auto"/>
            <w:noWrap/>
            <w:vAlign w:val="center"/>
            <w:hideMark/>
          </w:tcPr>
          <w:p w14:paraId="6CD284DE"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85 </w:t>
            </w:r>
          </w:p>
        </w:tc>
        <w:tc>
          <w:tcPr>
            <w:tcW w:w="851" w:type="dxa"/>
            <w:tcBorders>
              <w:top w:val="single" w:sz="2" w:space="0" w:color="auto"/>
              <w:bottom w:val="single" w:sz="2" w:space="0" w:color="auto"/>
            </w:tcBorders>
            <w:shd w:val="clear" w:color="auto" w:fill="auto"/>
            <w:noWrap/>
            <w:vAlign w:val="center"/>
            <w:hideMark/>
          </w:tcPr>
          <w:p w14:paraId="6A02662D"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19.572 </w:t>
            </w:r>
          </w:p>
        </w:tc>
      </w:tr>
      <w:tr w:rsidR="00BD6542" w:rsidRPr="00033257" w14:paraId="69527CD5" w14:textId="77777777" w:rsidTr="009E367B">
        <w:trPr>
          <w:trHeight w:val="198"/>
          <w:jc w:val="center"/>
        </w:trPr>
        <w:tc>
          <w:tcPr>
            <w:tcW w:w="2127" w:type="dxa"/>
            <w:tcBorders>
              <w:top w:val="single" w:sz="2" w:space="0" w:color="auto"/>
              <w:left w:val="nil"/>
              <w:bottom w:val="single" w:sz="4" w:space="0" w:color="auto"/>
            </w:tcBorders>
            <w:shd w:val="clear" w:color="auto" w:fill="auto"/>
            <w:noWrap/>
            <w:vAlign w:val="center"/>
          </w:tcPr>
          <w:p w14:paraId="4C11C4A5" w14:textId="77777777" w:rsidR="00BD6542" w:rsidRPr="00033257" w:rsidRDefault="00BD6542" w:rsidP="00FA2E05">
            <w:pPr>
              <w:pStyle w:val="cuatexto"/>
              <w:spacing w:line="240" w:lineRule="auto"/>
              <w:rPr>
                <w:color w:val="000000"/>
                <w:szCs w:val="20"/>
              </w:rPr>
            </w:pPr>
            <w:r>
              <w:rPr>
                <w:color w:val="000000"/>
              </w:rPr>
              <w:t>&lt; 150.000</w:t>
            </w:r>
          </w:p>
        </w:tc>
        <w:tc>
          <w:tcPr>
            <w:tcW w:w="567" w:type="dxa"/>
            <w:tcBorders>
              <w:top w:val="single" w:sz="2" w:space="0" w:color="auto"/>
              <w:bottom w:val="single" w:sz="4" w:space="0" w:color="auto"/>
            </w:tcBorders>
            <w:shd w:val="clear" w:color="auto" w:fill="auto"/>
            <w:noWrap/>
            <w:vAlign w:val="center"/>
          </w:tcPr>
          <w:p w14:paraId="0935776C"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194 </w:t>
            </w:r>
          </w:p>
        </w:tc>
        <w:tc>
          <w:tcPr>
            <w:tcW w:w="850" w:type="dxa"/>
            <w:tcBorders>
              <w:top w:val="single" w:sz="2" w:space="0" w:color="auto"/>
              <w:bottom w:val="single" w:sz="4" w:space="0" w:color="auto"/>
            </w:tcBorders>
            <w:shd w:val="clear" w:color="auto" w:fill="auto"/>
            <w:noWrap/>
            <w:vAlign w:val="center"/>
          </w:tcPr>
          <w:p w14:paraId="48B7C81B"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13.923 </w:t>
            </w:r>
          </w:p>
        </w:tc>
        <w:tc>
          <w:tcPr>
            <w:tcW w:w="567" w:type="dxa"/>
            <w:tcBorders>
              <w:top w:val="single" w:sz="2" w:space="0" w:color="auto"/>
              <w:bottom w:val="single" w:sz="4" w:space="0" w:color="auto"/>
            </w:tcBorders>
            <w:shd w:val="clear" w:color="auto" w:fill="auto"/>
            <w:noWrap/>
            <w:vAlign w:val="center"/>
          </w:tcPr>
          <w:p w14:paraId="736A4187"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147 </w:t>
            </w:r>
          </w:p>
        </w:tc>
        <w:tc>
          <w:tcPr>
            <w:tcW w:w="709" w:type="dxa"/>
            <w:tcBorders>
              <w:top w:val="single" w:sz="2" w:space="0" w:color="auto"/>
              <w:bottom w:val="single" w:sz="4" w:space="0" w:color="auto"/>
            </w:tcBorders>
            <w:shd w:val="clear" w:color="auto" w:fill="auto"/>
            <w:noWrap/>
            <w:vAlign w:val="center"/>
          </w:tcPr>
          <w:p w14:paraId="5AAC8663"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6.837 </w:t>
            </w:r>
          </w:p>
        </w:tc>
        <w:tc>
          <w:tcPr>
            <w:tcW w:w="567" w:type="dxa"/>
            <w:tcBorders>
              <w:top w:val="single" w:sz="2" w:space="0" w:color="auto"/>
              <w:bottom w:val="single" w:sz="4" w:space="0" w:color="auto"/>
            </w:tcBorders>
            <w:shd w:val="clear" w:color="auto" w:fill="auto"/>
            <w:noWrap/>
            <w:vAlign w:val="center"/>
          </w:tcPr>
          <w:p w14:paraId="500C5B14"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120 </w:t>
            </w:r>
          </w:p>
        </w:tc>
        <w:tc>
          <w:tcPr>
            <w:tcW w:w="709" w:type="dxa"/>
            <w:tcBorders>
              <w:top w:val="single" w:sz="2" w:space="0" w:color="auto"/>
              <w:bottom w:val="single" w:sz="4" w:space="0" w:color="auto"/>
            </w:tcBorders>
            <w:shd w:val="clear" w:color="auto" w:fill="auto"/>
            <w:noWrap/>
            <w:vAlign w:val="center"/>
          </w:tcPr>
          <w:p w14:paraId="4034FCF2"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5.418 </w:t>
            </w:r>
          </w:p>
        </w:tc>
        <w:tc>
          <w:tcPr>
            <w:tcW w:w="426" w:type="dxa"/>
            <w:tcBorders>
              <w:top w:val="single" w:sz="2" w:space="0" w:color="auto"/>
              <w:bottom w:val="single" w:sz="4" w:space="0" w:color="auto"/>
            </w:tcBorders>
            <w:shd w:val="clear" w:color="auto" w:fill="auto"/>
            <w:noWrap/>
            <w:vAlign w:val="center"/>
          </w:tcPr>
          <w:p w14:paraId="31BD0C9F"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8 </w:t>
            </w:r>
          </w:p>
        </w:tc>
        <w:tc>
          <w:tcPr>
            <w:tcW w:w="849" w:type="dxa"/>
            <w:tcBorders>
              <w:top w:val="single" w:sz="2" w:space="0" w:color="auto"/>
              <w:bottom w:val="single" w:sz="4" w:space="0" w:color="auto"/>
            </w:tcBorders>
            <w:shd w:val="clear" w:color="auto" w:fill="auto"/>
            <w:noWrap/>
            <w:vAlign w:val="center"/>
          </w:tcPr>
          <w:p w14:paraId="23160CE6"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61 </w:t>
            </w:r>
          </w:p>
        </w:tc>
        <w:tc>
          <w:tcPr>
            <w:tcW w:w="567" w:type="dxa"/>
            <w:tcBorders>
              <w:top w:val="single" w:sz="2" w:space="0" w:color="auto"/>
              <w:bottom w:val="single" w:sz="4" w:space="0" w:color="auto"/>
            </w:tcBorders>
            <w:shd w:val="clear" w:color="auto" w:fill="auto"/>
            <w:noWrap/>
            <w:vAlign w:val="center"/>
          </w:tcPr>
          <w:p w14:paraId="6EB971DB"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469 </w:t>
            </w:r>
          </w:p>
        </w:tc>
        <w:tc>
          <w:tcPr>
            <w:tcW w:w="851" w:type="dxa"/>
            <w:tcBorders>
              <w:top w:val="single" w:sz="2" w:space="0" w:color="auto"/>
              <w:bottom w:val="single" w:sz="4" w:space="0" w:color="auto"/>
            </w:tcBorders>
            <w:shd w:val="clear" w:color="auto" w:fill="auto"/>
            <w:noWrap/>
            <w:vAlign w:val="center"/>
          </w:tcPr>
          <w:p w14:paraId="7C4E017B" w14:textId="77777777" w:rsidR="00BD6542" w:rsidRPr="00033257" w:rsidRDefault="00BD6542" w:rsidP="00FA2E05">
            <w:pPr>
              <w:spacing w:after="0"/>
              <w:ind w:firstLine="0"/>
              <w:jc w:val="right"/>
              <w:rPr>
                <w:rFonts w:ascii="Arial Narrow" w:hAnsi="Arial Narrow"/>
                <w:color w:val="000000"/>
              </w:rPr>
            </w:pPr>
            <w:r>
              <w:rPr>
                <w:rFonts w:ascii="Arial Narrow" w:hAnsi="Arial Narrow"/>
                <w:color w:val="000000"/>
              </w:rPr>
              <w:t xml:space="preserve"> 26.239 </w:t>
            </w:r>
          </w:p>
        </w:tc>
      </w:tr>
      <w:tr w:rsidR="00BD6542" w:rsidRPr="00EF33ED" w14:paraId="3CCE9401" w14:textId="77777777" w:rsidTr="00FA2E05">
        <w:trPr>
          <w:trHeight w:val="255"/>
          <w:jc w:val="center"/>
        </w:trPr>
        <w:tc>
          <w:tcPr>
            <w:tcW w:w="2127" w:type="dxa"/>
            <w:tcBorders>
              <w:top w:val="single" w:sz="4" w:space="0" w:color="auto"/>
              <w:left w:val="nil"/>
              <w:bottom w:val="single" w:sz="4" w:space="0" w:color="auto"/>
            </w:tcBorders>
            <w:shd w:val="clear" w:color="auto" w:fill="FABF8F" w:themeFill="accent6" w:themeFillTint="99"/>
            <w:noWrap/>
            <w:vAlign w:val="center"/>
            <w:hideMark/>
          </w:tcPr>
          <w:p w14:paraId="4F6584BE" w14:textId="77777777" w:rsidR="00BD6542" w:rsidRPr="00EF33ED" w:rsidRDefault="00BD6542" w:rsidP="00FA2E05">
            <w:pPr>
              <w:pStyle w:val="cuadroCabe"/>
              <w:spacing w:line="240" w:lineRule="auto"/>
              <w:rPr>
                <w:rFonts w:cs="Arial"/>
                <w:sz w:val="16"/>
                <w:szCs w:val="16"/>
              </w:rPr>
            </w:pPr>
            <w:r>
              <w:rPr>
                <w:sz w:val="16"/>
              </w:rPr>
              <w:t> </w:t>
            </w:r>
          </w:p>
        </w:tc>
        <w:tc>
          <w:tcPr>
            <w:tcW w:w="567" w:type="dxa"/>
            <w:tcBorders>
              <w:top w:val="single" w:sz="4" w:space="0" w:color="auto"/>
              <w:bottom w:val="single" w:sz="4" w:space="0" w:color="auto"/>
            </w:tcBorders>
            <w:shd w:val="clear" w:color="auto" w:fill="FABF8F" w:themeFill="accent6" w:themeFillTint="99"/>
            <w:noWrap/>
            <w:vAlign w:val="center"/>
            <w:hideMark/>
          </w:tcPr>
          <w:p w14:paraId="367315AA"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281 </w:t>
            </w:r>
          </w:p>
        </w:tc>
        <w:tc>
          <w:tcPr>
            <w:tcW w:w="850" w:type="dxa"/>
            <w:tcBorders>
              <w:top w:val="single" w:sz="4" w:space="0" w:color="auto"/>
              <w:bottom w:val="single" w:sz="4" w:space="0" w:color="auto"/>
            </w:tcBorders>
            <w:shd w:val="clear" w:color="auto" w:fill="FABF8F" w:themeFill="accent6" w:themeFillTint="99"/>
            <w:noWrap/>
            <w:vAlign w:val="center"/>
            <w:hideMark/>
          </w:tcPr>
          <w:p w14:paraId="14ABCB20"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119.031 </w:t>
            </w:r>
          </w:p>
        </w:tc>
        <w:tc>
          <w:tcPr>
            <w:tcW w:w="567" w:type="dxa"/>
            <w:tcBorders>
              <w:top w:val="single" w:sz="4" w:space="0" w:color="auto"/>
              <w:bottom w:val="single" w:sz="4" w:space="0" w:color="auto"/>
            </w:tcBorders>
            <w:shd w:val="clear" w:color="auto" w:fill="FABF8F" w:themeFill="accent6" w:themeFillTint="99"/>
            <w:noWrap/>
            <w:vAlign w:val="center"/>
            <w:hideMark/>
          </w:tcPr>
          <w:p w14:paraId="6ED79F8D"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186 </w:t>
            </w:r>
          </w:p>
        </w:tc>
        <w:tc>
          <w:tcPr>
            <w:tcW w:w="709" w:type="dxa"/>
            <w:tcBorders>
              <w:top w:val="single" w:sz="4" w:space="0" w:color="auto"/>
              <w:bottom w:val="single" w:sz="4" w:space="0" w:color="auto"/>
            </w:tcBorders>
            <w:shd w:val="clear" w:color="auto" w:fill="FABF8F" w:themeFill="accent6" w:themeFillTint="99"/>
            <w:noWrap/>
            <w:vAlign w:val="center"/>
            <w:hideMark/>
          </w:tcPr>
          <w:p w14:paraId="5ED0E988"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34.796 </w:t>
            </w:r>
          </w:p>
        </w:tc>
        <w:tc>
          <w:tcPr>
            <w:tcW w:w="567" w:type="dxa"/>
            <w:tcBorders>
              <w:top w:val="single" w:sz="4" w:space="0" w:color="auto"/>
              <w:bottom w:val="single" w:sz="4" w:space="0" w:color="auto"/>
            </w:tcBorders>
            <w:shd w:val="clear" w:color="auto" w:fill="FABF8F" w:themeFill="accent6" w:themeFillTint="99"/>
            <w:noWrap/>
            <w:vAlign w:val="center"/>
            <w:hideMark/>
          </w:tcPr>
          <w:p w14:paraId="0F6FE76B"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135 </w:t>
            </w:r>
          </w:p>
        </w:tc>
        <w:tc>
          <w:tcPr>
            <w:tcW w:w="709" w:type="dxa"/>
            <w:tcBorders>
              <w:top w:val="single" w:sz="4" w:space="0" w:color="auto"/>
              <w:bottom w:val="single" w:sz="4" w:space="0" w:color="auto"/>
            </w:tcBorders>
            <w:shd w:val="clear" w:color="auto" w:fill="FABF8F" w:themeFill="accent6" w:themeFillTint="99"/>
            <w:noWrap/>
            <w:vAlign w:val="center"/>
            <w:hideMark/>
          </w:tcPr>
          <w:p w14:paraId="529341DA"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13.878 </w:t>
            </w:r>
          </w:p>
        </w:tc>
        <w:tc>
          <w:tcPr>
            <w:tcW w:w="426" w:type="dxa"/>
            <w:tcBorders>
              <w:top w:val="single" w:sz="4" w:space="0" w:color="auto"/>
              <w:bottom w:val="single" w:sz="4" w:space="0" w:color="auto"/>
            </w:tcBorders>
            <w:shd w:val="clear" w:color="auto" w:fill="FABF8F" w:themeFill="accent6" w:themeFillTint="99"/>
            <w:noWrap/>
            <w:vAlign w:val="center"/>
            <w:hideMark/>
          </w:tcPr>
          <w:p w14:paraId="5D68644D"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10 </w:t>
            </w:r>
          </w:p>
        </w:tc>
        <w:tc>
          <w:tcPr>
            <w:tcW w:w="849" w:type="dxa"/>
            <w:tcBorders>
              <w:top w:val="single" w:sz="4" w:space="0" w:color="auto"/>
              <w:bottom w:val="single" w:sz="4" w:space="0" w:color="auto"/>
            </w:tcBorders>
            <w:shd w:val="clear" w:color="auto" w:fill="FABF8F" w:themeFill="accent6" w:themeFillTint="99"/>
            <w:noWrap/>
            <w:vAlign w:val="center"/>
            <w:hideMark/>
          </w:tcPr>
          <w:p w14:paraId="21280512"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11.680 </w:t>
            </w:r>
          </w:p>
        </w:tc>
        <w:tc>
          <w:tcPr>
            <w:tcW w:w="567" w:type="dxa"/>
            <w:tcBorders>
              <w:top w:val="single" w:sz="4" w:space="0" w:color="auto"/>
              <w:bottom w:val="single" w:sz="4" w:space="0" w:color="auto"/>
            </w:tcBorders>
            <w:shd w:val="clear" w:color="auto" w:fill="FABF8F" w:themeFill="accent6" w:themeFillTint="99"/>
            <w:noWrap/>
            <w:vAlign w:val="center"/>
            <w:hideMark/>
          </w:tcPr>
          <w:p w14:paraId="0670AD51"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612 </w:t>
            </w:r>
          </w:p>
        </w:tc>
        <w:tc>
          <w:tcPr>
            <w:tcW w:w="851" w:type="dxa"/>
            <w:tcBorders>
              <w:top w:val="single" w:sz="4" w:space="0" w:color="auto"/>
              <w:bottom w:val="single" w:sz="4" w:space="0" w:color="auto"/>
            </w:tcBorders>
            <w:shd w:val="clear" w:color="auto" w:fill="FABF8F" w:themeFill="accent6" w:themeFillTint="99"/>
            <w:noWrap/>
            <w:vAlign w:val="center"/>
            <w:hideMark/>
          </w:tcPr>
          <w:p w14:paraId="39AC1834" w14:textId="77777777" w:rsidR="00BD6542" w:rsidRPr="00EF33ED" w:rsidRDefault="00BD6542" w:rsidP="00FA2E05">
            <w:pPr>
              <w:spacing w:after="0"/>
              <w:ind w:firstLine="0"/>
              <w:jc w:val="right"/>
              <w:rPr>
                <w:rFonts w:ascii="Arial" w:hAnsi="Arial" w:cs="Arial"/>
                <w:color w:val="000000"/>
                <w:sz w:val="16"/>
                <w:szCs w:val="16"/>
              </w:rPr>
            </w:pPr>
            <w:r>
              <w:rPr>
                <w:rFonts w:ascii="Arial" w:hAnsi="Arial"/>
                <w:color w:val="000000"/>
                <w:sz w:val="16"/>
              </w:rPr>
              <w:t xml:space="preserve"> 179.386 </w:t>
            </w:r>
          </w:p>
        </w:tc>
      </w:tr>
    </w:tbl>
    <w:p w14:paraId="115173AF" w14:textId="53794A8C" w:rsidR="00EC4C05" w:rsidRPr="00033257" w:rsidRDefault="20CA59C9" w:rsidP="001D196E">
      <w:pPr>
        <w:pStyle w:val="texto"/>
        <w:tabs>
          <w:tab w:val="left" w:pos="2977"/>
        </w:tabs>
        <w:spacing w:before="240"/>
        <w:rPr>
          <w:color w:val="000000" w:themeColor="text1"/>
          <w:w w:val="103"/>
        </w:rPr>
      </w:pPr>
      <w:r>
        <w:rPr>
          <w:color w:val="000000" w:themeColor="text1"/>
        </w:rPr>
        <w:t xml:space="preserve">600.000 eurotik gorako esleipena duten kontratuak 37 dira, eta esleipenen ehuneko 68 dira. SCPSA sozietateak esleitutako 66,19 milioiko kontratuaren eragina kenduta ere, kontratu horiek kontratu kopuruaren ehuneko sei eta esleipen bolumenaren ehuneko 50 izango lirateke.  </w:t>
      </w:r>
    </w:p>
    <w:p w14:paraId="2916C19D" w14:textId="302BB2EB" w:rsidR="0017101E" w:rsidRPr="00033257" w:rsidRDefault="20CA59C9" w:rsidP="009923A5">
      <w:pPr>
        <w:pStyle w:val="texto"/>
        <w:tabs>
          <w:tab w:val="left" w:pos="2977"/>
        </w:tabs>
        <w:spacing w:before="120" w:after="120"/>
        <w:rPr>
          <w:color w:val="000000" w:themeColor="text1"/>
        </w:rPr>
      </w:pPr>
      <w:r>
        <w:rPr>
          <w:color w:val="000000" w:themeColor="text1"/>
        </w:rPr>
        <w:t>Urte arteko alderaketan, 2021ean kontratazio jarduera suspertu egin zen, pandemiaren ondorioz 2020an izandako murrizketa handiaren ondoren. Kontratazio bolumena, 20 milioitik gorako kontratuak alde batera utzita, ehuneko 26 igo da aurreko urtearekin alderatuta, eta ehuneko zazpi 2019arekin alderatuta. Kontratuen kopuruak ere gora egin du:  ehuneko 56 eta ehuneko 21, hurrenez hurren, 2020. eta 2019. urteekiko.</w:t>
      </w:r>
      <w:r>
        <w:br w:type="page"/>
      </w:r>
    </w:p>
    <w:p w14:paraId="1D308C32" w14:textId="77777777" w:rsidR="00683931" w:rsidRPr="00033257" w:rsidRDefault="00683931" w:rsidP="00345C6C">
      <w:pPr>
        <w:pStyle w:val="atitulo1"/>
        <w:rPr>
          <w:color w:val="000000" w:themeColor="text1"/>
        </w:rPr>
      </w:pPr>
      <w:bookmarkStart w:id="88" w:name="_Toc151635604"/>
      <w:r>
        <w:rPr>
          <w:color w:val="000000" w:themeColor="text1"/>
        </w:rPr>
        <w:lastRenderedPageBreak/>
        <w:t>VIII. Kontu-ematea eta aurrekontuen onespena</w:t>
      </w:r>
      <w:bookmarkEnd w:id="88"/>
    </w:p>
    <w:p w14:paraId="3B6EDD1C" w14:textId="26523A8C" w:rsidR="00C84D07" w:rsidRPr="00033257" w:rsidRDefault="00C84D07" w:rsidP="00C84D07">
      <w:pPr>
        <w:pStyle w:val="Ttulo2"/>
        <w:spacing w:after="240"/>
        <w:ind w:firstLine="0"/>
        <w:rPr>
          <w:color w:val="000000" w:themeColor="text1"/>
        </w:rPr>
      </w:pPr>
      <w:bookmarkStart w:id="89" w:name="_Toc151635605"/>
      <w:r>
        <w:rPr>
          <w:b w:val="0"/>
          <w:i w:val="0"/>
          <w:sz w:val="25"/>
        </w:rPr>
        <w:t>VIII.1 Kontuak emateko betebeharra betetzea</w:t>
      </w:r>
      <w:bookmarkEnd w:id="89"/>
    </w:p>
    <w:p w14:paraId="52347DFC" w14:textId="77777777" w:rsidR="00C84D07" w:rsidRPr="00033257" w:rsidRDefault="00C84D07" w:rsidP="00C84D07">
      <w:pPr>
        <w:pStyle w:val="texto"/>
        <w:spacing w:before="120" w:after="120"/>
        <w:rPr>
          <w:rFonts w:cs="Arial"/>
          <w:color w:val="000000" w:themeColor="text1"/>
        </w:rPr>
      </w:pPr>
      <w:r>
        <w:rPr>
          <w:color w:val="000000" w:themeColor="text1"/>
        </w:rPr>
        <w:t>TOFLek dioenez, toki-entitateko lehendakariak martxoaren 31 baino lehen onetsi behar du toki-entitatearen eta haren EEAAen aurrekontuaren likidazioa. Toki-entitatearen kontu orokorra, berriz, udalbatzaren osoko bilkurari aurkeztu behar zaio, hurrengo ekitaldiko irailaren 1a baino lehen onetsi ahal dezan. Toki-entitateek bi dokumentu horiek onetsi eta 15 eguneko epean igorri behar dizkiote NFKAri.</w:t>
      </w:r>
    </w:p>
    <w:p w14:paraId="2F31FFFF" w14:textId="77777777" w:rsidR="00C84D07" w:rsidRPr="00033257" w:rsidRDefault="00C84D07" w:rsidP="009D4522">
      <w:pPr>
        <w:pStyle w:val="texto"/>
        <w:spacing w:before="120" w:after="180"/>
        <w:rPr>
          <w:rFonts w:cs="Arial"/>
          <w:color w:val="000000" w:themeColor="text1"/>
        </w:rPr>
      </w:pPr>
      <w:r>
        <w:rPr>
          <w:color w:val="000000" w:themeColor="text1"/>
        </w:rPr>
        <w:t>Beheko taulan xehetasunez azaltzen ditugu 2021eko ekitaldiko kontu orokorrak onartzeko eta emateko epeak:</w:t>
      </w:r>
    </w:p>
    <w:p w14:paraId="1DA16F42" w14:textId="6F68046B" w:rsidR="00C84D07" w:rsidRPr="00033257" w:rsidRDefault="000C3C49" w:rsidP="00C84D07">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(toki-entitateen portzentajea)</w:t>
      </w:r>
    </w:p>
    <w:tbl>
      <w:tblPr>
        <w:tblW w:w="5000" w:type="pct"/>
        <w:tblCellMar>
          <w:left w:w="70" w:type="dxa"/>
          <w:right w:w="70" w:type="dxa"/>
        </w:tblCellMar>
        <w:tblLook w:val="04A0" w:firstRow="1" w:lastRow="0" w:firstColumn="1" w:lastColumn="0" w:noHBand="0" w:noVBand="1"/>
      </w:tblPr>
      <w:tblGrid>
        <w:gridCol w:w="2191"/>
        <w:gridCol w:w="1164"/>
        <w:gridCol w:w="884"/>
        <w:gridCol w:w="1294"/>
        <w:gridCol w:w="821"/>
        <w:gridCol w:w="1501"/>
        <w:gridCol w:w="933"/>
      </w:tblGrid>
      <w:tr w:rsidR="004B6C56" w:rsidRPr="000C3C49" w14:paraId="67B29926" w14:textId="77777777" w:rsidTr="004B6C56">
        <w:trPr>
          <w:trHeight w:val="284"/>
        </w:trPr>
        <w:tc>
          <w:tcPr>
            <w:tcW w:w="1247" w:type="pct"/>
            <w:vMerge w:val="restart"/>
            <w:tcBorders>
              <w:top w:val="single" w:sz="4" w:space="0" w:color="auto"/>
              <w:left w:val="nil"/>
              <w:right w:val="nil"/>
            </w:tcBorders>
            <w:shd w:val="clear" w:color="auto" w:fill="FABF8F" w:themeFill="accent6" w:themeFillTint="99"/>
            <w:noWrap/>
            <w:vAlign w:val="center"/>
            <w:hideMark/>
          </w:tcPr>
          <w:p w14:paraId="31D68A0E" w14:textId="77777777" w:rsidR="004B6C56" w:rsidRPr="00FA2E05" w:rsidRDefault="004B6C56" w:rsidP="004B6C56">
            <w:pPr>
              <w:spacing w:after="0"/>
              <w:ind w:firstLine="0"/>
              <w:jc w:val="left"/>
              <w:rPr>
                <w:rFonts w:ascii="Arial" w:hAnsi="Arial" w:cs="Arial"/>
                <w:color w:val="000000"/>
                <w:sz w:val="18"/>
                <w:szCs w:val="18"/>
              </w:rPr>
            </w:pPr>
            <w:r>
              <w:rPr>
                <w:rFonts w:ascii="Arial" w:hAnsi="Arial"/>
                <w:color w:val="000000"/>
                <w:sz w:val="18"/>
              </w:rPr>
              <w:t>Entitate mota</w:t>
            </w:r>
          </w:p>
        </w:tc>
        <w:tc>
          <w:tcPr>
            <w:tcW w:w="1165"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0E7B07F7" w14:textId="77777777"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Epean onetsia</w:t>
            </w:r>
          </w:p>
        </w:tc>
        <w:tc>
          <w:tcPr>
            <w:tcW w:w="1203"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20ED5025" w14:textId="77777777"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 xml:space="preserve">Epean igorria </w:t>
            </w:r>
          </w:p>
        </w:tc>
        <w:tc>
          <w:tcPr>
            <w:tcW w:w="1385" w:type="pct"/>
            <w:gridSpan w:val="2"/>
            <w:tcBorders>
              <w:top w:val="single" w:sz="4" w:space="0" w:color="auto"/>
              <w:left w:val="nil"/>
              <w:bottom w:val="nil"/>
              <w:right w:val="nil"/>
            </w:tcBorders>
            <w:shd w:val="clear" w:color="auto" w:fill="FABF8F" w:themeFill="accent6" w:themeFillTint="99"/>
            <w:vAlign w:val="center"/>
            <w:hideMark/>
          </w:tcPr>
          <w:p w14:paraId="4B2864DF" w14:textId="77777777"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X+1-12-31rako igorria</w:t>
            </w:r>
          </w:p>
        </w:tc>
      </w:tr>
      <w:tr w:rsidR="004B6C56" w:rsidRPr="000C3C49" w14:paraId="41926CB8" w14:textId="77777777" w:rsidTr="004B6C56">
        <w:trPr>
          <w:trHeight w:val="284"/>
        </w:trPr>
        <w:tc>
          <w:tcPr>
            <w:tcW w:w="1247" w:type="pct"/>
            <w:vMerge/>
            <w:tcBorders>
              <w:left w:val="nil"/>
              <w:bottom w:val="single" w:sz="4" w:space="0" w:color="auto"/>
              <w:right w:val="nil"/>
            </w:tcBorders>
            <w:shd w:val="clear" w:color="auto" w:fill="FABF8F" w:themeFill="accent6" w:themeFillTint="99"/>
            <w:noWrap/>
            <w:vAlign w:val="center"/>
          </w:tcPr>
          <w:p w14:paraId="49AA3459" w14:textId="77777777" w:rsidR="004B6C56" w:rsidRPr="000C3C49" w:rsidRDefault="004B6C56" w:rsidP="004B6C56">
            <w:pPr>
              <w:spacing w:after="0"/>
              <w:ind w:firstLine="0"/>
              <w:jc w:val="right"/>
              <w:rPr>
                <w:rFonts w:ascii="Arial" w:hAnsi="Arial" w:cs="Arial"/>
                <w:color w:val="000000"/>
                <w:sz w:val="16"/>
                <w:szCs w:val="16"/>
                <w:lang w:val="es-ES" w:eastAsia="es-ES"/>
              </w:rPr>
            </w:pPr>
          </w:p>
        </w:tc>
        <w:tc>
          <w:tcPr>
            <w:tcW w:w="662" w:type="pct"/>
            <w:tcBorders>
              <w:top w:val="nil"/>
              <w:left w:val="nil"/>
              <w:bottom w:val="single" w:sz="4" w:space="0" w:color="auto"/>
              <w:right w:val="nil"/>
            </w:tcBorders>
            <w:shd w:val="clear" w:color="auto" w:fill="FABF8F" w:themeFill="accent6" w:themeFillTint="99"/>
            <w:vAlign w:val="center"/>
          </w:tcPr>
          <w:p w14:paraId="21A7299A" w14:textId="306D0C24"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2020</w:t>
            </w:r>
          </w:p>
        </w:tc>
        <w:tc>
          <w:tcPr>
            <w:tcW w:w="503" w:type="pct"/>
            <w:tcBorders>
              <w:top w:val="nil"/>
              <w:left w:val="nil"/>
              <w:bottom w:val="single" w:sz="4" w:space="0" w:color="auto"/>
              <w:right w:val="nil"/>
            </w:tcBorders>
            <w:shd w:val="clear" w:color="auto" w:fill="FABF8F" w:themeFill="accent6" w:themeFillTint="99"/>
            <w:vAlign w:val="center"/>
          </w:tcPr>
          <w:p w14:paraId="24F3C8AC" w14:textId="743C84D6"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2021</w:t>
            </w:r>
          </w:p>
        </w:tc>
        <w:tc>
          <w:tcPr>
            <w:tcW w:w="736" w:type="pct"/>
            <w:tcBorders>
              <w:top w:val="nil"/>
              <w:left w:val="nil"/>
              <w:bottom w:val="single" w:sz="4" w:space="0" w:color="auto"/>
              <w:right w:val="nil"/>
            </w:tcBorders>
            <w:shd w:val="clear" w:color="auto" w:fill="FABF8F" w:themeFill="accent6" w:themeFillTint="99"/>
            <w:vAlign w:val="center"/>
          </w:tcPr>
          <w:p w14:paraId="37662C27" w14:textId="0ABD9443"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2020</w:t>
            </w:r>
          </w:p>
        </w:tc>
        <w:tc>
          <w:tcPr>
            <w:tcW w:w="467" w:type="pct"/>
            <w:tcBorders>
              <w:top w:val="nil"/>
              <w:left w:val="nil"/>
              <w:bottom w:val="single" w:sz="4" w:space="0" w:color="auto"/>
              <w:right w:val="nil"/>
            </w:tcBorders>
            <w:shd w:val="clear" w:color="auto" w:fill="FABF8F" w:themeFill="accent6" w:themeFillTint="99"/>
            <w:vAlign w:val="center"/>
          </w:tcPr>
          <w:p w14:paraId="65B89A73" w14:textId="532EA5A9"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2021</w:t>
            </w:r>
          </w:p>
        </w:tc>
        <w:tc>
          <w:tcPr>
            <w:tcW w:w="854" w:type="pct"/>
            <w:tcBorders>
              <w:top w:val="single" w:sz="4" w:space="0" w:color="auto"/>
              <w:left w:val="nil"/>
              <w:bottom w:val="single" w:sz="4" w:space="0" w:color="auto"/>
              <w:right w:val="nil"/>
            </w:tcBorders>
            <w:shd w:val="clear" w:color="auto" w:fill="FABF8F" w:themeFill="accent6" w:themeFillTint="99"/>
            <w:vAlign w:val="center"/>
          </w:tcPr>
          <w:p w14:paraId="760A1626" w14:textId="4A73940B"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2020</w:t>
            </w:r>
          </w:p>
        </w:tc>
        <w:tc>
          <w:tcPr>
            <w:tcW w:w="531" w:type="pct"/>
            <w:tcBorders>
              <w:top w:val="single" w:sz="4" w:space="0" w:color="auto"/>
              <w:left w:val="nil"/>
              <w:bottom w:val="single" w:sz="4" w:space="0" w:color="auto"/>
              <w:right w:val="nil"/>
            </w:tcBorders>
            <w:shd w:val="clear" w:color="auto" w:fill="FABF8F" w:themeFill="accent6" w:themeFillTint="99"/>
            <w:vAlign w:val="center"/>
          </w:tcPr>
          <w:p w14:paraId="7C00B0FA" w14:textId="3AF9745F" w:rsidR="004B6C56" w:rsidRPr="000C3C49" w:rsidRDefault="004B6C56" w:rsidP="004B6C56">
            <w:pPr>
              <w:spacing w:after="0"/>
              <w:ind w:firstLine="0"/>
              <w:jc w:val="right"/>
              <w:rPr>
                <w:rFonts w:ascii="Arial" w:hAnsi="Arial" w:cs="Arial"/>
                <w:color w:val="000000"/>
                <w:sz w:val="16"/>
                <w:szCs w:val="16"/>
              </w:rPr>
            </w:pPr>
            <w:r>
              <w:rPr>
                <w:rFonts w:ascii="Arial" w:hAnsi="Arial"/>
                <w:color w:val="000000"/>
                <w:sz w:val="16"/>
              </w:rPr>
              <w:t>2021</w:t>
            </w:r>
          </w:p>
        </w:tc>
      </w:tr>
      <w:tr w:rsidR="004B6C56" w:rsidRPr="00033257" w14:paraId="320AEEA6" w14:textId="77777777" w:rsidTr="00587A64">
        <w:trPr>
          <w:trHeight w:val="284"/>
        </w:trPr>
        <w:tc>
          <w:tcPr>
            <w:tcW w:w="1247" w:type="pct"/>
            <w:tcBorders>
              <w:top w:val="nil"/>
              <w:left w:val="nil"/>
              <w:bottom w:val="single" w:sz="2" w:space="0" w:color="auto"/>
              <w:right w:val="nil"/>
            </w:tcBorders>
            <w:shd w:val="clear" w:color="auto" w:fill="auto"/>
            <w:noWrap/>
            <w:vAlign w:val="center"/>
          </w:tcPr>
          <w:p w14:paraId="29619919" w14:textId="77777777" w:rsidR="004B6C56" w:rsidRPr="00033257" w:rsidRDefault="004B6C56" w:rsidP="004B6C56">
            <w:pPr>
              <w:spacing w:after="0"/>
              <w:ind w:firstLine="0"/>
              <w:jc w:val="left"/>
              <w:rPr>
                <w:rFonts w:ascii="Arial Narrow" w:hAnsi="Arial Narrow" w:cs="Calibri"/>
                <w:color w:val="000000"/>
              </w:rPr>
            </w:pPr>
            <w:r>
              <w:rPr>
                <w:rFonts w:ascii="Arial Narrow" w:hAnsi="Arial Narrow"/>
                <w:color w:val="000000"/>
              </w:rPr>
              <w:t>Udalak</w:t>
            </w:r>
          </w:p>
        </w:tc>
        <w:tc>
          <w:tcPr>
            <w:tcW w:w="662" w:type="pct"/>
            <w:tcBorders>
              <w:top w:val="nil"/>
              <w:left w:val="nil"/>
              <w:bottom w:val="single" w:sz="2" w:space="0" w:color="auto"/>
              <w:right w:val="nil"/>
            </w:tcBorders>
            <w:shd w:val="clear" w:color="auto" w:fill="auto"/>
            <w:noWrap/>
            <w:vAlign w:val="center"/>
          </w:tcPr>
          <w:p w14:paraId="203B2E26" w14:textId="62777BAC"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69</w:t>
            </w:r>
          </w:p>
        </w:tc>
        <w:tc>
          <w:tcPr>
            <w:tcW w:w="503" w:type="pct"/>
            <w:tcBorders>
              <w:top w:val="nil"/>
              <w:left w:val="nil"/>
              <w:bottom w:val="single" w:sz="2" w:space="0" w:color="auto"/>
              <w:right w:val="nil"/>
            </w:tcBorders>
            <w:shd w:val="clear" w:color="auto" w:fill="auto"/>
            <w:noWrap/>
            <w:vAlign w:val="center"/>
          </w:tcPr>
          <w:p w14:paraId="19662805" w14:textId="50C0E86C"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67</w:t>
            </w:r>
          </w:p>
        </w:tc>
        <w:tc>
          <w:tcPr>
            <w:tcW w:w="736" w:type="pct"/>
            <w:tcBorders>
              <w:top w:val="nil"/>
              <w:left w:val="nil"/>
              <w:bottom w:val="single" w:sz="2" w:space="0" w:color="auto"/>
              <w:right w:val="nil"/>
            </w:tcBorders>
            <w:shd w:val="clear" w:color="auto" w:fill="auto"/>
            <w:noWrap/>
            <w:vAlign w:val="center"/>
          </w:tcPr>
          <w:p w14:paraId="7F1A14D7" w14:textId="25ED724F"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57</w:t>
            </w:r>
          </w:p>
        </w:tc>
        <w:tc>
          <w:tcPr>
            <w:tcW w:w="467" w:type="pct"/>
            <w:tcBorders>
              <w:top w:val="nil"/>
              <w:left w:val="nil"/>
              <w:bottom w:val="single" w:sz="2" w:space="0" w:color="auto"/>
              <w:right w:val="nil"/>
            </w:tcBorders>
            <w:shd w:val="clear" w:color="auto" w:fill="auto"/>
            <w:noWrap/>
            <w:vAlign w:val="center"/>
          </w:tcPr>
          <w:p w14:paraId="269E71D2" w14:textId="3F9629D9"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51</w:t>
            </w:r>
          </w:p>
        </w:tc>
        <w:tc>
          <w:tcPr>
            <w:tcW w:w="854" w:type="pct"/>
            <w:tcBorders>
              <w:top w:val="nil"/>
              <w:left w:val="nil"/>
              <w:bottom w:val="single" w:sz="2" w:space="0" w:color="auto"/>
              <w:right w:val="nil"/>
            </w:tcBorders>
            <w:shd w:val="clear" w:color="auto" w:fill="auto"/>
            <w:noWrap/>
            <w:vAlign w:val="center"/>
          </w:tcPr>
          <w:p w14:paraId="2781468E" w14:textId="4F034ED9"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71</w:t>
            </w:r>
          </w:p>
        </w:tc>
        <w:tc>
          <w:tcPr>
            <w:tcW w:w="531" w:type="pct"/>
            <w:tcBorders>
              <w:top w:val="nil"/>
              <w:left w:val="nil"/>
              <w:bottom w:val="single" w:sz="2" w:space="0" w:color="auto"/>
              <w:right w:val="nil"/>
            </w:tcBorders>
            <w:shd w:val="clear" w:color="auto" w:fill="auto"/>
            <w:noWrap/>
            <w:vAlign w:val="center"/>
          </w:tcPr>
          <w:p w14:paraId="257C7115" w14:textId="0EF231AA"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80</w:t>
            </w:r>
          </w:p>
        </w:tc>
      </w:tr>
      <w:tr w:rsidR="004B6C56" w:rsidRPr="00033257" w14:paraId="440F4718" w14:textId="77777777" w:rsidTr="004B6C56">
        <w:trPr>
          <w:trHeight w:val="284"/>
        </w:trPr>
        <w:tc>
          <w:tcPr>
            <w:tcW w:w="1247" w:type="pct"/>
            <w:tcBorders>
              <w:top w:val="single" w:sz="2" w:space="0" w:color="auto"/>
              <w:left w:val="nil"/>
              <w:bottom w:val="single" w:sz="2" w:space="0" w:color="auto"/>
              <w:right w:val="nil"/>
            </w:tcBorders>
            <w:shd w:val="clear" w:color="auto" w:fill="auto"/>
            <w:noWrap/>
            <w:vAlign w:val="center"/>
          </w:tcPr>
          <w:p w14:paraId="68721CBC" w14:textId="77777777" w:rsidR="004B6C56" w:rsidRPr="00033257" w:rsidRDefault="004B6C56" w:rsidP="004B6C56">
            <w:pPr>
              <w:spacing w:after="0"/>
              <w:ind w:firstLine="0"/>
              <w:jc w:val="left"/>
              <w:rPr>
                <w:rFonts w:ascii="Arial Narrow" w:hAnsi="Arial Narrow" w:cs="Calibri"/>
                <w:color w:val="000000"/>
              </w:rPr>
            </w:pPr>
            <w:r>
              <w:rPr>
                <w:rFonts w:ascii="Arial Narrow" w:hAnsi="Arial Narrow"/>
                <w:color w:val="000000"/>
              </w:rPr>
              <w:t>Kontzejuak</w:t>
            </w:r>
          </w:p>
        </w:tc>
        <w:tc>
          <w:tcPr>
            <w:tcW w:w="662" w:type="pct"/>
            <w:tcBorders>
              <w:top w:val="single" w:sz="2" w:space="0" w:color="auto"/>
              <w:left w:val="nil"/>
              <w:bottom w:val="single" w:sz="2" w:space="0" w:color="auto"/>
              <w:right w:val="nil"/>
            </w:tcBorders>
            <w:shd w:val="clear" w:color="auto" w:fill="auto"/>
            <w:noWrap/>
            <w:vAlign w:val="center"/>
          </w:tcPr>
          <w:p w14:paraId="7CC54E9B" w14:textId="1CD050F9"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68</w:t>
            </w:r>
          </w:p>
        </w:tc>
        <w:tc>
          <w:tcPr>
            <w:tcW w:w="503" w:type="pct"/>
            <w:tcBorders>
              <w:top w:val="single" w:sz="2" w:space="0" w:color="auto"/>
              <w:left w:val="nil"/>
              <w:bottom w:val="single" w:sz="2" w:space="0" w:color="auto"/>
              <w:right w:val="nil"/>
            </w:tcBorders>
            <w:shd w:val="clear" w:color="auto" w:fill="auto"/>
            <w:noWrap/>
            <w:vAlign w:val="center"/>
          </w:tcPr>
          <w:p w14:paraId="3865893E" w14:textId="13A1599E"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60</w:t>
            </w:r>
          </w:p>
        </w:tc>
        <w:tc>
          <w:tcPr>
            <w:tcW w:w="736" w:type="pct"/>
            <w:tcBorders>
              <w:top w:val="single" w:sz="2" w:space="0" w:color="auto"/>
              <w:left w:val="nil"/>
              <w:bottom w:val="single" w:sz="2" w:space="0" w:color="auto"/>
              <w:right w:val="nil"/>
            </w:tcBorders>
            <w:shd w:val="clear" w:color="auto" w:fill="auto"/>
            <w:noWrap/>
            <w:vAlign w:val="center"/>
          </w:tcPr>
          <w:p w14:paraId="2A4EEFF5" w14:textId="2146FB5F"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52</w:t>
            </w:r>
          </w:p>
        </w:tc>
        <w:tc>
          <w:tcPr>
            <w:tcW w:w="467" w:type="pct"/>
            <w:tcBorders>
              <w:top w:val="single" w:sz="2" w:space="0" w:color="auto"/>
              <w:left w:val="nil"/>
              <w:bottom w:val="single" w:sz="2" w:space="0" w:color="auto"/>
              <w:right w:val="nil"/>
            </w:tcBorders>
            <w:shd w:val="clear" w:color="auto" w:fill="auto"/>
            <w:noWrap/>
            <w:vAlign w:val="center"/>
          </w:tcPr>
          <w:p w14:paraId="31585B14" w14:textId="7ED0416B"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39</w:t>
            </w:r>
          </w:p>
        </w:tc>
        <w:tc>
          <w:tcPr>
            <w:tcW w:w="854" w:type="pct"/>
            <w:tcBorders>
              <w:top w:val="single" w:sz="2" w:space="0" w:color="auto"/>
              <w:left w:val="nil"/>
              <w:bottom w:val="single" w:sz="2" w:space="0" w:color="auto"/>
              <w:right w:val="nil"/>
            </w:tcBorders>
            <w:shd w:val="clear" w:color="auto" w:fill="auto"/>
            <w:noWrap/>
            <w:vAlign w:val="center"/>
          </w:tcPr>
          <w:p w14:paraId="25AAD646" w14:textId="4CF4C767"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66</w:t>
            </w:r>
          </w:p>
        </w:tc>
        <w:tc>
          <w:tcPr>
            <w:tcW w:w="531" w:type="pct"/>
            <w:tcBorders>
              <w:top w:val="single" w:sz="2" w:space="0" w:color="auto"/>
              <w:left w:val="nil"/>
              <w:bottom w:val="single" w:sz="2" w:space="0" w:color="auto"/>
              <w:right w:val="nil"/>
            </w:tcBorders>
            <w:shd w:val="clear" w:color="auto" w:fill="auto"/>
            <w:noWrap/>
            <w:vAlign w:val="center"/>
          </w:tcPr>
          <w:p w14:paraId="25EB0443" w14:textId="7C67EF5E"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74</w:t>
            </w:r>
          </w:p>
        </w:tc>
      </w:tr>
      <w:tr w:rsidR="004B6C56" w:rsidRPr="00033257" w14:paraId="35595F73" w14:textId="77777777" w:rsidTr="004B6C56">
        <w:trPr>
          <w:trHeight w:val="284"/>
        </w:trPr>
        <w:tc>
          <w:tcPr>
            <w:tcW w:w="1247" w:type="pct"/>
            <w:tcBorders>
              <w:top w:val="single" w:sz="2" w:space="0" w:color="auto"/>
              <w:left w:val="nil"/>
              <w:bottom w:val="single" w:sz="2" w:space="0" w:color="auto"/>
              <w:right w:val="nil"/>
            </w:tcBorders>
            <w:shd w:val="clear" w:color="auto" w:fill="auto"/>
            <w:noWrap/>
            <w:vAlign w:val="center"/>
          </w:tcPr>
          <w:p w14:paraId="19274BDF" w14:textId="77777777" w:rsidR="004B6C56" w:rsidRPr="00033257" w:rsidRDefault="004B6C56" w:rsidP="004B6C56">
            <w:pPr>
              <w:spacing w:after="0"/>
              <w:ind w:firstLine="0"/>
              <w:jc w:val="left"/>
              <w:rPr>
                <w:rFonts w:ascii="Arial Narrow" w:hAnsi="Arial Narrow" w:cs="Calibri"/>
                <w:color w:val="000000"/>
              </w:rPr>
            </w:pPr>
            <w:r>
              <w:rPr>
                <w:rFonts w:ascii="Arial Narrow" w:hAnsi="Arial Narrow"/>
                <w:color w:val="000000"/>
              </w:rPr>
              <w:t>Mankomunitateak</w:t>
            </w:r>
          </w:p>
        </w:tc>
        <w:tc>
          <w:tcPr>
            <w:tcW w:w="662" w:type="pct"/>
            <w:tcBorders>
              <w:top w:val="single" w:sz="2" w:space="0" w:color="auto"/>
              <w:left w:val="nil"/>
              <w:bottom w:val="single" w:sz="2" w:space="0" w:color="auto"/>
              <w:right w:val="nil"/>
            </w:tcBorders>
            <w:shd w:val="clear" w:color="auto" w:fill="auto"/>
            <w:noWrap/>
            <w:vAlign w:val="center"/>
          </w:tcPr>
          <w:p w14:paraId="13966FEC" w14:textId="7EBF31FA"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61</w:t>
            </w:r>
          </w:p>
        </w:tc>
        <w:tc>
          <w:tcPr>
            <w:tcW w:w="503" w:type="pct"/>
            <w:tcBorders>
              <w:top w:val="single" w:sz="2" w:space="0" w:color="auto"/>
              <w:left w:val="nil"/>
              <w:bottom w:val="single" w:sz="2" w:space="0" w:color="auto"/>
              <w:right w:val="nil"/>
            </w:tcBorders>
            <w:shd w:val="clear" w:color="auto" w:fill="auto"/>
            <w:noWrap/>
            <w:vAlign w:val="center"/>
          </w:tcPr>
          <w:p w14:paraId="0D507645" w14:textId="2FF7C8D5"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66</w:t>
            </w:r>
          </w:p>
        </w:tc>
        <w:tc>
          <w:tcPr>
            <w:tcW w:w="736" w:type="pct"/>
            <w:tcBorders>
              <w:top w:val="single" w:sz="2" w:space="0" w:color="auto"/>
              <w:left w:val="nil"/>
              <w:bottom w:val="single" w:sz="2" w:space="0" w:color="auto"/>
              <w:right w:val="nil"/>
            </w:tcBorders>
            <w:shd w:val="clear" w:color="auto" w:fill="auto"/>
            <w:noWrap/>
            <w:vAlign w:val="center"/>
          </w:tcPr>
          <w:p w14:paraId="62D5FE1F" w14:textId="3B26279B"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54</w:t>
            </w:r>
          </w:p>
        </w:tc>
        <w:tc>
          <w:tcPr>
            <w:tcW w:w="467" w:type="pct"/>
            <w:tcBorders>
              <w:top w:val="single" w:sz="2" w:space="0" w:color="auto"/>
              <w:left w:val="nil"/>
              <w:bottom w:val="single" w:sz="2" w:space="0" w:color="auto"/>
              <w:right w:val="nil"/>
            </w:tcBorders>
            <w:shd w:val="clear" w:color="auto" w:fill="auto"/>
            <w:noWrap/>
            <w:vAlign w:val="center"/>
          </w:tcPr>
          <w:p w14:paraId="4682C8EC" w14:textId="166AB30A"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45</w:t>
            </w:r>
          </w:p>
        </w:tc>
        <w:tc>
          <w:tcPr>
            <w:tcW w:w="854" w:type="pct"/>
            <w:tcBorders>
              <w:top w:val="single" w:sz="2" w:space="0" w:color="auto"/>
              <w:left w:val="nil"/>
              <w:bottom w:val="single" w:sz="2" w:space="0" w:color="auto"/>
              <w:right w:val="nil"/>
            </w:tcBorders>
            <w:shd w:val="clear" w:color="auto" w:fill="auto"/>
            <w:noWrap/>
            <w:vAlign w:val="center"/>
          </w:tcPr>
          <w:p w14:paraId="2262E186" w14:textId="65929BD3"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66</w:t>
            </w:r>
          </w:p>
        </w:tc>
        <w:tc>
          <w:tcPr>
            <w:tcW w:w="531" w:type="pct"/>
            <w:tcBorders>
              <w:top w:val="single" w:sz="2" w:space="0" w:color="auto"/>
              <w:left w:val="nil"/>
              <w:bottom w:val="single" w:sz="2" w:space="0" w:color="auto"/>
              <w:right w:val="nil"/>
            </w:tcBorders>
            <w:shd w:val="clear" w:color="auto" w:fill="auto"/>
            <w:noWrap/>
            <w:vAlign w:val="center"/>
          </w:tcPr>
          <w:p w14:paraId="467298B6" w14:textId="3A56D439"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77</w:t>
            </w:r>
          </w:p>
        </w:tc>
      </w:tr>
      <w:tr w:rsidR="004B6C56" w:rsidRPr="00033257" w14:paraId="2434E192" w14:textId="77777777" w:rsidTr="00587A64">
        <w:trPr>
          <w:trHeight w:val="284"/>
        </w:trPr>
        <w:tc>
          <w:tcPr>
            <w:tcW w:w="1247" w:type="pct"/>
            <w:tcBorders>
              <w:top w:val="single" w:sz="2" w:space="0" w:color="auto"/>
              <w:left w:val="nil"/>
              <w:bottom w:val="single" w:sz="4" w:space="0" w:color="auto"/>
              <w:right w:val="nil"/>
            </w:tcBorders>
            <w:shd w:val="clear" w:color="auto" w:fill="auto"/>
            <w:noWrap/>
            <w:vAlign w:val="center"/>
          </w:tcPr>
          <w:p w14:paraId="40AF96BE" w14:textId="77777777" w:rsidR="004B6C56" w:rsidRPr="00033257" w:rsidRDefault="004B6C56" w:rsidP="004B6C56">
            <w:pPr>
              <w:spacing w:after="0"/>
              <w:ind w:firstLine="0"/>
              <w:jc w:val="left"/>
              <w:rPr>
                <w:rFonts w:ascii="Arial Narrow" w:hAnsi="Arial Narrow" w:cs="Calibri"/>
                <w:color w:val="000000"/>
              </w:rPr>
            </w:pPr>
            <w:r>
              <w:rPr>
                <w:rFonts w:ascii="Arial Narrow" w:hAnsi="Arial Narrow"/>
                <w:color w:val="000000"/>
              </w:rPr>
              <w:t>Batasunak</w:t>
            </w:r>
          </w:p>
        </w:tc>
        <w:tc>
          <w:tcPr>
            <w:tcW w:w="662" w:type="pct"/>
            <w:tcBorders>
              <w:top w:val="single" w:sz="2" w:space="0" w:color="auto"/>
              <w:left w:val="nil"/>
              <w:bottom w:val="single" w:sz="4" w:space="0" w:color="auto"/>
              <w:right w:val="nil"/>
            </w:tcBorders>
            <w:shd w:val="clear" w:color="auto" w:fill="auto"/>
            <w:noWrap/>
            <w:vAlign w:val="center"/>
          </w:tcPr>
          <w:p w14:paraId="2B36DA4E" w14:textId="07ED35A4"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64</w:t>
            </w:r>
          </w:p>
        </w:tc>
        <w:tc>
          <w:tcPr>
            <w:tcW w:w="503" w:type="pct"/>
            <w:tcBorders>
              <w:top w:val="single" w:sz="2" w:space="0" w:color="auto"/>
              <w:left w:val="nil"/>
              <w:bottom w:val="single" w:sz="4" w:space="0" w:color="auto"/>
              <w:right w:val="nil"/>
            </w:tcBorders>
            <w:shd w:val="clear" w:color="auto" w:fill="auto"/>
            <w:noWrap/>
            <w:vAlign w:val="center"/>
          </w:tcPr>
          <w:p w14:paraId="7261AFA9" w14:textId="4FE06354"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55</w:t>
            </w:r>
          </w:p>
        </w:tc>
        <w:tc>
          <w:tcPr>
            <w:tcW w:w="736" w:type="pct"/>
            <w:tcBorders>
              <w:top w:val="single" w:sz="2" w:space="0" w:color="auto"/>
              <w:left w:val="nil"/>
              <w:bottom w:val="single" w:sz="4" w:space="0" w:color="auto"/>
              <w:right w:val="nil"/>
            </w:tcBorders>
            <w:shd w:val="clear" w:color="auto" w:fill="auto"/>
            <w:noWrap/>
            <w:vAlign w:val="center"/>
          </w:tcPr>
          <w:p w14:paraId="289CD19E" w14:textId="41CA32B6"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41</w:t>
            </w:r>
          </w:p>
        </w:tc>
        <w:tc>
          <w:tcPr>
            <w:tcW w:w="467" w:type="pct"/>
            <w:tcBorders>
              <w:top w:val="single" w:sz="2" w:space="0" w:color="auto"/>
              <w:left w:val="nil"/>
              <w:bottom w:val="single" w:sz="4" w:space="0" w:color="auto"/>
              <w:right w:val="nil"/>
            </w:tcBorders>
            <w:shd w:val="clear" w:color="auto" w:fill="auto"/>
            <w:noWrap/>
            <w:vAlign w:val="center"/>
          </w:tcPr>
          <w:p w14:paraId="2322718B" w14:textId="16634234"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45</w:t>
            </w:r>
          </w:p>
        </w:tc>
        <w:tc>
          <w:tcPr>
            <w:tcW w:w="854" w:type="pct"/>
            <w:tcBorders>
              <w:top w:val="single" w:sz="2" w:space="0" w:color="auto"/>
              <w:left w:val="nil"/>
              <w:bottom w:val="single" w:sz="4" w:space="0" w:color="auto"/>
              <w:right w:val="nil"/>
            </w:tcBorders>
            <w:shd w:val="clear" w:color="auto" w:fill="auto"/>
            <w:noWrap/>
            <w:vAlign w:val="center"/>
          </w:tcPr>
          <w:p w14:paraId="7B6A9E7C" w14:textId="4470CC96"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68</w:t>
            </w:r>
          </w:p>
        </w:tc>
        <w:tc>
          <w:tcPr>
            <w:tcW w:w="531" w:type="pct"/>
            <w:tcBorders>
              <w:top w:val="single" w:sz="2" w:space="0" w:color="auto"/>
              <w:left w:val="nil"/>
              <w:bottom w:val="single" w:sz="4" w:space="0" w:color="auto"/>
              <w:right w:val="nil"/>
            </w:tcBorders>
            <w:shd w:val="clear" w:color="auto" w:fill="auto"/>
            <w:noWrap/>
            <w:vAlign w:val="center"/>
          </w:tcPr>
          <w:p w14:paraId="444EF5B4" w14:textId="301857EA" w:rsidR="004B6C56" w:rsidRPr="00033257" w:rsidRDefault="004B6C56" w:rsidP="004B6C56">
            <w:pPr>
              <w:spacing w:after="0"/>
              <w:ind w:firstLine="0"/>
              <w:jc w:val="right"/>
              <w:rPr>
                <w:rFonts w:ascii="Arial Narrow" w:hAnsi="Arial Narrow" w:cs="Calibri"/>
                <w:color w:val="000000"/>
              </w:rPr>
            </w:pPr>
            <w:r>
              <w:rPr>
                <w:rFonts w:ascii="Arial Narrow" w:hAnsi="Arial Narrow"/>
                <w:color w:val="000000"/>
              </w:rPr>
              <w:t>77</w:t>
            </w:r>
          </w:p>
        </w:tc>
      </w:tr>
      <w:tr w:rsidR="004B6C56" w:rsidRPr="00CA5381" w14:paraId="31B27C48" w14:textId="77777777" w:rsidTr="004B6C56">
        <w:trPr>
          <w:trHeight w:val="284"/>
        </w:trPr>
        <w:tc>
          <w:tcPr>
            <w:tcW w:w="1247" w:type="pct"/>
            <w:tcBorders>
              <w:top w:val="single" w:sz="4" w:space="0" w:color="auto"/>
              <w:left w:val="nil"/>
              <w:bottom w:val="single" w:sz="4" w:space="0" w:color="auto"/>
              <w:right w:val="nil"/>
            </w:tcBorders>
            <w:shd w:val="clear" w:color="auto" w:fill="FABF8F" w:themeFill="accent6" w:themeFillTint="99"/>
            <w:noWrap/>
            <w:vAlign w:val="center"/>
          </w:tcPr>
          <w:p w14:paraId="1BBE5617" w14:textId="77777777" w:rsidR="004B6C56" w:rsidRPr="00CA5381" w:rsidRDefault="004B6C56" w:rsidP="004B6C56">
            <w:pPr>
              <w:spacing w:after="0"/>
              <w:ind w:firstLine="0"/>
              <w:jc w:val="left"/>
              <w:rPr>
                <w:rFonts w:ascii="Arial Narrow" w:hAnsi="Arial Narrow" w:cs="Arial"/>
                <w:color w:val="000000"/>
              </w:rPr>
            </w:pPr>
            <w:r>
              <w:rPr>
                <w:rFonts w:ascii="Arial Narrow" w:hAnsi="Arial Narrow"/>
                <w:color w:val="000000" w:themeColor="text1"/>
              </w:rPr>
              <w:t>Guztira</w:t>
            </w:r>
          </w:p>
        </w:tc>
        <w:tc>
          <w:tcPr>
            <w:tcW w:w="662" w:type="pct"/>
            <w:tcBorders>
              <w:top w:val="single" w:sz="4" w:space="0" w:color="auto"/>
              <w:left w:val="nil"/>
              <w:bottom w:val="single" w:sz="4" w:space="0" w:color="auto"/>
              <w:right w:val="nil"/>
            </w:tcBorders>
            <w:shd w:val="clear" w:color="auto" w:fill="FABF8F" w:themeFill="accent6" w:themeFillTint="99"/>
            <w:noWrap/>
            <w:vAlign w:val="center"/>
          </w:tcPr>
          <w:p w14:paraId="6FF95EBC" w14:textId="322F84C2" w:rsidR="004B6C56" w:rsidRPr="00CA5381" w:rsidRDefault="004B6C56" w:rsidP="004B6C56">
            <w:pPr>
              <w:spacing w:after="0"/>
              <w:ind w:firstLine="0"/>
              <w:jc w:val="right"/>
              <w:rPr>
                <w:rFonts w:ascii="Arial Narrow" w:hAnsi="Arial Narrow" w:cs="Arial"/>
                <w:color w:val="000000"/>
              </w:rPr>
            </w:pPr>
            <w:r>
              <w:rPr>
                <w:rFonts w:ascii="Arial Narrow" w:hAnsi="Arial Narrow"/>
                <w:color w:val="000000"/>
              </w:rPr>
              <w:t>68</w:t>
            </w:r>
          </w:p>
        </w:tc>
        <w:tc>
          <w:tcPr>
            <w:tcW w:w="503" w:type="pct"/>
            <w:tcBorders>
              <w:top w:val="single" w:sz="4" w:space="0" w:color="auto"/>
              <w:left w:val="nil"/>
              <w:bottom w:val="single" w:sz="4" w:space="0" w:color="auto"/>
              <w:right w:val="nil"/>
            </w:tcBorders>
            <w:shd w:val="clear" w:color="auto" w:fill="FABF8F" w:themeFill="accent6" w:themeFillTint="99"/>
            <w:noWrap/>
            <w:vAlign w:val="center"/>
          </w:tcPr>
          <w:p w14:paraId="4CB43CD8" w14:textId="6E4F6016" w:rsidR="004B6C56" w:rsidRPr="00CA5381" w:rsidRDefault="004B6C56" w:rsidP="004B6C56">
            <w:pPr>
              <w:spacing w:after="0"/>
              <w:ind w:firstLine="0"/>
              <w:jc w:val="right"/>
              <w:rPr>
                <w:rFonts w:ascii="Arial Narrow" w:hAnsi="Arial Narrow" w:cs="Arial"/>
                <w:color w:val="000000"/>
              </w:rPr>
            </w:pPr>
            <w:r>
              <w:rPr>
                <w:rFonts w:ascii="Arial Narrow" w:hAnsi="Arial Narrow"/>
                <w:color w:val="000000"/>
              </w:rPr>
              <w:t>63</w:t>
            </w:r>
          </w:p>
        </w:tc>
        <w:tc>
          <w:tcPr>
            <w:tcW w:w="736" w:type="pct"/>
            <w:tcBorders>
              <w:top w:val="single" w:sz="4" w:space="0" w:color="auto"/>
              <w:left w:val="nil"/>
              <w:bottom w:val="single" w:sz="4" w:space="0" w:color="auto"/>
              <w:right w:val="nil"/>
            </w:tcBorders>
            <w:shd w:val="clear" w:color="auto" w:fill="FABF8F" w:themeFill="accent6" w:themeFillTint="99"/>
            <w:noWrap/>
            <w:vAlign w:val="center"/>
          </w:tcPr>
          <w:p w14:paraId="398F0FB3" w14:textId="05083BF3" w:rsidR="004B6C56" w:rsidRPr="00CA5381" w:rsidRDefault="004B6C56" w:rsidP="004B6C56">
            <w:pPr>
              <w:spacing w:after="0"/>
              <w:ind w:firstLine="0"/>
              <w:jc w:val="right"/>
              <w:rPr>
                <w:rFonts w:ascii="Arial Narrow" w:hAnsi="Arial Narrow" w:cs="Arial"/>
                <w:color w:val="000000"/>
              </w:rPr>
            </w:pPr>
            <w:r>
              <w:rPr>
                <w:rFonts w:ascii="Arial Narrow" w:hAnsi="Arial Narrow"/>
                <w:color w:val="000000"/>
              </w:rPr>
              <w:t>53</w:t>
            </w:r>
          </w:p>
        </w:tc>
        <w:tc>
          <w:tcPr>
            <w:tcW w:w="467" w:type="pct"/>
            <w:tcBorders>
              <w:top w:val="single" w:sz="4" w:space="0" w:color="auto"/>
              <w:left w:val="nil"/>
              <w:bottom w:val="single" w:sz="4" w:space="0" w:color="auto"/>
              <w:right w:val="nil"/>
            </w:tcBorders>
            <w:shd w:val="clear" w:color="auto" w:fill="FABF8F" w:themeFill="accent6" w:themeFillTint="99"/>
            <w:noWrap/>
            <w:vAlign w:val="center"/>
          </w:tcPr>
          <w:p w14:paraId="405A08B7" w14:textId="78EF87E0" w:rsidR="004B6C56" w:rsidRPr="00CA5381" w:rsidRDefault="004B6C56" w:rsidP="004B6C56">
            <w:pPr>
              <w:spacing w:after="0"/>
              <w:ind w:firstLine="0"/>
              <w:jc w:val="right"/>
              <w:rPr>
                <w:rFonts w:ascii="Arial Narrow" w:hAnsi="Arial Narrow" w:cs="Arial"/>
                <w:color w:val="000000"/>
              </w:rPr>
            </w:pPr>
            <w:r>
              <w:rPr>
                <w:rFonts w:ascii="Arial Narrow" w:hAnsi="Arial Narrow"/>
                <w:color w:val="000000"/>
              </w:rPr>
              <w:t>45</w:t>
            </w:r>
          </w:p>
        </w:tc>
        <w:tc>
          <w:tcPr>
            <w:tcW w:w="854" w:type="pct"/>
            <w:tcBorders>
              <w:top w:val="single" w:sz="4" w:space="0" w:color="auto"/>
              <w:left w:val="nil"/>
              <w:bottom w:val="single" w:sz="4" w:space="0" w:color="auto"/>
              <w:right w:val="nil"/>
            </w:tcBorders>
            <w:shd w:val="clear" w:color="auto" w:fill="FABF8F" w:themeFill="accent6" w:themeFillTint="99"/>
            <w:noWrap/>
            <w:vAlign w:val="center"/>
          </w:tcPr>
          <w:p w14:paraId="590D2148" w14:textId="366575A7" w:rsidR="004B6C56" w:rsidRPr="00CA5381" w:rsidRDefault="004B6C56" w:rsidP="004B6C56">
            <w:pPr>
              <w:spacing w:after="0"/>
              <w:ind w:firstLine="0"/>
              <w:jc w:val="right"/>
              <w:rPr>
                <w:rFonts w:ascii="Arial Narrow" w:hAnsi="Arial Narrow" w:cs="Arial"/>
                <w:color w:val="000000"/>
              </w:rPr>
            </w:pPr>
            <w:r>
              <w:rPr>
                <w:rFonts w:ascii="Arial Narrow" w:hAnsi="Arial Narrow"/>
                <w:color w:val="000000"/>
              </w:rPr>
              <w:t>68</w:t>
            </w:r>
          </w:p>
        </w:tc>
        <w:tc>
          <w:tcPr>
            <w:tcW w:w="531" w:type="pct"/>
            <w:tcBorders>
              <w:top w:val="single" w:sz="4" w:space="0" w:color="auto"/>
              <w:left w:val="nil"/>
              <w:bottom w:val="single" w:sz="4" w:space="0" w:color="auto"/>
              <w:right w:val="nil"/>
            </w:tcBorders>
            <w:shd w:val="clear" w:color="auto" w:fill="FABF8F" w:themeFill="accent6" w:themeFillTint="99"/>
            <w:noWrap/>
            <w:vAlign w:val="center"/>
          </w:tcPr>
          <w:p w14:paraId="67C2A7F6" w14:textId="30F1713E" w:rsidR="004B6C56" w:rsidRPr="00CA5381" w:rsidRDefault="004B6C56" w:rsidP="004B6C56">
            <w:pPr>
              <w:spacing w:after="0"/>
              <w:ind w:firstLine="0"/>
              <w:jc w:val="right"/>
              <w:rPr>
                <w:rFonts w:ascii="Arial Narrow" w:hAnsi="Arial Narrow" w:cs="Arial"/>
                <w:color w:val="000000"/>
              </w:rPr>
            </w:pPr>
            <w:r>
              <w:rPr>
                <w:rFonts w:ascii="Arial Narrow" w:hAnsi="Arial Narrow"/>
                <w:color w:val="000000"/>
              </w:rPr>
              <w:t>76</w:t>
            </w:r>
          </w:p>
        </w:tc>
      </w:tr>
    </w:tbl>
    <w:p w14:paraId="2F6DAD19" w14:textId="655B87C0" w:rsidR="00C84D07" w:rsidRPr="00033257" w:rsidRDefault="00C84D07" w:rsidP="00C84D07">
      <w:pPr>
        <w:pStyle w:val="texto"/>
        <w:tabs>
          <w:tab w:val="clear" w:pos="2835"/>
          <w:tab w:val="center" w:pos="567"/>
        </w:tabs>
        <w:spacing w:before="240"/>
        <w:rPr>
          <w:rFonts w:cs="Arial"/>
          <w:color w:val="000000" w:themeColor="text1"/>
        </w:rPr>
      </w:pPr>
      <w:r>
        <w:rPr>
          <w:color w:val="000000" w:themeColor="text1"/>
        </w:rPr>
        <w:t>Toki-entitateen ehuneko 63k epean onetsi zituzten 2021eko kontuak, eta ehuneko 45ek legezko gehieneko epearen barruan igorri zizkioten TADZNri.</w:t>
      </w:r>
    </w:p>
    <w:p w14:paraId="08066941" w14:textId="77777777" w:rsidR="00C84D07" w:rsidRPr="00033257" w:rsidRDefault="00C84D07" w:rsidP="00C84D07">
      <w:pPr>
        <w:pStyle w:val="texto"/>
        <w:tabs>
          <w:tab w:val="clear" w:pos="2835"/>
          <w:tab w:val="center" w:pos="567"/>
        </w:tabs>
        <w:rPr>
          <w:rFonts w:cs="Arial"/>
          <w:color w:val="000000" w:themeColor="text1"/>
        </w:rPr>
      </w:pPr>
      <w:r>
        <w:rPr>
          <w:color w:val="000000" w:themeColor="text1"/>
        </w:rPr>
        <w:t>Txosten honen datara arte, toki-entitateen ehuneko 85ek bidali diote TADZNri 2021eko kontuak. Ehuneko hori ehuneko 90era igotzen da kontu orokorra igorri ez duten baina aurrekontua likidatzeko espedientea igorri duten erakundeak gehitzen baditugu.</w:t>
      </w:r>
    </w:p>
    <w:p w14:paraId="1E011BDB" w14:textId="77777777" w:rsidR="00C84D07" w:rsidRPr="00033257" w:rsidRDefault="2C7397AF" w:rsidP="00C84D07">
      <w:pPr>
        <w:pStyle w:val="texto"/>
        <w:tabs>
          <w:tab w:val="clear" w:pos="2835"/>
          <w:tab w:val="center" w:pos="567"/>
        </w:tabs>
        <w:rPr>
          <w:rFonts w:cs="Arial"/>
          <w:color w:val="000000" w:themeColor="text1"/>
        </w:rPr>
      </w:pPr>
      <w:r>
        <w:rPr>
          <w:color w:val="000000" w:themeColor="text1"/>
        </w:rPr>
        <w:t>Jarraian, txosten hau egin den egunean TADZNri 2020ko eta 2021eko ekitaldietako kontu orokorrik eta aurrekontuaren likidazioaren espedienterik igorri ez dioten toki-entitateak aipatuko ditugu. Kasu bakoitzean, parentesi artean adierazi da aurkeztu duten azken kontu orokorrari edo aurrekontuaren likidazioari dagokion ekitaldia.</w:t>
      </w:r>
    </w:p>
    <w:p w14:paraId="25F1CAFC" w14:textId="77777777" w:rsidR="00C84D07" w:rsidRPr="00033257" w:rsidRDefault="00C84D07" w:rsidP="00C84D07">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Udalak: Arellano (2019) eta Imotz (2016).</w:t>
      </w:r>
    </w:p>
    <w:p w14:paraId="1D138DDB" w14:textId="77777777" w:rsidR="00C84D07" w:rsidRPr="00033257" w:rsidRDefault="2C7397AF" w:rsidP="00C84D07">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t>Kontzejuak: Zizur Txikia (2016), Gazolatz (2016), Larraia (2017), Paternain (2015), Undio (2015) eta Zarikiegi (2015) Zizurren; Etxaleku (2016), Goldaratz (2016), Latasa (2017), Muskitz (2016), Oskotz (2017) eta Zarrantz (2015) Imotzen; Larraiotz (2016) eta Otsakar (2019) Txulapainen; Murugarren (2017) eta Zurukuain (2019) Deierrin; eta Galdio (2019), Intza (2019), Igoa (2019), Inbuluzketa (2018), Lizarragabengoa (2019), Iturgoien (2017) eta Labeaga (2017).</w:t>
      </w:r>
    </w:p>
    <w:p w14:paraId="04043162" w14:textId="17A82206" w:rsidR="00C84D07" w:rsidRPr="00033257" w:rsidRDefault="2C7397AF" w:rsidP="00C84D07">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Pr>
          <w:color w:val="000000" w:themeColor="text1"/>
        </w:rPr>
        <w:lastRenderedPageBreak/>
        <w:t xml:space="preserve">Mankomunitateak: Erriberri aldeko Oinarrizko Gizarte Zerbitzuen Mankomunitatea (2019), Araxesgoienako Mankomunitatea (2018), Nafarroako Iparraldeko Mankomunitatea Euskararen Kudeaketarako (2018), eta Berragu Liburutegi Zerbitzuen Mankomunitatea eta Orreagako Kirol Mankomunitatea. Azken bi horiek ez diote kontu orokorra edo aurrekontuaren likidazio espedientea bidali TADZNri ezein ekitalditan. </w:t>
      </w:r>
    </w:p>
    <w:p w14:paraId="4F3E744B" w14:textId="436B6DCA" w:rsidR="4233D0B5" w:rsidRPr="00033257" w:rsidRDefault="4233D0B5" w:rsidP="3710BB4A">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szCs w:val="26"/>
        </w:rPr>
      </w:pPr>
      <w:r>
        <w:rPr>
          <w:color w:val="000000" w:themeColor="text1"/>
        </w:rPr>
        <w:t>Elkarteak: Faltzes eta Miranda Arga udalerrien Administrazio Zerbitzuetarako Batasuna (2019).</w:t>
      </w:r>
    </w:p>
    <w:p w14:paraId="6F614308" w14:textId="2097359C" w:rsidR="00C84D07" w:rsidRDefault="2C7397AF" w:rsidP="00FA2E05">
      <w:pPr>
        <w:pStyle w:val="texto"/>
        <w:tabs>
          <w:tab w:val="clear" w:pos="2835"/>
          <w:tab w:val="center" w:pos="567"/>
        </w:tabs>
        <w:spacing w:after="0"/>
        <w:rPr>
          <w:rFonts w:cs="Arial"/>
          <w:color w:val="000000" w:themeColor="text1"/>
        </w:rPr>
      </w:pPr>
      <w:r>
        <w:rPr>
          <w:color w:val="000000" w:themeColor="text1"/>
        </w:rPr>
        <w:t>Oro har, toki-entitateek beren kontuak onetsi eta Toki Administrazioaren eta Despopulazioaren Zuzendaritza Nagusiari igortzen dizkiote, baina askotan ez dute egiten legezko epeetan, nahiko atzeratuta baizik. Horrela, informazioa ez da une egokian iristen eta garrantzia galtzen du. Ildo horretan, kontabilitateko informazioa ez igortzeagatik, gaur egun Toki-entitateek Nafarroako Tributuetan duten Parte-hartzearen Funtsaren banaketa ezartzen duen martxoaren 22ko 7/2022 Foru Legean ezarritako atxikipena aplikatzen ari da. Atxikipenak ordaindu beharreko zenbatekoen ehuneko 10ari eragiten dio, eta kontu orokorra edo aurrekontuaren likidazioa aurkezten ez duten toki-entitateei soilik aplikatzen zaie.</w:t>
      </w:r>
    </w:p>
    <w:p w14:paraId="698243B3" w14:textId="19700F9E" w:rsidR="00C84D07" w:rsidRPr="00033257" w:rsidRDefault="00C84D07" w:rsidP="00C84D07">
      <w:pPr>
        <w:pStyle w:val="Ttulo2"/>
        <w:spacing w:after="240"/>
        <w:ind w:firstLine="0"/>
        <w:rPr>
          <w:color w:val="000000" w:themeColor="text1"/>
        </w:rPr>
      </w:pPr>
      <w:bookmarkStart w:id="90" w:name="_Toc151635606"/>
      <w:r>
        <w:rPr>
          <w:b w:val="0"/>
          <w:i w:val="0"/>
          <w:sz w:val="25"/>
        </w:rPr>
        <w:t>VIII.2. Aurrekontuaren onespena eta igorpena</w:t>
      </w:r>
      <w:bookmarkEnd w:id="90"/>
    </w:p>
    <w:p w14:paraId="5CD6778F" w14:textId="77777777" w:rsidR="00C84D07" w:rsidRPr="00033257" w:rsidRDefault="00C84D07" w:rsidP="00C84D07">
      <w:pPr>
        <w:pStyle w:val="texto"/>
        <w:tabs>
          <w:tab w:val="clear" w:pos="2835"/>
          <w:tab w:val="center" w:pos="567"/>
        </w:tabs>
        <w:spacing w:before="120" w:after="120"/>
        <w:rPr>
          <w:rFonts w:cs="Arial"/>
          <w:color w:val="000000" w:themeColor="text1"/>
        </w:rPr>
      </w:pPr>
      <w:r>
        <w:rPr>
          <w:color w:val="000000" w:themeColor="text1"/>
        </w:rPr>
        <w:t xml:space="preserve">TOFLek ezartzen du toki-entitate bakoitzak bere aurrekontu orokor bakarra behin betiko onetsi behar duela hari dagokion ekitaldiaren aurreko urteko abenduaren 31 baino lehen, eta onetsi ondoko 15 egunen barruan igorri behar diola NFKAri.  </w:t>
      </w:r>
    </w:p>
    <w:p w14:paraId="6D072441" w14:textId="77777777" w:rsidR="00C84D07" w:rsidRPr="00033257" w:rsidRDefault="00C84D07" w:rsidP="00B56D93">
      <w:pPr>
        <w:pStyle w:val="texto"/>
        <w:tabs>
          <w:tab w:val="clear" w:pos="2835"/>
          <w:tab w:val="center" w:pos="567"/>
        </w:tabs>
        <w:spacing w:after="120"/>
        <w:rPr>
          <w:rFonts w:cs="Arial"/>
          <w:color w:val="000000" w:themeColor="text1"/>
        </w:rPr>
      </w:pPr>
      <w:r>
        <w:rPr>
          <w:color w:val="000000" w:themeColor="text1"/>
        </w:rPr>
        <w:t xml:space="preserve">Hurrengo taulan ageri da 2021eko ekitaldiko aurrekontuak zer epetan onetsi eta TADZNri igorri zaizkion. </w:t>
      </w:r>
    </w:p>
    <w:p w14:paraId="5D22521A" w14:textId="01825183" w:rsidR="00C84D07" w:rsidRPr="00033257" w:rsidRDefault="00BD116E" w:rsidP="00C84D07">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(toki-entitateen portzentajea)</w:t>
      </w:r>
    </w:p>
    <w:tbl>
      <w:tblPr>
        <w:tblW w:w="5000" w:type="pct"/>
        <w:tblCellMar>
          <w:left w:w="70" w:type="dxa"/>
          <w:right w:w="70" w:type="dxa"/>
        </w:tblCellMar>
        <w:tblLook w:val="04A0" w:firstRow="1" w:lastRow="0" w:firstColumn="1" w:lastColumn="0" w:noHBand="0" w:noVBand="1"/>
      </w:tblPr>
      <w:tblGrid>
        <w:gridCol w:w="2191"/>
        <w:gridCol w:w="1164"/>
        <w:gridCol w:w="884"/>
        <w:gridCol w:w="1294"/>
        <w:gridCol w:w="821"/>
        <w:gridCol w:w="1501"/>
        <w:gridCol w:w="933"/>
      </w:tblGrid>
      <w:tr w:rsidR="004B6C56" w:rsidRPr="00BD116E" w14:paraId="3E6D1C02" w14:textId="77777777" w:rsidTr="004B6C56">
        <w:trPr>
          <w:trHeight w:val="227"/>
        </w:trPr>
        <w:tc>
          <w:tcPr>
            <w:tcW w:w="1247" w:type="pct"/>
            <w:vMerge w:val="restart"/>
            <w:tcBorders>
              <w:top w:val="single" w:sz="4" w:space="0" w:color="auto"/>
              <w:left w:val="nil"/>
              <w:right w:val="nil"/>
            </w:tcBorders>
            <w:shd w:val="clear" w:color="auto" w:fill="FABF8F" w:themeFill="accent6" w:themeFillTint="99"/>
            <w:noWrap/>
            <w:vAlign w:val="center"/>
            <w:hideMark/>
          </w:tcPr>
          <w:p w14:paraId="4313BEA4" w14:textId="77777777" w:rsidR="004B6C56" w:rsidRPr="00CB0C61" w:rsidRDefault="004B6C56" w:rsidP="004B6C56">
            <w:pPr>
              <w:spacing w:after="0"/>
              <w:ind w:firstLine="0"/>
              <w:jc w:val="left"/>
              <w:rPr>
                <w:rFonts w:ascii="Arial" w:hAnsi="Arial" w:cs="Arial"/>
                <w:color w:val="000000"/>
                <w:sz w:val="18"/>
                <w:szCs w:val="18"/>
              </w:rPr>
            </w:pPr>
            <w:r>
              <w:rPr>
                <w:rFonts w:ascii="Arial" w:hAnsi="Arial"/>
                <w:color w:val="000000"/>
                <w:sz w:val="18"/>
              </w:rPr>
              <w:t>Entitate mota</w:t>
            </w:r>
          </w:p>
        </w:tc>
        <w:tc>
          <w:tcPr>
            <w:tcW w:w="1165"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67857C08" w14:textId="77777777"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Epean onetsia</w:t>
            </w:r>
          </w:p>
        </w:tc>
        <w:tc>
          <w:tcPr>
            <w:tcW w:w="1203"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06F432AD" w14:textId="77777777"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 xml:space="preserve">Epean igorria </w:t>
            </w:r>
          </w:p>
        </w:tc>
        <w:tc>
          <w:tcPr>
            <w:tcW w:w="1385" w:type="pct"/>
            <w:gridSpan w:val="2"/>
            <w:tcBorders>
              <w:top w:val="single" w:sz="4" w:space="0" w:color="auto"/>
              <w:left w:val="nil"/>
              <w:bottom w:val="nil"/>
              <w:right w:val="nil"/>
            </w:tcBorders>
            <w:shd w:val="clear" w:color="auto" w:fill="FABF8F" w:themeFill="accent6" w:themeFillTint="99"/>
            <w:vAlign w:val="center"/>
            <w:hideMark/>
          </w:tcPr>
          <w:p w14:paraId="6148BC4F" w14:textId="77777777"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X+1-03-31rako igorria</w:t>
            </w:r>
          </w:p>
        </w:tc>
      </w:tr>
      <w:tr w:rsidR="004B6C56" w:rsidRPr="00BD116E" w14:paraId="68734D48" w14:textId="77777777" w:rsidTr="004B6C56">
        <w:trPr>
          <w:trHeight w:val="227"/>
        </w:trPr>
        <w:tc>
          <w:tcPr>
            <w:tcW w:w="1247" w:type="pct"/>
            <w:vMerge/>
            <w:tcBorders>
              <w:left w:val="nil"/>
              <w:bottom w:val="single" w:sz="4" w:space="0" w:color="auto"/>
              <w:right w:val="nil"/>
            </w:tcBorders>
            <w:shd w:val="clear" w:color="auto" w:fill="FABF8F" w:themeFill="accent6" w:themeFillTint="99"/>
            <w:noWrap/>
            <w:vAlign w:val="center"/>
          </w:tcPr>
          <w:p w14:paraId="7AD8557C" w14:textId="77777777" w:rsidR="004B6C56" w:rsidRPr="00BD116E" w:rsidRDefault="004B6C56" w:rsidP="004B6C56">
            <w:pPr>
              <w:spacing w:after="0"/>
              <w:ind w:firstLine="0"/>
              <w:jc w:val="right"/>
              <w:rPr>
                <w:rFonts w:ascii="Arial" w:hAnsi="Arial" w:cs="Arial"/>
                <w:color w:val="000000"/>
                <w:sz w:val="16"/>
                <w:szCs w:val="16"/>
                <w:lang w:val="es-ES" w:eastAsia="es-ES"/>
              </w:rPr>
            </w:pPr>
          </w:p>
        </w:tc>
        <w:tc>
          <w:tcPr>
            <w:tcW w:w="662" w:type="pct"/>
            <w:tcBorders>
              <w:top w:val="nil"/>
              <w:left w:val="nil"/>
              <w:bottom w:val="single" w:sz="4" w:space="0" w:color="auto"/>
              <w:right w:val="nil"/>
            </w:tcBorders>
            <w:shd w:val="clear" w:color="auto" w:fill="FABF8F" w:themeFill="accent6" w:themeFillTint="99"/>
            <w:vAlign w:val="center"/>
          </w:tcPr>
          <w:p w14:paraId="5854714E" w14:textId="49CA40C4"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2020</w:t>
            </w:r>
          </w:p>
        </w:tc>
        <w:tc>
          <w:tcPr>
            <w:tcW w:w="503" w:type="pct"/>
            <w:tcBorders>
              <w:top w:val="nil"/>
              <w:left w:val="nil"/>
              <w:bottom w:val="single" w:sz="4" w:space="0" w:color="auto"/>
              <w:right w:val="nil"/>
            </w:tcBorders>
            <w:shd w:val="clear" w:color="auto" w:fill="FABF8F" w:themeFill="accent6" w:themeFillTint="99"/>
            <w:vAlign w:val="center"/>
          </w:tcPr>
          <w:p w14:paraId="3A8B8F88" w14:textId="7F3A635D"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2021</w:t>
            </w:r>
          </w:p>
        </w:tc>
        <w:tc>
          <w:tcPr>
            <w:tcW w:w="736" w:type="pct"/>
            <w:tcBorders>
              <w:top w:val="nil"/>
              <w:left w:val="nil"/>
              <w:bottom w:val="single" w:sz="4" w:space="0" w:color="auto"/>
              <w:right w:val="nil"/>
            </w:tcBorders>
            <w:shd w:val="clear" w:color="auto" w:fill="FABF8F" w:themeFill="accent6" w:themeFillTint="99"/>
            <w:vAlign w:val="center"/>
          </w:tcPr>
          <w:p w14:paraId="170E3837" w14:textId="2D0217B8"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2020</w:t>
            </w:r>
          </w:p>
        </w:tc>
        <w:tc>
          <w:tcPr>
            <w:tcW w:w="467" w:type="pct"/>
            <w:tcBorders>
              <w:top w:val="nil"/>
              <w:left w:val="nil"/>
              <w:bottom w:val="single" w:sz="4" w:space="0" w:color="auto"/>
              <w:right w:val="nil"/>
            </w:tcBorders>
            <w:shd w:val="clear" w:color="auto" w:fill="FABF8F" w:themeFill="accent6" w:themeFillTint="99"/>
            <w:vAlign w:val="center"/>
          </w:tcPr>
          <w:p w14:paraId="178F475C" w14:textId="5ED9D312"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2021</w:t>
            </w:r>
          </w:p>
        </w:tc>
        <w:tc>
          <w:tcPr>
            <w:tcW w:w="854" w:type="pct"/>
            <w:tcBorders>
              <w:top w:val="single" w:sz="4" w:space="0" w:color="auto"/>
              <w:left w:val="nil"/>
              <w:bottom w:val="single" w:sz="4" w:space="0" w:color="auto"/>
              <w:right w:val="nil"/>
            </w:tcBorders>
            <w:shd w:val="clear" w:color="auto" w:fill="FABF8F" w:themeFill="accent6" w:themeFillTint="99"/>
            <w:vAlign w:val="center"/>
          </w:tcPr>
          <w:p w14:paraId="6EB162CB" w14:textId="112BE13F"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2020</w:t>
            </w:r>
          </w:p>
        </w:tc>
        <w:tc>
          <w:tcPr>
            <w:tcW w:w="531" w:type="pct"/>
            <w:tcBorders>
              <w:top w:val="single" w:sz="4" w:space="0" w:color="auto"/>
              <w:left w:val="nil"/>
              <w:bottom w:val="single" w:sz="4" w:space="0" w:color="auto"/>
              <w:right w:val="nil"/>
            </w:tcBorders>
            <w:shd w:val="clear" w:color="auto" w:fill="FABF8F" w:themeFill="accent6" w:themeFillTint="99"/>
            <w:vAlign w:val="center"/>
          </w:tcPr>
          <w:p w14:paraId="262805CD" w14:textId="75D91C8F" w:rsidR="004B6C56" w:rsidRPr="00BD116E" w:rsidRDefault="004B6C56" w:rsidP="004B6C56">
            <w:pPr>
              <w:spacing w:after="0"/>
              <w:ind w:firstLine="0"/>
              <w:jc w:val="right"/>
              <w:rPr>
                <w:rFonts w:ascii="Arial" w:hAnsi="Arial" w:cs="Arial"/>
                <w:color w:val="000000"/>
                <w:sz w:val="16"/>
                <w:szCs w:val="16"/>
              </w:rPr>
            </w:pPr>
            <w:r>
              <w:rPr>
                <w:rFonts w:ascii="Arial" w:hAnsi="Arial"/>
                <w:color w:val="000000"/>
                <w:sz w:val="16"/>
              </w:rPr>
              <w:t>2021</w:t>
            </w:r>
          </w:p>
        </w:tc>
      </w:tr>
      <w:tr w:rsidR="004B6C56" w:rsidRPr="00033257" w14:paraId="368AB10C" w14:textId="77777777" w:rsidTr="004B6C56">
        <w:trPr>
          <w:trHeight w:val="227"/>
        </w:trPr>
        <w:tc>
          <w:tcPr>
            <w:tcW w:w="1247" w:type="pct"/>
            <w:tcBorders>
              <w:top w:val="nil"/>
              <w:left w:val="nil"/>
              <w:bottom w:val="single" w:sz="2" w:space="0" w:color="auto"/>
              <w:right w:val="nil"/>
            </w:tcBorders>
            <w:shd w:val="clear" w:color="auto" w:fill="auto"/>
            <w:noWrap/>
            <w:vAlign w:val="center"/>
          </w:tcPr>
          <w:p w14:paraId="2A68ABC2" w14:textId="77777777" w:rsidR="004B6C56" w:rsidRPr="00033257" w:rsidRDefault="004B6C56" w:rsidP="004B6C56">
            <w:pPr>
              <w:pStyle w:val="cuatexto"/>
              <w:spacing w:line="240" w:lineRule="auto"/>
            </w:pPr>
            <w:r>
              <w:t>Udalak</w:t>
            </w:r>
          </w:p>
        </w:tc>
        <w:tc>
          <w:tcPr>
            <w:tcW w:w="662" w:type="pct"/>
            <w:tcBorders>
              <w:top w:val="nil"/>
              <w:left w:val="nil"/>
              <w:bottom w:val="single" w:sz="2" w:space="0" w:color="auto"/>
              <w:right w:val="nil"/>
            </w:tcBorders>
            <w:shd w:val="clear" w:color="auto" w:fill="auto"/>
            <w:noWrap/>
            <w:vAlign w:val="center"/>
          </w:tcPr>
          <w:p w14:paraId="0C91FAD6" w14:textId="6F2380AF" w:rsidR="004B6C56" w:rsidRPr="00033257" w:rsidRDefault="004B6C56" w:rsidP="004B6C56">
            <w:pPr>
              <w:pStyle w:val="cuatexto"/>
              <w:spacing w:line="240" w:lineRule="auto"/>
              <w:jc w:val="right"/>
            </w:pPr>
            <w:r>
              <w:t>31</w:t>
            </w:r>
          </w:p>
        </w:tc>
        <w:tc>
          <w:tcPr>
            <w:tcW w:w="503" w:type="pct"/>
            <w:tcBorders>
              <w:top w:val="nil"/>
              <w:left w:val="nil"/>
              <w:bottom w:val="single" w:sz="2" w:space="0" w:color="auto"/>
              <w:right w:val="nil"/>
            </w:tcBorders>
            <w:shd w:val="clear" w:color="auto" w:fill="auto"/>
            <w:noWrap/>
            <w:vAlign w:val="center"/>
          </w:tcPr>
          <w:p w14:paraId="5750908C" w14:textId="7E02F3CC" w:rsidR="004B6C56" w:rsidRPr="00033257" w:rsidRDefault="004B6C56" w:rsidP="004B6C56">
            <w:pPr>
              <w:pStyle w:val="cuatexto"/>
              <w:spacing w:line="240" w:lineRule="auto"/>
              <w:jc w:val="right"/>
            </w:pPr>
            <w:r>
              <w:t>34</w:t>
            </w:r>
          </w:p>
        </w:tc>
        <w:tc>
          <w:tcPr>
            <w:tcW w:w="736" w:type="pct"/>
            <w:tcBorders>
              <w:top w:val="nil"/>
              <w:left w:val="nil"/>
              <w:bottom w:val="single" w:sz="2" w:space="0" w:color="auto"/>
              <w:right w:val="nil"/>
            </w:tcBorders>
            <w:shd w:val="clear" w:color="auto" w:fill="auto"/>
            <w:noWrap/>
            <w:vAlign w:val="center"/>
          </w:tcPr>
          <w:p w14:paraId="48C63C86" w14:textId="4454BC25" w:rsidR="004B6C56" w:rsidRPr="00033257" w:rsidRDefault="004B6C56" w:rsidP="004B6C56">
            <w:pPr>
              <w:pStyle w:val="cuatexto"/>
              <w:spacing w:line="240" w:lineRule="auto"/>
              <w:jc w:val="right"/>
            </w:pPr>
            <w:r>
              <w:t>6</w:t>
            </w:r>
          </w:p>
        </w:tc>
        <w:tc>
          <w:tcPr>
            <w:tcW w:w="467" w:type="pct"/>
            <w:tcBorders>
              <w:top w:val="nil"/>
              <w:left w:val="nil"/>
              <w:bottom w:val="single" w:sz="2" w:space="0" w:color="auto"/>
              <w:right w:val="nil"/>
            </w:tcBorders>
            <w:shd w:val="clear" w:color="auto" w:fill="auto"/>
            <w:noWrap/>
            <w:vAlign w:val="center"/>
          </w:tcPr>
          <w:p w14:paraId="780CCF92" w14:textId="658347AF" w:rsidR="004B6C56" w:rsidRPr="00033257" w:rsidRDefault="004B6C56" w:rsidP="004B6C56">
            <w:pPr>
              <w:pStyle w:val="cuatexto"/>
              <w:spacing w:line="240" w:lineRule="auto"/>
              <w:jc w:val="right"/>
            </w:pPr>
            <w:r>
              <w:t>4</w:t>
            </w:r>
          </w:p>
        </w:tc>
        <w:tc>
          <w:tcPr>
            <w:tcW w:w="854" w:type="pct"/>
            <w:tcBorders>
              <w:top w:val="nil"/>
              <w:left w:val="nil"/>
              <w:bottom w:val="single" w:sz="2" w:space="0" w:color="auto"/>
              <w:right w:val="nil"/>
            </w:tcBorders>
            <w:shd w:val="clear" w:color="auto" w:fill="auto"/>
            <w:noWrap/>
            <w:vAlign w:val="center"/>
          </w:tcPr>
          <w:p w14:paraId="1E840DA6" w14:textId="5B6CE1F6" w:rsidR="004B6C56" w:rsidRPr="00033257" w:rsidRDefault="004B6C56" w:rsidP="004B6C56">
            <w:pPr>
              <w:pStyle w:val="cuatexto"/>
              <w:spacing w:line="240" w:lineRule="auto"/>
              <w:jc w:val="right"/>
            </w:pPr>
            <w:r>
              <w:t>28</w:t>
            </w:r>
          </w:p>
        </w:tc>
        <w:tc>
          <w:tcPr>
            <w:tcW w:w="531" w:type="pct"/>
            <w:tcBorders>
              <w:top w:val="nil"/>
              <w:left w:val="nil"/>
              <w:bottom w:val="single" w:sz="2" w:space="0" w:color="auto"/>
              <w:right w:val="nil"/>
            </w:tcBorders>
            <w:shd w:val="clear" w:color="auto" w:fill="auto"/>
            <w:noWrap/>
            <w:vAlign w:val="center"/>
          </w:tcPr>
          <w:p w14:paraId="4B0C6BA7" w14:textId="2529974E" w:rsidR="004B6C56" w:rsidRPr="00033257" w:rsidRDefault="004B6C56" w:rsidP="004B6C56">
            <w:pPr>
              <w:pStyle w:val="cuatexto"/>
              <w:spacing w:line="240" w:lineRule="auto"/>
              <w:jc w:val="right"/>
            </w:pPr>
            <w:r>
              <w:t>38</w:t>
            </w:r>
          </w:p>
        </w:tc>
      </w:tr>
      <w:tr w:rsidR="004B6C56" w:rsidRPr="00033257" w14:paraId="33EDEC7C" w14:textId="77777777" w:rsidTr="004B6C56">
        <w:trPr>
          <w:trHeight w:val="227"/>
        </w:trPr>
        <w:tc>
          <w:tcPr>
            <w:tcW w:w="1247" w:type="pct"/>
            <w:tcBorders>
              <w:top w:val="single" w:sz="2" w:space="0" w:color="auto"/>
              <w:left w:val="nil"/>
              <w:bottom w:val="single" w:sz="2" w:space="0" w:color="auto"/>
              <w:right w:val="nil"/>
            </w:tcBorders>
            <w:shd w:val="clear" w:color="auto" w:fill="auto"/>
            <w:noWrap/>
            <w:vAlign w:val="center"/>
          </w:tcPr>
          <w:p w14:paraId="01B6E8DD" w14:textId="77777777" w:rsidR="004B6C56" w:rsidRPr="00033257" w:rsidRDefault="004B6C56" w:rsidP="004B6C56">
            <w:pPr>
              <w:pStyle w:val="cuatexto"/>
              <w:spacing w:line="240" w:lineRule="auto"/>
            </w:pPr>
            <w:r>
              <w:t>Kontzejuak</w:t>
            </w:r>
          </w:p>
        </w:tc>
        <w:tc>
          <w:tcPr>
            <w:tcW w:w="662" w:type="pct"/>
            <w:tcBorders>
              <w:top w:val="single" w:sz="2" w:space="0" w:color="auto"/>
              <w:left w:val="nil"/>
              <w:bottom w:val="single" w:sz="2" w:space="0" w:color="auto"/>
              <w:right w:val="nil"/>
            </w:tcBorders>
            <w:shd w:val="clear" w:color="auto" w:fill="auto"/>
            <w:noWrap/>
            <w:vAlign w:val="center"/>
          </w:tcPr>
          <w:p w14:paraId="61100F0B" w14:textId="400C9F7A" w:rsidR="004B6C56" w:rsidRPr="00033257" w:rsidRDefault="004B6C56" w:rsidP="004B6C56">
            <w:pPr>
              <w:pStyle w:val="cuatexto"/>
              <w:spacing w:line="240" w:lineRule="auto"/>
              <w:jc w:val="right"/>
            </w:pPr>
            <w:r>
              <w:t>16</w:t>
            </w:r>
          </w:p>
        </w:tc>
        <w:tc>
          <w:tcPr>
            <w:tcW w:w="503" w:type="pct"/>
            <w:tcBorders>
              <w:top w:val="single" w:sz="2" w:space="0" w:color="auto"/>
              <w:left w:val="nil"/>
              <w:bottom w:val="single" w:sz="2" w:space="0" w:color="auto"/>
              <w:right w:val="nil"/>
            </w:tcBorders>
            <w:shd w:val="clear" w:color="auto" w:fill="auto"/>
            <w:noWrap/>
            <w:vAlign w:val="center"/>
          </w:tcPr>
          <w:p w14:paraId="401E1202" w14:textId="524FD39E" w:rsidR="004B6C56" w:rsidRPr="00033257" w:rsidRDefault="004B6C56" w:rsidP="004B6C56">
            <w:pPr>
              <w:pStyle w:val="cuatexto"/>
              <w:spacing w:line="240" w:lineRule="auto"/>
              <w:jc w:val="right"/>
            </w:pPr>
            <w:r>
              <w:t>16</w:t>
            </w:r>
          </w:p>
        </w:tc>
        <w:tc>
          <w:tcPr>
            <w:tcW w:w="736" w:type="pct"/>
            <w:tcBorders>
              <w:top w:val="single" w:sz="2" w:space="0" w:color="auto"/>
              <w:left w:val="nil"/>
              <w:bottom w:val="single" w:sz="2" w:space="0" w:color="auto"/>
              <w:right w:val="nil"/>
            </w:tcBorders>
            <w:shd w:val="clear" w:color="auto" w:fill="auto"/>
            <w:noWrap/>
            <w:vAlign w:val="center"/>
          </w:tcPr>
          <w:p w14:paraId="5CA5AE9E" w14:textId="01C2AA2B" w:rsidR="004B6C56" w:rsidRPr="00033257" w:rsidRDefault="004B6C56" w:rsidP="004B6C56">
            <w:pPr>
              <w:pStyle w:val="cuatexto"/>
              <w:spacing w:line="240" w:lineRule="auto"/>
              <w:jc w:val="right"/>
            </w:pPr>
            <w:r>
              <w:t>1</w:t>
            </w:r>
          </w:p>
        </w:tc>
        <w:tc>
          <w:tcPr>
            <w:tcW w:w="467" w:type="pct"/>
            <w:tcBorders>
              <w:top w:val="single" w:sz="2" w:space="0" w:color="auto"/>
              <w:left w:val="nil"/>
              <w:bottom w:val="single" w:sz="2" w:space="0" w:color="auto"/>
              <w:right w:val="nil"/>
            </w:tcBorders>
            <w:shd w:val="clear" w:color="auto" w:fill="auto"/>
            <w:noWrap/>
            <w:vAlign w:val="center"/>
          </w:tcPr>
          <w:p w14:paraId="5B28BFB5" w14:textId="7861DEDC" w:rsidR="004B6C56" w:rsidRPr="00033257" w:rsidRDefault="004B6C56" w:rsidP="004B6C56">
            <w:pPr>
              <w:pStyle w:val="cuatexto"/>
              <w:spacing w:line="240" w:lineRule="auto"/>
              <w:jc w:val="right"/>
            </w:pPr>
            <w:r>
              <w:t>2</w:t>
            </w:r>
          </w:p>
        </w:tc>
        <w:tc>
          <w:tcPr>
            <w:tcW w:w="854" w:type="pct"/>
            <w:tcBorders>
              <w:top w:val="single" w:sz="2" w:space="0" w:color="auto"/>
              <w:left w:val="nil"/>
              <w:bottom w:val="single" w:sz="2" w:space="0" w:color="auto"/>
              <w:right w:val="nil"/>
            </w:tcBorders>
            <w:shd w:val="clear" w:color="auto" w:fill="auto"/>
            <w:noWrap/>
            <w:vAlign w:val="center"/>
          </w:tcPr>
          <w:p w14:paraId="454F7A90" w14:textId="7B257D6B" w:rsidR="004B6C56" w:rsidRPr="00033257" w:rsidRDefault="004B6C56" w:rsidP="004B6C56">
            <w:pPr>
              <w:pStyle w:val="cuatexto"/>
              <w:spacing w:line="240" w:lineRule="auto"/>
              <w:jc w:val="right"/>
            </w:pPr>
            <w:r>
              <w:t>13</w:t>
            </w:r>
          </w:p>
        </w:tc>
        <w:tc>
          <w:tcPr>
            <w:tcW w:w="531" w:type="pct"/>
            <w:tcBorders>
              <w:top w:val="single" w:sz="2" w:space="0" w:color="auto"/>
              <w:left w:val="nil"/>
              <w:bottom w:val="single" w:sz="2" w:space="0" w:color="auto"/>
              <w:right w:val="nil"/>
            </w:tcBorders>
            <w:shd w:val="clear" w:color="auto" w:fill="auto"/>
            <w:noWrap/>
            <w:vAlign w:val="center"/>
          </w:tcPr>
          <w:p w14:paraId="151DD12A" w14:textId="479E60D4" w:rsidR="004B6C56" w:rsidRPr="00033257" w:rsidRDefault="004B6C56" w:rsidP="004B6C56">
            <w:pPr>
              <w:pStyle w:val="cuatexto"/>
              <w:spacing w:line="240" w:lineRule="auto"/>
              <w:jc w:val="right"/>
            </w:pPr>
            <w:r>
              <w:t>13</w:t>
            </w:r>
          </w:p>
        </w:tc>
      </w:tr>
      <w:tr w:rsidR="004B6C56" w:rsidRPr="00033257" w14:paraId="73253999" w14:textId="77777777" w:rsidTr="004B6C56">
        <w:trPr>
          <w:trHeight w:val="227"/>
        </w:trPr>
        <w:tc>
          <w:tcPr>
            <w:tcW w:w="1247" w:type="pct"/>
            <w:tcBorders>
              <w:top w:val="single" w:sz="2" w:space="0" w:color="auto"/>
              <w:left w:val="nil"/>
              <w:bottom w:val="single" w:sz="2" w:space="0" w:color="auto"/>
              <w:right w:val="nil"/>
            </w:tcBorders>
            <w:shd w:val="clear" w:color="auto" w:fill="auto"/>
            <w:noWrap/>
            <w:vAlign w:val="center"/>
          </w:tcPr>
          <w:p w14:paraId="49961BAD" w14:textId="77777777" w:rsidR="004B6C56" w:rsidRPr="00033257" w:rsidRDefault="004B6C56" w:rsidP="004B6C56">
            <w:pPr>
              <w:pStyle w:val="cuatexto"/>
              <w:spacing w:line="240" w:lineRule="auto"/>
            </w:pPr>
            <w:r>
              <w:t>Mankomunitateak</w:t>
            </w:r>
          </w:p>
        </w:tc>
        <w:tc>
          <w:tcPr>
            <w:tcW w:w="662" w:type="pct"/>
            <w:tcBorders>
              <w:top w:val="single" w:sz="2" w:space="0" w:color="auto"/>
              <w:left w:val="nil"/>
              <w:bottom w:val="single" w:sz="2" w:space="0" w:color="auto"/>
              <w:right w:val="nil"/>
            </w:tcBorders>
            <w:shd w:val="clear" w:color="auto" w:fill="auto"/>
            <w:noWrap/>
            <w:vAlign w:val="center"/>
          </w:tcPr>
          <w:p w14:paraId="1EB09264" w14:textId="3F4EE65C" w:rsidR="004B6C56" w:rsidRPr="00033257" w:rsidRDefault="004B6C56" w:rsidP="004B6C56">
            <w:pPr>
              <w:pStyle w:val="cuatexto"/>
              <w:spacing w:line="240" w:lineRule="auto"/>
              <w:jc w:val="right"/>
            </w:pPr>
            <w:r>
              <w:t>28</w:t>
            </w:r>
          </w:p>
        </w:tc>
        <w:tc>
          <w:tcPr>
            <w:tcW w:w="503" w:type="pct"/>
            <w:tcBorders>
              <w:top w:val="single" w:sz="2" w:space="0" w:color="auto"/>
              <w:left w:val="nil"/>
              <w:bottom w:val="single" w:sz="2" w:space="0" w:color="auto"/>
              <w:right w:val="nil"/>
            </w:tcBorders>
            <w:shd w:val="clear" w:color="auto" w:fill="auto"/>
            <w:noWrap/>
            <w:vAlign w:val="center"/>
          </w:tcPr>
          <w:p w14:paraId="76ECD84C" w14:textId="5B762DA3" w:rsidR="004B6C56" w:rsidRPr="00033257" w:rsidRDefault="004B6C56" w:rsidP="004B6C56">
            <w:pPr>
              <w:pStyle w:val="cuatexto"/>
              <w:spacing w:line="240" w:lineRule="auto"/>
              <w:jc w:val="right"/>
            </w:pPr>
            <w:r>
              <w:t>37</w:t>
            </w:r>
          </w:p>
        </w:tc>
        <w:tc>
          <w:tcPr>
            <w:tcW w:w="736" w:type="pct"/>
            <w:tcBorders>
              <w:top w:val="single" w:sz="2" w:space="0" w:color="auto"/>
              <w:left w:val="nil"/>
              <w:bottom w:val="single" w:sz="2" w:space="0" w:color="auto"/>
              <w:right w:val="nil"/>
            </w:tcBorders>
            <w:shd w:val="clear" w:color="auto" w:fill="auto"/>
            <w:noWrap/>
            <w:vAlign w:val="center"/>
          </w:tcPr>
          <w:p w14:paraId="7732D0DE" w14:textId="2406D51E" w:rsidR="004B6C56" w:rsidRPr="00033257" w:rsidRDefault="004B6C56" w:rsidP="004B6C56">
            <w:pPr>
              <w:pStyle w:val="cuatexto"/>
              <w:spacing w:line="240" w:lineRule="auto"/>
              <w:jc w:val="right"/>
            </w:pPr>
            <w:r>
              <w:t>0</w:t>
            </w:r>
          </w:p>
        </w:tc>
        <w:tc>
          <w:tcPr>
            <w:tcW w:w="467" w:type="pct"/>
            <w:tcBorders>
              <w:top w:val="single" w:sz="2" w:space="0" w:color="auto"/>
              <w:left w:val="nil"/>
              <w:bottom w:val="single" w:sz="2" w:space="0" w:color="auto"/>
              <w:right w:val="nil"/>
            </w:tcBorders>
            <w:shd w:val="clear" w:color="auto" w:fill="auto"/>
            <w:noWrap/>
            <w:vAlign w:val="center"/>
          </w:tcPr>
          <w:p w14:paraId="7383DF30" w14:textId="5DAF9967" w:rsidR="004B6C56" w:rsidRPr="00033257" w:rsidRDefault="004B6C56" w:rsidP="004B6C56">
            <w:pPr>
              <w:pStyle w:val="cuatexto"/>
              <w:spacing w:line="240" w:lineRule="auto"/>
              <w:jc w:val="right"/>
            </w:pPr>
            <w:r>
              <w:t>2</w:t>
            </w:r>
          </w:p>
        </w:tc>
        <w:tc>
          <w:tcPr>
            <w:tcW w:w="854" w:type="pct"/>
            <w:tcBorders>
              <w:top w:val="single" w:sz="2" w:space="0" w:color="auto"/>
              <w:left w:val="nil"/>
              <w:bottom w:val="single" w:sz="2" w:space="0" w:color="auto"/>
              <w:right w:val="nil"/>
            </w:tcBorders>
            <w:shd w:val="clear" w:color="auto" w:fill="auto"/>
            <w:noWrap/>
            <w:vAlign w:val="center"/>
          </w:tcPr>
          <w:p w14:paraId="25162F19" w14:textId="68497704" w:rsidR="004B6C56" w:rsidRPr="00033257" w:rsidRDefault="004B6C56" w:rsidP="004B6C56">
            <w:pPr>
              <w:pStyle w:val="cuatexto"/>
              <w:spacing w:line="240" w:lineRule="auto"/>
              <w:jc w:val="right"/>
            </w:pPr>
            <w:r>
              <w:t>20</w:t>
            </w:r>
          </w:p>
        </w:tc>
        <w:tc>
          <w:tcPr>
            <w:tcW w:w="531" w:type="pct"/>
            <w:tcBorders>
              <w:top w:val="single" w:sz="2" w:space="0" w:color="auto"/>
              <w:left w:val="nil"/>
              <w:bottom w:val="single" w:sz="2" w:space="0" w:color="auto"/>
              <w:right w:val="nil"/>
            </w:tcBorders>
            <w:shd w:val="clear" w:color="auto" w:fill="auto"/>
            <w:noWrap/>
            <w:vAlign w:val="center"/>
          </w:tcPr>
          <w:p w14:paraId="5F1992E5" w14:textId="21F58886" w:rsidR="004B6C56" w:rsidRPr="00033257" w:rsidRDefault="004B6C56" w:rsidP="004B6C56">
            <w:pPr>
              <w:pStyle w:val="cuatexto"/>
              <w:spacing w:line="240" w:lineRule="auto"/>
              <w:jc w:val="right"/>
            </w:pPr>
            <w:r>
              <w:t>21</w:t>
            </w:r>
          </w:p>
        </w:tc>
      </w:tr>
      <w:tr w:rsidR="004B6C56" w:rsidRPr="00033257" w14:paraId="384EDF72" w14:textId="77777777" w:rsidTr="004B6C56">
        <w:trPr>
          <w:trHeight w:val="227"/>
        </w:trPr>
        <w:tc>
          <w:tcPr>
            <w:tcW w:w="1247" w:type="pct"/>
            <w:tcBorders>
              <w:top w:val="single" w:sz="2" w:space="0" w:color="auto"/>
              <w:left w:val="nil"/>
              <w:bottom w:val="single" w:sz="4" w:space="0" w:color="auto"/>
              <w:right w:val="nil"/>
            </w:tcBorders>
            <w:shd w:val="clear" w:color="auto" w:fill="auto"/>
            <w:noWrap/>
            <w:vAlign w:val="center"/>
          </w:tcPr>
          <w:p w14:paraId="761F9DB0" w14:textId="77777777" w:rsidR="004B6C56" w:rsidRPr="00033257" w:rsidRDefault="004B6C56" w:rsidP="004B6C56">
            <w:pPr>
              <w:pStyle w:val="cuatexto"/>
              <w:spacing w:line="240" w:lineRule="auto"/>
            </w:pPr>
            <w:r>
              <w:t>Batasunak</w:t>
            </w:r>
          </w:p>
        </w:tc>
        <w:tc>
          <w:tcPr>
            <w:tcW w:w="662" w:type="pct"/>
            <w:tcBorders>
              <w:top w:val="single" w:sz="2" w:space="0" w:color="auto"/>
              <w:left w:val="nil"/>
              <w:bottom w:val="single" w:sz="4" w:space="0" w:color="auto"/>
              <w:right w:val="nil"/>
            </w:tcBorders>
            <w:shd w:val="clear" w:color="auto" w:fill="auto"/>
            <w:noWrap/>
            <w:vAlign w:val="center"/>
          </w:tcPr>
          <w:p w14:paraId="35F15390" w14:textId="50E8257F" w:rsidR="004B6C56" w:rsidRPr="00033257" w:rsidRDefault="004B6C56" w:rsidP="004B6C56">
            <w:pPr>
              <w:pStyle w:val="cuatexto"/>
              <w:spacing w:line="240" w:lineRule="auto"/>
              <w:jc w:val="right"/>
            </w:pPr>
            <w:r>
              <w:t>23</w:t>
            </w:r>
          </w:p>
        </w:tc>
        <w:tc>
          <w:tcPr>
            <w:tcW w:w="503" w:type="pct"/>
            <w:tcBorders>
              <w:top w:val="single" w:sz="2" w:space="0" w:color="auto"/>
              <w:left w:val="nil"/>
              <w:bottom w:val="single" w:sz="4" w:space="0" w:color="auto"/>
              <w:right w:val="nil"/>
            </w:tcBorders>
            <w:shd w:val="clear" w:color="auto" w:fill="auto"/>
            <w:noWrap/>
            <w:vAlign w:val="center"/>
          </w:tcPr>
          <w:p w14:paraId="061F8113" w14:textId="5FC1ACDD" w:rsidR="004B6C56" w:rsidRPr="00033257" w:rsidRDefault="004B6C56" w:rsidP="004B6C56">
            <w:pPr>
              <w:pStyle w:val="cuatexto"/>
              <w:spacing w:line="240" w:lineRule="auto"/>
              <w:jc w:val="right"/>
            </w:pPr>
            <w:r>
              <w:t>18</w:t>
            </w:r>
          </w:p>
        </w:tc>
        <w:tc>
          <w:tcPr>
            <w:tcW w:w="736" w:type="pct"/>
            <w:tcBorders>
              <w:top w:val="single" w:sz="2" w:space="0" w:color="auto"/>
              <w:left w:val="nil"/>
              <w:bottom w:val="single" w:sz="4" w:space="0" w:color="auto"/>
              <w:right w:val="nil"/>
            </w:tcBorders>
            <w:shd w:val="clear" w:color="auto" w:fill="auto"/>
            <w:noWrap/>
            <w:vAlign w:val="center"/>
          </w:tcPr>
          <w:p w14:paraId="01A76D81" w14:textId="352A9ACC" w:rsidR="004B6C56" w:rsidRPr="00033257" w:rsidRDefault="004B6C56" w:rsidP="004B6C56">
            <w:pPr>
              <w:pStyle w:val="cuatexto"/>
              <w:spacing w:line="240" w:lineRule="auto"/>
              <w:jc w:val="right"/>
            </w:pPr>
            <w:r>
              <w:t>0</w:t>
            </w:r>
          </w:p>
        </w:tc>
        <w:tc>
          <w:tcPr>
            <w:tcW w:w="467" w:type="pct"/>
            <w:tcBorders>
              <w:top w:val="single" w:sz="2" w:space="0" w:color="auto"/>
              <w:left w:val="nil"/>
              <w:bottom w:val="single" w:sz="4" w:space="0" w:color="auto"/>
              <w:right w:val="nil"/>
            </w:tcBorders>
            <w:shd w:val="clear" w:color="auto" w:fill="auto"/>
            <w:noWrap/>
            <w:vAlign w:val="center"/>
          </w:tcPr>
          <w:p w14:paraId="0F2098CD" w14:textId="349CEB72" w:rsidR="004B6C56" w:rsidRPr="00033257" w:rsidRDefault="004B6C56" w:rsidP="004B6C56">
            <w:pPr>
              <w:pStyle w:val="cuatexto"/>
              <w:spacing w:line="240" w:lineRule="auto"/>
              <w:jc w:val="right"/>
            </w:pPr>
            <w:r>
              <w:t>0</w:t>
            </w:r>
          </w:p>
        </w:tc>
        <w:tc>
          <w:tcPr>
            <w:tcW w:w="854" w:type="pct"/>
            <w:tcBorders>
              <w:top w:val="single" w:sz="2" w:space="0" w:color="auto"/>
              <w:left w:val="nil"/>
              <w:bottom w:val="single" w:sz="4" w:space="0" w:color="auto"/>
              <w:right w:val="nil"/>
            </w:tcBorders>
            <w:shd w:val="clear" w:color="auto" w:fill="auto"/>
            <w:noWrap/>
            <w:vAlign w:val="center"/>
          </w:tcPr>
          <w:p w14:paraId="7092A705" w14:textId="6567CC1D" w:rsidR="004B6C56" w:rsidRPr="00033257" w:rsidRDefault="004B6C56" w:rsidP="004B6C56">
            <w:pPr>
              <w:pStyle w:val="cuatexto"/>
              <w:spacing w:line="240" w:lineRule="auto"/>
              <w:jc w:val="right"/>
            </w:pPr>
            <w:r>
              <w:t>18</w:t>
            </w:r>
          </w:p>
        </w:tc>
        <w:tc>
          <w:tcPr>
            <w:tcW w:w="531" w:type="pct"/>
            <w:tcBorders>
              <w:top w:val="single" w:sz="2" w:space="0" w:color="auto"/>
              <w:left w:val="nil"/>
              <w:bottom w:val="single" w:sz="4" w:space="0" w:color="auto"/>
              <w:right w:val="nil"/>
            </w:tcBorders>
            <w:shd w:val="clear" w:color="auto" w:fill="auto"/>
            <w:noWrap/>
            <w:vAlign w:val="center"/>
          </w:tcPr>
          <w:p w14:paraId="451E5926" w14:textId="6383388C" w:rsidR="004B6C56" w:rsidRPr="00033257" w:rsidRDefault="004B6C56" w:rsidP="004B6C56">
            <w:pPr>
              <w:pStyle w:val="cuatexto"/>
              <w:spacing w:line="240" w:lineRule="auto"/>
              <w:jc w:val="right"/>
            </w:pPr>
            <w:r>
              <w:t>9</w:t>
            </w:r>
          </w:p>
        </w:tc>
      </w:tr>
      <w:tr w:rsidR="004B6C56" w:rsidRPr="00FA2E05" w14:paraId="73C2C74C" w14:textId="77777777" w:rsidTr="004B6C56">
        <w:trPr>
          <w:trHeight w:val="227"/>
        </w:trPr>
        <w:tc>
          <w:tcPr>
            <w:tcW w:w="1247" w:type="pct"/>
            <w:tcBorders>
              <w:top w:val="single" w:sz="4" w:space="0" w:color="auto"/>
              <w:left w:val="nil"/>
              <w:bottom w:val="single" w:sz="4" w:space="0" w:color="auto"/>
              <w:right w:val="nil"/>
            </w:tcBorders>
            <w:shd w:val="clear" w:color="auto" w:fill="FABF8F" w:themeFill="accent6" w:themeFillTint="99"/>
            <w:noWrap/>
            <w:vAlign w:val="center"/>
          </w:tcPr>
          <w:p w14:paraId="44DEEDAF" w14:textId="77777777" w:rsidR="004B6C56" w:rsidRPr="00FA2E05" w:rsidRDefault="004B6C56" w:rsidP="004B6C56">
            <w:pPr>
              <w:spacing w:after="0"/>
              <w:ind w:firstLine="0"/>
              <w:jc w:val="left"/>
              <w:rPr>
                <w:rFonts w:ascii="Arial" w:hAnsi="Arial" w:cs="Arial"/>
                <w:color w:val="000000"/>
                <w:sz w:val="18"/>
                <w:szCs w:val="18"/>
              </w:rPr>
            </w:pPr>
            <w:r>
              <w:rPr>
                <w:rFonts w:ascii="Arial" w:hAnsi="Arial"/>
                <w:color w:val="000000" w:themeColor="text1"/>
                <w:sz w:val="18"/>
              </w:rPr>
              <w:t>Guztira</w:t>
            </w:r>
          </w:p>
        </w:tc>
        <w:tc>
          <w:tcPr>
            <w:tcW w:w="662" w:type="pct"/>
            <w:tcBorders>
              <w:top w:val="single" w:sz="4" w:space="0" w:color="auto"/>
              <w:left w:val="nil"/>
              <w:bottom w:val="single" w:sz="4" w:space="0" w:color="auto"/>
              <w:right w:val="nil"/>
            </w:tcBorders>
            <w:shd w:val="clear" w:color="auto" w:fill="FABF8F" w:themeFill="accent6" w:themeFillTint="99"/>
            <w:noWrap/>
            <w:vAlign w:val="center"/>
          </w:tcPr>
          <w:p w14:paraId="3751212D" w14:textId="74F35D50" w:rsidR="004B6C56" w:rsidRPr="00FA2E05" w:rsidRDefault="004B6C56" w:rsidP="004B6C56">
            <w:pPr>
              <w:spacing w:after="0"/>
              <w:ind w:firstLine="0"/>
              <w:jc w:val="right"/>
              <w:rPr>
                <w:rFonts w:ascii="Arial" w:hAnsi="Arial" w:cs="Arial"/>
                <w:color w:val="000000"/>
                <w:sz w:val="18"/>
                <w:szCs w:val="18"/>
              </w:rPr>
            </w:pPr>
            <w:r>
              <w:rPr>
                <w:rFonts w:ascii="Arial" w:hAnsi="Arial"/>
                <w:color w:val="000000"/>
                <w:sz w:val="18"/>
              </w:rPr>
              <w:t>23</w:t>
            </w:r>
          </w:p>
        </w:tc>
        <w:tc>
          <w:tcPr>
            <w:tcW w:w="503" w:type="pct"/>
            <w:tcBorders>
              <w:top w:val="single" w:sz="4" w:space="0" w:color="auto"/>
              <w:left w:val="nil"/>
              <w:bottom w:val="single" w:sz="4" w:space="0" w:color="auto"/>
              <w:right w:val="nil"/>
            </w:tcBorders>
            <w:shd w:val="clear" w:color="auto" w:fill="FABF8F" w:themeFill="accent6" w:themeFillTint="99"/>
            <w:noWrap/>
            <w:vAlign w:val="center"/>
          </w:tcPr>
          <w:p w14:paraId="3E728394" w14:textId="241194A5" w:rsidR="004B6C56" w:rsidRPr="00FA2E05" w:rsidRDefault="004B6C56" w:rsidP="004B6C56">
            <w:pPr>
              <w:spacing w:after="0"/>
              <w:ind w:firstLine="0"/>
              <w:jc w:val="right"/>
              <w:rPr>
                <w:rFonts w:ascii="Arial" w:hAnsi="Arial" w:cs="Arial"/>
                <w:color w:val="000000"/>
                <w:sz w:val="18"/>
                <w:szCs w:val="18"/>
              </w:rPr>
            </w:pPr>
            <w:r>
              <w:rPr>
                <w:rFonts w:ascii="Arial" w:hAnsi="Arial"/>
                <w:color w:val="000000"/>
                <w:sz w:val="18"/>
              </w:rPr>
              <w:t>25</w:t>
            </w:r>
          </w:p>
        </w:tc>
        <w:tc>
          <w:tcPr>
            <w:tcW w:w="736" w:type="pct"/>
            <w:tcBorders>
              <w:top w:val="single" w:sz="4" w:space="0" w:color="auto"/>
              <w:left w:val="nil"/>
              <w:bottom w:val="single" w:sz="4" w:space="0" w:color="auto"/>
              <w:right w:val="nil"/>
            </w:tcBorders>
            <w:shd w:val="clear" w:color="auto" w:fill="FABF8F" w:themeFill="accent6" w:themeFillTint="99"/>
            <w:noWrap/>
            <w:vAlign w:val="center"/>
          </w:tcPr>
          <w:p w14:paraId="4A2EA280" w14:textId="3E8145BF" w:rsidR="004B6C56" w:rsidRPr="00FA2E05" w:rsidRDefault="004B6C56" w:rsidP="004B6C56">
            <w:pPr>
              <w:spacing w:after="0"/>
              <w:ind w:firstLine="0"/>
              <w:jc w:val="right"/>
              <w:rPr>
                <w:rFonts w:ascii="Arial" w:hAnsi="Arial" w:cs="Arial"/>
                <w:color w:val="000000"/>
                <w:sz w:val="18"/>
                <w:szCs w:val="18"/>
              </w:rPr>
            </w:pPr>
            <w:r>
              <w:rPr>
                <w:rFonts w:ascii="Arial" w:hAnsi="Arial"/>
                <w:color w:val="000000"/>
                <w:sz w:val="18"/>
              </w:rPr>
              <w:t>3</w:t>
            </w:r>
          </w:p>
        </w:tc>
        <w:tc>
          <w:tcPr>
            <w:tcW w:w="467" w:type="pct"/>
            <w:tcBorders>
              <w:top w:val="single" w:sz="4" w:space="0" w:color="auto"/>
              <w:left w:val="nil"/>
              <w:bottom w:val="single" w:sz="4" w:space="0" w:color="auto"/>
              <w:right w:val="nil"/>
            </w:tcBorders>
            <w:shd w:val="clear" w:color="auto" w:fill="FABF8F" w:themeFill="accent6" w:themeFillTint="99"/>
            <w:noWrap/>
            <w:vAlign w:val="center"/>
          </w:tcPr>
          <w:p w14:paraId="7A1CEB41" w14:textId="030144E4" w:rsidR="004B6C56" w:rsidRPr="00FA2E05" w:rsidRDefault="004B6C56" w:rsidP="004B6C56">
            <w:pPr>
              <w:spacing w:after="0"/>
              <w:ind w:firstLine="0"/>
              <w:jc w:val="right"/>
              <w:rPr>
                <w:rFonts w:ascii="Arial" w:hAnsi="Arial" w:cs="Arial"/>
                <w:color w:val="000000"/>
                <w:sz w:val="18"/>
                <w:szCs w:val="18"/>
              </w:rPr>
            </w:pPr>
            <w:r>
              <w:rPr>
                <w:rFonts w:ascii="Arial" w:hAnsi="Arial"/>
                <w:color w:val="000000"/>
                <w:sz w:val="18"/>
              </w:rPr>
              <w:t>3</w:t>
            </w:r>
          </w:p>
        </w:tc>
        <w:tc>
          <w:tcPr>
            <w:tcW w:w="854" w:type="pct"/>
            <w:tcBorders>
              <w:top w:val="single" w:sz="4" w:space="0" w:color="auto"/>
              <w:left w:val="nil"/>
              <w:bottom w:val="single" w:sz="4" w:space="0" w:color="auto"/>
              <w:right w:val="nil"/>
            </w:tcBorders>
            <w:shd w:val="clear" w:color="auto" w:fill="FABF8F" w:themeFill="accent6" w:themeFillTint="99"/>
            <w:noWrap/>
            <w:vAlign w:val="center"/>
          </w:tcPr>
          <w:p w14:paraId="427A05E3" w14:textId="5A0E5172" w:rsidR="004B6C56" w:rsidRPr="00FA2E05" w:rsidRDefault="004B6C56" w:rsidP="004B6C56">
            <w:pPr>
              <w:spacing w:after="0"/>
              <w:ind w:firstLine="0"/>
              <w:jc w:val="right"/>
              <w:rPr>
                <w:rFonts w:ascii="Arial" w:hAnsi="Arial" w:cs="Arial"/>
                <w:color w:val="000000"/>
                <w:sz w:val="18"/>
                <w:szCs w:val="18"/>
              </w:rPr>
            </w:pPr>
            <w:r>
              <w:rPr>
                <w:rFonts w:ascii="Arial" w:hAnsi="Arial"/>
                <w:color w:val="000000"/>
                <w:sz w:val="18"/>
              </w:rPr>
              <w:t>20</w:t>
            </w:r>
          </w:p>
        </w:tc>
        <w:tc>
          <w:tcPr>
            <w:tcW w:w="531" w:type="pct"/>
            <w:tcBorders>
              <w:top w:val="single" w:sz="4" w:space="0" w:color="auto"/>
              <w:left w:val="nil"/>
              <w:bottom w:val="single" w:sz="4" w:space="0" w:color="auto"/>
              <w:right w:val="nil"/>
            </w:tcBorders>
            <w:shd w:val="clear" w:color="auto" w:fill="FABF8F" w:themeFill="accent6" w:themeFillTint="99"/>
            <w:noWrap/>
            <w:vAlign w:val="center"/>
          </w:tcPr>
          <w:p w14:paraId="5E40B73F" w14:textId="3C1D31B8" w:rsidR="004B6C56" w:rsidRPr="00FA2E05" w:rsidRDefault="004B6C56" w:rsidP="004B6C56">
            <w:pPr>
              <w:spacing w:after="0"/>
              <w:ind w:firstLine="0"/>
              <w:jc w:val="right"/>
              <w:rPr>
                <w:rFonts w:ascii="Arial" w:hAnsi="Arial" w:cs="Arial"/>
                <w:color w:val="000000"/>
                <w:sz w:val="18"/>
                <w:szCs w:val="18"/>
              </w:rPr>
            </w:pPr>
            <w:r>
              <w:rPr>
                <w:rFonts w:ascii="Arial" w:hAnsi="Arial"/>
                <w:color w:val="000000"/>
                <w:sz w:val="18"/>
              </w:rPr>
              <w:t>23</w:t>
            </w:r>
          </w:p>
        </w:tc>
      </w:tr>
    </w:tbl>
    <w:p w14:paraId="1EE0B34C" w14:textId="77777777" w:rsidR="004B6C56" w:rsidRPr="00033257" w:rsidRDefault="004B6C56" w:rsidP="004B6C56">
      <w:pPr>
        <w:pStyle w:val="texto"/>
        <w:tabs>
          <w:tab w:val="clear" w:pos="2835"/>
          <w:tab w:val="center" w:pos="567"/>
        </w:tabs>
        <w:spacing w:before="120" w:after="120"/>
        <w:rPr>
          <w:rFonts w:cs="Arial"/>
          <w:color w:val="000000" w:themeColor="text1"/>
        </w:rPr>
      </w:pPr>
      <w:r>
        <w:rPr>
          <w:color w:val="000000" w:themeColor="text1"/>
        </w:rPr>
        <w:t xml:space="preserve">Toki-entitateen ehuneko 25ek bakarrik onartu du bere aurrekontua epe barruan. Gainera, deigarria da informazioa berandu bidaltzen zaiola TADZNri, aurrekontuen eta kontu orokorren likidazioak bidaltzean izandako atzerapenak baino askoz luzeagoak. </w:t>
      </w:r>
    </w:p>
    <w:p w14:paraId="5AC4C3F9" w14:textId="2A09039F" w:rsidR="00C84D07" w:rsidRPr="00033257" w:rsidRDefault="004B6C56" w:rsidP="004B6C56">
      <w:pPr>
        <w:pStyle w:val="texto"/>
        <w:tabs>
          <w:tab w:val="clear" w:pos="2835"/>
          <w:tab w:val="center" w:pos="567"/>
        </w:tabs>
        <w:spacing w:after="120"/>
        <w:rPr>
          <w:rFonts w:cs="Arial"/>
          <w:color w:val="000000" w:themeColor="text1"/>
        </w:rPr>
      </w:pPr>
      <w:r>
        <w:rPr>
          <w:color w:val="000000" w:themeColor="text1"/>
        </w:rPr>
        <w:t>Hala ere, txosten honen datara arte, toki-entitateen ehuneko 83k bidali diote TADZNri 2021eko aurrekontuen espedientea.</w:t>
      </w:r>
    </w:p>
    <w:p w14:paraId="31BB2002" w14:textId="77777777" w:rsidR="00683931" w:rsidRPr="00033257" w:rsidRDefault="00C84D07" w:rsidP="00C84D07">
      <w:pPr>
        <w:pStyle w:val="atitulo1"/>
        <w:rPr>
          <w:color w:val="000000" w:themeColor="text1"/>
        </w:rPr>
      </w:pPr>
      <w:r>
        <w:br w:type="page"/>
      </w:r>
      <w:bookmarkStart w:id="91" w:name="_Toc151635607"/>
      <w:r>
        <w:rPr>
          <w:color w:val="000000" w:themeColor="text1"/>
        </w:rPr>
        <w:lastRenderedPageBreak/>
        <w:t>IX. Barne kontrola eta kontu-hartze organoek egindako eragozpen oharrak</w:t>
      </w:r>
      <w:bookmarkEnd w:id="91"/>
      <w:r>
        <w:rPr>
          <w:color w:val="000000" w:themeColor="text1"/>
        </w:rPr>
        <w:t xml:space="preserve"> </w:t>
      </w:r>
    </w:p>
    <w:p w14:paraId="07D3C912" w14:textId="1CA2FE8F" w:rsidR="000E3227" w:rsidRPr="00033257" w:rsidRDefault="000E3227" w:rsidP="000E3227">
      <w:pPr>
        <w:pStyle w:val="Ttulo2"/>
        <w:spacing w:after="240"/>
        <w:ind w:firstLine="0"/>
        <w:rPr>
          <w:b w:val="0"/>
          <w:i w:val="0"/>
          <w:sz w:val="25"/>
          <w:szCs w:val="25"/>
        </w:rPr>
      </w:pPr>
      <w:bookmarkStart w:id="92" w:name="_Toc123547415"/>
      <w:bookmarkStart w:id="93" w:name="_Toc151635608"/>
      <w:r>
        <w:rPr>
          <w:b w:val="0"/>
          <w:i w:val="0"/>
          <w:sz w:val="25"/>
        </w:rPr>
        <w:t>IX.1 Eskatutako informazioa igortzeko betebeharra betetzea</w:t>
      </w:r>
      <w:bookmarkEnd w:id="92"/>
      <w:bookmarkEnd w:id="93"/>
    </w:p>
    <w:p w14:paraId="35127511" w14:textId="77777777" w:rsidR="000E3227" w:rsidRPr="00033257" w:rsidRDefault="000E3227" w:rsidP="000E3227">
      <w:pPr>
        <w:pStyle w:val="texto"/>
      </w:pPr>
      <w:r>
        <w:t>Atal honetako informazioaren oinarri gisa hartu dira Kontuen Ganbera honek udal, mankomunitate eta batasunetako kontu-hartze organoei 2022ko ekainean bidalitako galde-sorta baten bidez jasotako erantzunak. Bertan informazioa eskatu zen toki-entitateen 2021eko ekitaldiko barne kontrolari buruz. Kontzejuei ez zitzaien bidali formulario hori, ez daukatelako barne kontroleko eginkizunetan aritzeko gaitutako kontu-hartzaile edo idazkaririk.</w:t>
      </w:r>
    </w:p>
    <w:p w14:paraId="2BF6CC52" w14:textId="4E179A40" w:rsidR="000E3227" w:rsidRDefault="000E3227" w:rsidP="000E3227">
      <w:pPr>
        <w:pStyle w:val="texto"/>
      </w:pPr>
      <w:r>
        <w:t>Galde-sorta 354 toki-entitateri bidali zitzaien, eta 302 erantzun jaso ziren; beraz, betetze maila ehuneko 85ekoa izan zen, aurreko ekitaldian erregistratutako ehuneko 76a baino handiagoa. Erantzun ez zuten entitateen artean, Barañaingo Udala nabarmentzen da biztanleriagatik.</w:t>
      </w:r>
    </w:p>
    <w:p w14:paraId="5B75847D" w14:textId="7848F478" w:rsidR="000E3227" w:rsidRPr="00033257" w:rsidRDefault="000E3227" w:rsidP="005605A0">
      <w:pPr>
        <w:pStyle w:val="Ttulo2"/>
        <w:spacing w:after="120"/>
        <w:ind w:firstLine="0"/>
        <w:rPr>
          <w:b w:val="0"/>
          <w:i w:val="0"/>
          <w:sz w:val="25"/>
          <w:szCs w:val="25"/>
        </w:rPr>
      </w:pPr>
      <w:bookmarkStart w:id="94" w:name="_Toc123547416"/>
      <w:bookmarkStart w:id="95" w:name="_Toc151635609"/>
      <w:r>
        <w:rPr>
          <w:b w:val="0"/>
          <w:i w:val="0"/>
          <w:sz w:val="25"/>
        </w:rPr>
        <w:t>IX.2 Barne kontrola</w:t>
      </w:r>
      <w:bookmarkEnd w:id="94"/>
      <w:bookmarkEnd w:id="95"/>
    </w:p>
    <w:p w14:paraId="02C1BA07" w14:textId="77777777" w:rsidR="000E3227" w:rsidRPr="00033257" w:rsidRDefault="79B4F94C" w:rsidP="3710BB4A">
      <w:pPr>
        <w:pStyle w:val="texto"/>
        <w:rPr>
          <w:b/>
          <w:bCs/>
        </w:rPr>
      </w:pPr>
      <w:r>
        <w:t>Arauetan barne kontroleko hiru modalitate bereizten dira: kontu-hartze funtzioa, finantza kontrola eta eraginkortasunaren kontrola.</w:t>
      </w:r>
    </w:p>
    <w:p w14:paraId="76F3B6E4" w14:textId="6340E67A" w:rsidR="000E3227" w:rsidRDefault="79B4F94C" w:rsidP="000E3227">
      <w:pPr>
        <w:pStyle w:val="texto"/>
        <w:spacing w:after="240"/>
      </w:pPr>
      <w:r>
        <w:t>Beheko taulan azaltzen dira toki-entitateek kontu-hartze funtzioaren eremuan egindako kontrol batzuk:</w:t>
      </w:r>
    </w:p>
    <w:p w14:paraId="4BD6B973" w14:textId="3746D85C" w:rsidR="004B6C56" w:rsidRPr="004B6C56" w:rsidRDefault="004B6C56" w:rsidP="004B6C56">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(toki-entitateen kop.)</w:t>
      </w:r>
    </w:p>
    <w:tbl>
      <w:tblPr>
        <w:tblW w:w="8790" w:type="dxa"/>
        <w:tblLayout w:type="fixed"/>
        <w:tblCellMar>
          <w:left w:w="70" w:type="dxa"/>
          <w:right w:w="70" w:type="dxa"/>
        </w:tblCellMar>
        <w:tblLook w:val="04A0" w:firstRow="1" w:lastRow="0" w:firstColumn="1" w:lastColumn="0" w:noHBand="0" w:noVBand="1"/>
      </w:tblPr>
      <w:tblGrid>
        <w:gridCol w:w="1985"/>
        <w:gridCol w:w="850"/>
        <w:gridCol w:w="629"/>
        <w:gridCol w:w="7"/>
        <w:gridCol w:w="780"/>
        <w:gridCol w:w="562"/>
        <w:gridCol w:w="707"/>
        <w:gridCol w:w="576"/>
        <w:gridCol w:w="850"/>
        <w:gridCol w:w="567"/>
        <w:gridCol w:w="709"/>
        <w:gridCol w:w="568"/>
      </w:tblGrid>
      <w:tr w:rsidR="004B6C56" w:rsidRPr="000C3C49" w14:paraId="05DDFEDB" w14:textId="77777777" w:rsidTr="004B6C56">
        <w:trPr>
          <w:trHeight w:val="227"/>
        </w:trPr>
        <w:tc>
          <w:tcPr>
            <w:tcW w:w="1985" w:type="dxa"/>
            <w:vMerge w:val="restart"/>
            <w:tcBorders>
              <w:top w:val="single" w:sz="4" w:space="0" w:color="auto"/>
              <w:left w:val="nil"/>
              <w:bottom w:val="single" w:sz="2" w:space="0" w:color="000000" w:themeColor="text1"/>
              <w:right w:val="single" w:sz="2" w:space="0" w:color="auto"/>
            </w:tcBorders>
            <w:shd w:val="clear" w:color="auto" w:fill="FABF8F" w:themeFill="accent6" w:themeFillTint="99"/>
            <w:noWrap/>
            <w:vAlign w:val="center"/>
            <w:hideMark/>
          </w:tcPr>
          <w:p w14:paraId="05DE0EE0" w14:textId="77777777" w:rsidR="004B6C56" w:rsidRPr="000C3C49" w:rsidRDefault="004B6C56" w:rsidP="004B6C56">
            <w:pPr>
              <w:pStyle w:val="cuadroCabe"/>
              <w:spacing w:line="240" w:lineRule="auto"/>
              <w:jc w:val="left"/>
              <w:rPr>
                <w:rFonts w:cs="Arial"/>
                <w:sz w:val="16"/>
                <w:szCs w:val="16"/>
              </w:rPr>
            </w:pPr>
            <w:r>
              <w:rPr>
                <w:sz w:val="16"/>
              </w:rPr>
              <w:t>Toki-entitate mota</w:t>
            </w:r>
          </w:p>
        </w:tc>
        <w:tc>
          <w:tcPr>
            <w:tcW w:w="1479" w:type="dxa"/>
            <w:gridSpan w:val="2"/>
            <w:tcBorders>
              <w:top w:val="single" w:sz="4" w:space="0" w:color="auto"/>
              <w:left w:val="single" w:sz="2" w:space="0" w:color="auto"/>
              <w:right w:val="single" w:sz="2" w:space="0" w:color="auto"/>
            </w:tcBorders>
            <w:shd w:val="clear" w:color="auto" w:fill="FABF8F" w:themeFill="accent6" w:themeFillTint="99"/>
            <w:vAlign w:val="center"/>
            <w:hideMark/>
          </w:tcPr>
          <w:p w14:paraId="32ED5994" w14:textId="77777777" w:rsidR="004B6C56" w:rsidRPr="000C3C49" w:rsidRDefault="004B6C56" w:rsidP="004B6C56">
            <w:pPr>
              <w:pStyle w:val="cuadroCabe"/>
              <w:spacing w:line="240" w:lineRule="auto"/>
              <w:jc w:val="right"/>
              <w:rPr>
                <w:rFonts w:cs="Arial"/>
                <w:sz w:val="16"/>
                <w:szCs w:val="16"/>
              </w:rPr>
            </w:pPr>
            <w:r>
              <w:rPr>
                <w:sz w:val="16"/>
              </w:rPr>
              <w:t>Erantzunak, guztira</w:t>
            </w:r>
          </w:p>
        </w:tc>
        <w:tc>
          <w:tcPr>
            <w:tcW w:w="1349" w:type="dxa"/>
            <w:gridSpan w:val="3"/>
            <w:tcBorders>
              <w:top w:val="single" w:sz="4" w:space="0" w:color="auto"/>
              <w:left w:val="single" w:sz="2" w:space="0" w:color="auto"/>
              <w:right w:val="single" w:sz="2" w:space="0" w:color="auto"/>
            </w:tcBorders>
            <w:shd w:val="clear" w:color="auto" w:fill="FABF8F" w:themeFill="accent6" w:themeFillTint="99"/>
            <w:vAlign w:val="center"/>
            <w:hideMark/>
          </w:tcPr>
          <w:p w14:paraId="56925111" w14:textId="77777777" w:rsidR="004B6C56" w:rsidRPr="000C3C49" w:rsidRDefault="004B6C56" w:rsidP="004B6C56">
            <w:pPr>
              <w:pStyle w:val="cuadroCabe"/>
              <w:spacing w:line="240" w:lineRule="auto"/>
              <w:jc w:val="right"/>
              <w:rPr>
                <w:rFonts w:cs="Arial"/>
                <w:sz w:val="16"/>
                <w:szCs w:val="16"/>
              </w:rPr>
            </w:pPr>
            <w:r>
              <w:rPr>
                <w:sz w:val="16"/>
              </w:rPr>
              <w:t>Ordainketen kontu-hartze formala</w:t>
            </w:r>
          </w:p>
        </w:tc>
        <w:tc>
          <w:tcPr>
            <w:tcW w:w="1283" w:type="dxa"/>
            <w:gridSpan w:val="2"/>
            <w:tcBorders>
              <w:top w:val="single" w:sz="4" w:space="0" w:color="auto"/>
              <w:left w:val="single" w:sz="2" w:space="0" w:color="auto"/>
              <w:right w:val="single" w:sz="2" w:space="0" w:color="auto"/>
            </w:tcBorders>
            <w:shd w:val="clear" w:color="auto" w:fill="FABF8F" w:themeFill="accent6" w:themeFillTint="99"/>
            <w:vAlign w:val="center"/>
            <w:hideMark/>
          </w:tcPr>
          <w:p w14:paraId="463CCBE6" w14:textId="77777777" w:rsidR="004B6C56" w:rsidRPr="000C3C49" w:rsidRDefault="004B6C56" w:rsidP="004B6C56">
            <w:pPr>
              <w:pStyle w:val="cuadroCabe"/>
              <w:spacing w:line="240" w:lineRule="auto"/>
              <w:jc w:val="right"/>
              <w:rPr>
                <w:rFonts w:cs="Arial"/>
                <w:sz w:val="16"/>
                <w:szCs w:val="16"/>
              </w:rPr>
            </w:pPr>
            <w:r>
              <w:rPr>
                <w:sz w:val="16"/>
              </w:rPr>
              <w:t>Ordainketen kontu-hartze</w:t>
            </w:r>
          </w:p>
          <w:p w14:paraId="2566FE6A" w14:textId="77777777" w:rsidR="004B6C56" w:rsidRPr="000C3C49" w:rsidRDefault="004B6C56" w:rsidP="004B6C56">
            <w:pPr>
              <w:pStyle w:val="cuadroCabe"/>
              <w:spacing w:line="240" w:lineRule="auto"/>
              <w:jc w:val="right"/>
              <w:rPr>
                <w:rFonts w:cs="Arial"/>
                <w:sz w:val="16"/>
                <w:szCs w:val="16"/>
              </w:rPr>
            </w:pPr>
            <w:r>
              <w:rPr>
                <w:sz w:val="16"/>
              </w:rPr>
              <w:t>materiala</w:t>
            </w:r>
          </w:p>
        </w:tc>
        <w:tc>
          <w:tcPr>
            <w:tcW w:w="1417" w:type="dxa"/>
            <w:gridSpan w:val="2"/>
            <w:tcBorders>
              <w:top w:val="single" w:sz="4" w:space="0" w:color="auto"/>
              <w:left w:val="single" w:sz="2" w:space="0" w:color="auto"/>
              <w:right w:val="single" w:sz="2" w:space="0" w:color="auto"/>
            </w:tcBorders>
            <w:shd w:val="clear" w:color="auto" w:fill="FABF8F" w:themeFill="accent6" w:themeFillTint="99"/>
            <w:vAlign w:val="center"/>
            <w:hideMark/>
          </w:tcPr>
          <w:p w14:paraId="7B3AE366" w14:textId="77777777" w:rsidR="004B6C56" w:rsidRPr="000C3C49" w:rsidRDefault="004B6C56" w:rsidP="004B6C56">
            <w:pPr>
              <w:pStyle w:val="cuadroCabe"/>
              <w:spacing w:line="240" w:lineRule="auto"/>
              <w:jc w:val="right"/>
              <w:rPr>
                <w:rFonts w:cs="Arial"/>
                <w:sz w:val="16"/>
                <w:szCs w:val="16"/>
              </w:rPr>
            </w:pPr>
            <w:r>
              <w:rPr>
                <w:sz w:val="16"/>
              </w:rPr>
              <w:t>Inbertsioak</w:t>
            </w:r>
          </w:p>
          <w:p w14:paraId="1D32B76B" w14:textId="77777777" w:rsidR="004B6C56" w:rsidRPr="000C3C49" w:rsidRDefault="004B6C56" w:rsidP="004B6C56">
            <w:pPr>
              <w:pStyle w:val="cuadroCabe"/>
              <w:spacing w:line="240" w:lineRule="auto"/>
              <w:jc w:val="right"/>
              <w:rPr>
                <w:rFonts w:cs="Arial"/>
                <w:sz w:val="16"/>
                <w:szCs w:val="16"/>
              </w:rPr>
            </w:pPr>
            <w:r>
              <w:rPr>
                <w:sz w:val="16"/>
              </w:rPr>
              <w:t>egiaztatzea</w:t>
            </w:r>
          </w:p>
        </w:tc>
        <w:tc>
          <w:tcPr>
            <w:tcW w:w="1277" w:type="dxa"/>
            <w:gridSpan w:val="2"/>
            <w:tcBorders>
              <w:top w:val="single" w:sz="4" w:space="0" w:color="auto"/>
              <w:left w:val="single" w:sz="2" w:space="0" w:color="auto"/>
              <w:right w:val="nil"/>
            </w:tcBorders>
            <w:shd w:val="clear" w:color="auto" w:fill="FABF8F" w:themeFill="accent6" w:themeFillTint="99"/>
            <w:vAlign w:val="center"/>
            <w:hideMark/>
          </w:tcPr>
          <w:p w14:paraId="3DB344FC" w14:textId="77777777" w:rsidR="004B6C56" w:rsidRPr="000C3C49" w:rsidRDefault="004B6C56" w:rsidP="004B6C56">
            <w:pPr>
              <w:pStyle w:val="cuadroCabe"/>
              <w:spacing w:line="240" w:lineRule="auto"/>
              <w:jc w:val="right"/>
              <w:rPr>
                <w:rFonts w:cs="Arial"/>
                <w:sz w:val="16"/>
                <w:szCs w:val="16"/>
              </w:rPr>
            </w:pPr>
            <w:r>
              <w:rPr>
                <w:sz w:val="16"/>
              </w:rPr>
              <w:t>Dirulaguntzak</w:t>
            </w:r>
          </w:p>
          <w:p w14:paraId="216A4B78" w14:textId="77777777" w:rsidR="004B6C56" w:rsidRPr="000C3C49" w:rsidRDefault="004B6C56" w:rsidP="004B6C56">
            <w:pPr>
              <w:pStyle w:val="cuadroCabe"/>
              <w:spacing w:line="240" w:lineRule="auto"/>
              <w:jc w:val="right"/>
              <w:rPr>
                <w:rFonts w:cs="Arial"/>
                <w:sz w:val="16"/>
                <w:szCs w:val="16"/>
              </w:rPr>
            </w:pPr>
            <w:r>
              <w:rPr>
                <w:sz w:val="16"/>
              </w:rPr>
              <w:t>egiaztatzea</w:t>
            </w:r>
          </w:p>
        </w:tc>
      </w:tr>
      <w:tr w:rsidR="004B6C56" w:rsidRPr="000C3C49" w14:paraId="573C673A" w14:textId="77777777" w:rsidTr="0004039F">
        <w:trPr>
          <w:trHeight w:val="227"/>
        </w:trPr>
        <w:tc>
          <w:tcPr>
            <w:tcW w:w="1985" w:type="dxa"/>
            <w:vMerge/>
            <w:tcBorders>
              <w:top w:val="single" w:sz="8" w:space="0" w:color="000000" w:themeColor="text1"/>
              <w:bottom w:val="single" w:sz="2" w:space="0" w:color="000000" w:themeColor="text1"/>
              <w:right w:val="single" w:sz="2" w:space="0" w:color="auto"/>
            </w:tcBorders>
            <w:vAlign w:val="center"/>
            <w:hideMark/>
          </w:tcPr>
          <w:p w14:paraId="3086DD3E" w14:textId="77777777" w:rsidR="004B6C56" w:rsidRPr="000C3C49" w:rsidRDefault="004B6C56" w:rsidP="004B6C56">
            <w:pPr>
              <w:pStyle w:val="cuadroCabe"/>
              <w:spacing w:line="240" w:lineRule="auto"/>
              <w:jc w:val="left"/>
              <w:rPr>
                <w:rFonts w:cs="Arial"/>
                <w:sz w:val="16"/>
                <w:szCs w:val="16"/>
                <w:lang w:val="es-ES" w:eastAsia="es-ES"/>
              </w:rPr>
            </w:pPr>
          </w:p>
        </w:tc>
        <w:tc>
          <w:tcPr>
            <w:tcW w:w="850" w:type="dxa"/>
            <w:tcBorders>
              <w:left w:val="single" w:sz="2" w:space="0" w:color="auto"/>
              <w:bottom w:val="single" w:sz="4" w:space="0" w:color="auto"/>
            </w:tcBorders>
            <w:shd w:val="clear" w:color="auto" w:fill="FABF8F" w:themeFill="accent6" w:themeFillTint="99"/>
            <w:noWrap/>
            <w:vAlign w:val="center"/>
          </w:tcPr>
          <w:p w14:paraId="40E26A84" w14:textId="443BF892"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2020</w:t>
            </w:r>
          </w:p>
        </w:tc>
        <w:tc>
          <w:tcPr>
            <w:tcW w:w="636" w:type="dxa"/>
            <w:gridSpan w:val="2"/>
            <w:tcBorders>
              <w:bottom w:val="single" w:sz="4" w:space="0" w:color="auto"/>
              <w:right w:val="single" w:sz="2" w:space="0" w:color="auto"/>
            </w:tcBorders>
            <w:shd w:val="clear" w:color="auto" w:fill="FABF8F" w:themeFill="accent6" w:themeFillTint="99"/>
            <w:noWrap/>
            <w:vAlign w:val="center"/>
          </w:tcPr>
          <w:p w14:paraId="491D1F5F" w14:textId="148FBEB0"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2021</w:t>
            </w:r>
          </w:p>
        </w:tc>
        <w:tc>
          <w:tcPr>
            <w:tcW w:w="780" w:type="dxa"/>
            <w:tcBorders>
              <w:left w:val="single" w:sz="2" w:space="0" w:color="auto"/>
              <w:bottom w:val="single" w:sz="4" w:space="0" w:color="auto"/>
            </w:tcBorders>
            <w:shd w:val="clear" w:color="auto" w:fill="FABF8F" w:themeFill="accent6" w:themeFillTint="99"/>
            <w:noWrap/>
            <w:vAlign w:val="center"/>
          </w:tcPr>
          <w:p w14:paraId="7D495C0B" w14:textId="5BDBAD9D"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2020</w:t>
            </w:r>
          </w:p>
        </w:tc>
        <w:tc>
          <w:tcPr>
            <w:tcW w:w="562" w:type="dxa"/>
            <w:tcBorders>
              <w:bottom w:val="single" w:sz="4" w:space="0" w:color="auto"/>
              <w:right w:val="single" w:sz="2" w:space="0" w:color="auto"/>
            </w:tcBorders>
            <w:shd w:val="clear" w:color="auto" w:fill="FABF8F" w:themeFill="accent6" w:themeFillTint="99"/>
            <w:noWrap/>
            <w:vAlign w:val="center"/>
          </w:tcPr>
          <w:p w14:paraId="025D1EB7" w14:textId="4BBAFFDF"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2021</w:t>
            </w:r>
          </w:p>
        </w:tc>
        <w:tc>
          <w:tcPr>
            <w:tcW w:w="707" w:type="dxa"/>
            <w:tcBorders>
              <w:left w:val="single" w:sz="2" w:space="0" w:color="auto"/>
              <w:bottom w:val="single" w:sz="4" w:space="0" w:color="auto"/>
            </w:tcBorders>
            <w:shd w:val="clear" w:color="auto" w:fill="FABF8F" w:themeFill="accent6" w:themeFillTint="99"/>
            <w:noWrap/>
            <w:vAlign w:val="center"/>
          </w:tcPr>
          <w:p w14:paraId="49700AC0" w14:textId="3CB6D9EB"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2020</w:t>
            </w:r>
          </w:p>
        </w:tc>
        <w:tc>
          <w:tcPr>
            <w:tcW w:w="576" w:type="dxa"/>
            <w:tcBorders>
              <w:bottom w:val="single" w:sz="4" w:space="0" w:color="auto"/>
              <w:right w:val="single" w:sz="2" w:space="0" w:color="auto"/>
            </w:tcBorders>
            <w:shd w:val="clear" w:color="auto" w:fill="FABF8F" w:themeFill="accent6" w:themeFillTint="99"/>
            <w:noWrap/>
            <w:vAlign w:val="center"/>
          </w:tcPr>
          <w:p w14:paraId="6A595166" w14:textId="0D30038E"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2021</w:t>
            </w:r>
          </w:p>
        </w:tc>
        <w:tc>
          <w:tcPr>
            <w:tcW w:w="850" w:type="dxa"/>
            <w:tcBorders>
              <w:left w:val="single" w:sz="2" w:space="0" w:color="auto"/>
              <w:bottom w:val="single" w:sz="4" w:space="0" w:color="auto"/>
            </w:tcBorders>
            <w:shd w:val="clear" w:color="auto" w:fill="FABF8F" w:themeFill="accent6" w:themeFillTint="99"/>
            <w:noWrap/>
            <w:vAlign w:val="center"/>
          </w:tcPr>
          <w:p w14:paraId="7F94AB3D" w14:textId="645FE9F9"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2020</w:t>
            </w:r>
          </w:p>
        </w:tc>
        <w:tc>
          <w:tcPr>
            <w:tcW w:w="567" w:type="dxa"/>
            <w:tcBorders>
              <w:bottom w:val="single" w:sz="4" w:space="0" w:color="auto"/>
              <w:right w:val="single" w:sz="2" w:space="0" w:color="auto"/>
            </w:tcBorders>
            <w:shd w:val="clear" w:color="auto" w:fill="FABF8F" w:themeFill="accent6" w:themeFillTint="99"/>
            <w:noWrap/>
            <w:vAlign w:val="center"/>
          </w:tcPr>
          <w:p w14:paraId="057A46AA" w14:textId="05A52928"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2021</w:t>
            </w:r>
          </w:p>
        </w:tc>
        <w:tc>
          <w:tcPr>
            <w:tcW w:w="709" w:type="dxa"/>
            <w:tcBorders>
              <w:left w:val="single" w:sz="2" w:space="0" w:color="auto"/>
              <w:bottom w:val="single" w:sz="4" w:space="0" w:color="auto"/>
            </w:tcBorders>
            <w:shd w:val="clear" w:color="auto" w:fill="FABF8F" w:themeFill="accent6" w:themeFillTint="99"/>
            <w:noWrap/>
            <w:vAlign w:val="center"/>
          </w:tcPr>
          <w:p w14:paraId="3EF592D8" w14:textId="73823329"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2020</w:t>
            </w:r>
          </w:p>
        </w:tc>
        <w:tc>
          <w:tcPr>
            <w:tcW w:w="568" w:type="dxa"/>
            <w:tcBorders>
              <w:bottom w:val="single" w:sz="4" w:space="0" w:color="auto"/>
              <w:right w:val="nil"/>
            </w:tcBorders>
            <w:shd w:val="clear" w:color="auto" w:fill="FABF8F" w:themeFill="accent6" w:themeFillTint="99"/>
            <w:noWrap/>
            <w:vAlign w:val="center"/>
          </w:tcPr>
          <w:p w14:paraId="6E0F2CF3" w14:textId="1F153153"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2021</w:t>
            </w:r>
          </w:p>
        </w:tc>
      </w:tr>
      <w:tr w:rsidR="004B6C56" w:rsidRPr="00BD116E" w14:paraId="46B09F90" w14:textId="77777777" w:rsidTr="0004039F">
        <w:trPr>
          <w:trHeight w:val="227"/>
        </w:trPr>
        <w:tc>
          <w:tcPr>
            <w:tcW w:w="1985" w:type="dxa"/>
            <w:tcBorders>
              <w:top w:val="single" w:sz="2" w:space="0" w:color="000000" w:themeColor="text1"/>
              <w:left w:val="nil"/>
              <w:bottom w:val="single" w:sz="2" w:space="0" w:color="auto"/>
              <w:right w:val="single" w:sz="2" w:space="0" w:color="auto"/>
            </w:tcBorders>
            <w:shd w:val="clear" w:color="auto" w:fill="auto"/>
            <w:noWrap/>
            <w:vAlign w:val="center"/>
            <w:hideMark/>
          </w:tcPr>
          <w:p w14:paraId="43510D23" w14:textId="77777777" w:rsidR="004B6C56" w:rsidRPr="00BD116E" w:rsidRDefault="004B6C56" w:rsidP="004B6C56">
            <w:pPr>
              <w:pStyle w:val="cuatexto"/>
              <w:spacing w:line="240" w:lineRule="auto"/>
              <w:jc w:val="left"/>
              <w:rPr>
                <w:b/>
                <w:bCs/>
                <w:i/>
                <w:sz w:val="18"/>
                <w:szCs w:val="18"/>
              </w:rPr>
            </w:pPr>
            <w:r>
              <w:rPr>
                <w:b/>
                <w:i/>
                <w:sz w:val="18"/>
              </w:rPr>
              <w:t>Udalak</w:t>
            </w:r>
          </w:p>
        </w:tc>
        <w:tc>
          <w:tcPr>
            <w:tcW w:w="850" w:type="dxa"/>
            <w:tcBorders>
              <w:top w:val="single" w:sz="4" w:space="0" w:color="auto"/>
              <w:left w:val="single" w:sz="2" w:space="0" w:color="auto"/>
              <w:bottom w:val="single" w:sz="2" w:space="0" w:color="auto"/>
            </w:tcBorders>
            <w:shd w:val="clear" w:color="auto" w:fill="auto"/>
            <w:noWrap/>
            <w:vAlign w:val="center"/>
          </w:tcPr>
          <w:p w14:paraId="1771D53A" w14:textId="4BBBC5D7"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208</w:t>
            </w:r>
          </w:p>
        </w:tc>
        <w:tc>
          <w:tcPr>
            <w:tcW w:w="636" w:type="dxa"/>
            <w:gridSpan w:val="2"/>
            <w:tcBorders>
              <w:top w:val="single" w:sz="4" w:space="0" w:color="auto"/>
              <w:bottom w:val="single" w:sz="2" w:space="0" w:color="auto"/>
              <w:right w:val="single" w:sz="2" w:space="0" w:color="auto"/>
            </w:tcBorders>
            <w:shd w:val="clear" w:color="auto" w:fill="auto"/>
            <w:noWrap/>
            <w:vAlign w:val="center"/>
          </w:tcPr>
          <w:p w14:paraId="050DDFED" w14:textId="69932746"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240</w:t>
            </w:r>
          </w:p>
        </w:tc>
        <w:tc>
          <w:tcPr>
            <w:tcW w:w="780" w:type="dxa"/>
            <w:tcBorders>
              <w:top w:val="single" w:sz="4" w:space="0" w:color="auto"/>
              <w:left w:val="single" w:sz="2" w:space="0" w:color="auto"/>
              <w:bottom w:val="single" w:sz="2" w:space="0" w:color="auto"/>
            </w:tcBorders>
            <w:shd w:val="clear" w:color="auto" w:fill="auto"/>
            <w:noWrap/>
            <w:vAlign w:val="center"/>
          </w:tcPr>
          <w:p w14:paraId="00543003" w14:textId="15A03562"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169</w:t>
            </w:r>
          </w:p>
        </w:tc>
        <w:tc>
          <w:tcPr>
            <w:tcW w:w="562" w:type="dxa"/>
            <w:tcBorders>
              <w:top w:val="single" w:sz="4" w:space="0" w:color="auto"/>
              <w:bottom w:val="single" w:sz="2" w:space="0" w:color="auto"/>
              <w:right w:val="single" w:sz="2" w:space="0" w:color="auto"/>
            </w:tcBorders>
            <w:shd w:val="clear" w:color="auto" w:fill="auto"/>
            <w:noWrap/>
            <w:vAlign w:val="center"/>
          </w:tcPr>
          <w:p w14:paraId="38C29D4F" w14:textId="5FF6DC63"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225</w:t>
            </w:r>
          </w:p>
        </w:tc>
        <w:tc>
          <w:tcPr>
            <w:tcW w:w="707" w:type="dxa"/>
            <w:tcBorders>
              <w:top w:val="single" w:sz="4" w:space="0" w:color="auto"/>
              <w:left w:val="single" w:sz="2" w:space="0" w:color="auto"/>
              <w:bottom w:val="single" w:sz="2" w:space="0" w:color="auto"/>
            </w:tcBorders>
            <w:shd w:val="clear" w:color="auto" w:fill="auto"/>
            <w:noWrap/>
            <w:vAlign w:val="center"/>
          </w:tcPr>
          <w:p w14:paraId="1D19BEB6" w14:textId="4DD2F199"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163</w:t>
            </w:r>
          </w:p>
        </w:tc>
        <w:tc>
          <w:tcPr>
            <w:tcW w:w="576" w:type="dxa"/>
            <w:tcBorders>
              <w:top w:val="single" w:sz="4" w:space="0" w:color="auto"/>
              <w:bottom w:val="single" w:sz="2" w:space="0" w:color="auto"/>
              <w:right w:val="single" w:sz="2" w:space="0" w:color="auto"/>
            </w:tcBorders>
            <w:shd w:val="clear" w:color="auto" w:fill="auto"/>
            <w:noWrap/>
            <w:vAlign w:val="center"/>
          </w:tcPr>
          <w:p w14:paraId="7FB61A44" w14:textId="0605075A"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225</w:t>
            </w:r>
          </w:p>
        </w:tc>
        <w:tc>
          <w:tcPr>
            <w:tcW w:w="850" w:type="dxa"/>
            <w:tcBorders>
              <w:top w:val="single" w:sz="4" w:space="0" w:color="auto"/>
              <w:left w:val="single" w:sz="2" w:space="0" w:color="auto"/>
              <w:bottom w:val="single" w:sz="2" w:space="0" w:color="auto"/>
            </w:tcBorders>
            <w:shd w:val="clear" w:color="auto" w:fill="auto"/>
            <w:noWrap/>
            <w:vAlign w:val="center"/>
          </w:tcPr>
          <w:p w14:paraId="081A8DDB" w14:textId="4E9FE5C6"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160</w:t>
            </w:r>
          </w:p>
        </w:tc>
        <w:tc>
          <w:tcPr>
            <w:tcW w:w="567" w:type="dxa"/>
            <w:tcBorders>
              <w:top w:val="single" w:sz="4" w:space="0" w:color="auto"/>
              <w:bottom w:val="single" w:sz="2" w:space="0" w:color="auto"/>
              <w:right w:val="single" w:sz="2" w:space="0" w:color="auto"/>
            </w:tcBorders>
            <w:shd w:val="clear" w:color="auto" w:fill="auto"/>
            <w:noWrap/>
            <w:vAlign w:val="center"/>
          </w:tcPr>
          <w:p w14:paraId="7DC0B471" w14:textId="2C28A672"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206</w:t>
            </w:r>
          </w:p>
        </w:tc>
        <w:tc>
          <w:tcPr>
            <w:tcW w:w="709" w:type="dxa"/>
            <w:tcBorders>
              <w:top w:val="single" w:sz="4" w:space="0" w:color="auto"/>
              <w:left w:val="single" w:sz="2" w:space="0" w:color="auto"/>
              <w:bottom w:val="single" w:sz="2" w:space="0" w:color="auto"/>
            </w:tcBorders>
            <w:shd w:val="clear" w:color="auto" w:fill="auto"/>
            <w:noWrap/>
            <w:vAlign w:val="center"/>
          </w:tcPr>
          <w:p w14:paraId="64D7417E" w14:textId="64F1970A"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163</w:t>
            </w:r>
          </w:p>
        </w:tc>
        <w:tc>
          <w:tcPr>
            <w:tcW w:w="568" w:type="dxa"/>
            <w:tcBorders>
              <w:top w:val="single" w:sz="4" w:space="0" w:color="auto"/>
              <w:bottom w:val="single" w:sz="2" w:space="0" w:color="auto"/>
              <w:right w:val="nil"/>
            </w:tcBorders>
            <w:shd w:val="clear" w:color="auto" w:fill="auto"/>
            <w:noWrap/>
            <w:vAlign w:val="center"/>
          </w:tcPr>
          <w:p w14:paraId="30F87516" w14:textId="0B11EDEF"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220</w:t>
            </w:r>
          </w:p>
        </w:tc>
      </w:tr>
      <w:tr w:rsidR="004B6C56" w:rsidRPr="000C3C49" w14:paraId="44BCAC12"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00E63799" w14:textId="77777777" w:rsidR="004B6C56" w:rsidRPr="000C3C49" w:rsidRDefault="004B6C56" w:rsidP="004B6C56">
            <w:pPr>
              <w:pStyle w:val="cuatexto"/>
              <w:spacing w:line="240" w:lineRule="auto"/>
              <w:jc w:val="left"/>
              <w:rPr>
                <w:sz w:val="18"/>
                <w:szCs w:val="18"/>
              </w:rPr>
            </w:pPr>
            <w:r>
              <w:rPr>
                <w:sz w:val="18"/>
              </w:rPr>
              <w:t>1.000 biztanle bitarte</w:t>
            </w:r>
          </w:p>
        </w:tc>
        <w:tc>
          <w:tcPr>
            <w:tcW w:w="850" w:type="dxa"/>
            <w:tcBorders>
              <w:top w:val="single" w:sz="2" w:space="0" w:color="auto"/>
              <w:left w:val="single" w:sz="2" w:space="0" w:color="auto"/>
              <w:bottom w:val="single" w:sz="2" w:space="0" w:color="auto"/>
            </w:tcBorders>
            <w:shd w:val="clear" w:color="auto" w:fill="auto"/>
            <w:noWrap/>
            <w:vAlign w:val="center"/>
          </w:tcPr>
          <w:p w14:paraId="1AEFABB8" w14:textId="7DA1A9E9"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139</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779B8217" w14:textId="4D569141"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165</w:t>
            </w:r>
          </w:p>
        </w:tc>
        <w:tc>
          <w:tcPr>
            <w:tcW w:w="780" w:type="dxa"/>
            <w:tcBorders>
              <w:top w:val="single" w:sz="2" w:space="0" w:color="auto"/>
              <w:left w:val="single" w:sz="2" w:space="0" w:color="auto"/>
              <w:bottom w:val="single" w:sz="2" w:space="0" w:color="auto"/>
            </w:tcBorders>
            <w:shd w:val="clear" w:color="auto" w:fill="auto"/>
            <w:noWrap/>
            <w:vAlign w:val="center"/>
          </w:tcPr>
          <w:p w14:paraId="23DAA64E" w14:textId="3E2C9FCF"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109</w:t>
            </w:r>
          </w:p>
        </w:tc>
        <w:tc>
          <w:tcPr>
            <w:tcW w:w="562" w:type="dxa"/>
            <w:tcBorders>
              <w:top w:val="single" w:sz="2" w:space="0" w:color="auto"/>
              <w:bottom w:val="single" w:sz="2" w:space="0" w:color="auto"/>
              <w:right w:val="single" w:sz="2" w:space="0" w:color="auto"/>
            </w:tcBorders>
            <w:shd w:val="clear" w:color="auto" w:fill="auto"/>
            <w:noWrap/>
            <w:vAlign w:val="center"/>
          </w:tcPr>
          <w:p w14:paraId="162AB676" w14:textId="1C719BA8"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154</w:t>
            </w:r>
          </w:p>
        </w:tc>
        <w:tc>
          <w:tcPr>
            <w:tcW w:w="707" w:type="dxa"/>
            <w:tcBorders>
              <w:top w:val="single" w:sz="2" w:space="0" w:color="auto"/>
              <w:left w:val="single" w:sz="2" w:space="0" w:color="auto"/>
              <w:bottom w:val="single" w:sz="2" w:space="0" w:color="auto"/>
            </w:tcBorders>
            <w:shd w:val="clear" w:color="auto" w:fill="auto"/>
            <w:noWrap/>
            <w:vAlign w:val="center"/>
          </w:tcPr>
          <w:p w14:paraId="7FA68236" w14:textId="308B63A2"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109</w:t>
            </w:r>
          </w:p>
        </w:tc>
        <w:tc>
          <w:tcPr>
            <w:tcW w:w="576" w:type="dxa"/>
            <w:tcBorders>
              <w:top w:val="single" w:sz="2" w:space="0" w:color="auto"/>
              <w:bottom w:val="single" w:sz="2" w:space="0" w:color="auto"/>
              <w:right w:val="single" w:sz="2" w:space="0" w:color="auto"/>
            </w:tcBorders>
            <w:shd w:val="clear" w:color="auto" w:fill="auto"/>
            <w:noWrap/>
            <w:vAlign w:val="center"/>
          </w:tcPr>
          <w:p w14:paraId="31DE5E69" w14:textId="09F7B3FB"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154</w:t>
            </w:r>
          </w:p>
        </w:tc>
        <w:tc>
          <w:tcPr>
            <w:tcW w:w="850" w:type="dxa"/>
            <w:tcBorders>
              <w:top w:val="single" w:sz="2" w:space="0" w:color="auto"/>
              <w:left w:val="single" w:sz="2" w:space="0" w:color="auto"/>
              <w:bottom w:val="single" w:sz="2" w:space="0" w:color="auto"/>
            </w:tcBorders>
            <w:shd w:val="clear" w:color="auto" w:fill="auto"/>
            <w:noWrap/>
            <w:vAlign w:val="center"/>
          </w:tcPr>
          <w:p w14:paraId="3AD8A14F" w14:textId="673EC17B"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110</w:t>
            </w:r>
          </w:p>
        </w:tc>
        <w:tc>
          <w:tcPr>
            <w:tcW w:w="567" w:type="dxa"/>
            <w:tcBorders>
              <w:top w:val="single" w:sz="2" w:space="0" w:color="auto"/>
              <w:bottom w:val="single" w:sz="2" w:space="0" w:color="auto"/>
              <w:right w:val="single" w:sz="2" w:space="0" w:color="auto"/>
            </w:tcBorders>
            <w:shd w:val="clear" w:color="auto" w:fill="auto"/>
            <w:noWrap/>
            <w:vAlign w:val="center"/>
          </w:tcPr>
          <w:p w14:paraId="23B13243" w14:textId="2E861EC2"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148</w:t>
            </w:r>
          </w:p>
        </w:tc>
        <w:tc>
          <w:tcPr>
            <w:tcW w:w="709" w:type="dxa"/>
            <w:tcBorders>
              <w:top w:val="single" w:sz="2" w:space="0" w:color="auto"/>
              <w:left w:val="single" w:sz="2" w:space="0" w:color="auto"/>
              <w:bottom w:val="single" w:sz="2" w:space="0" w:color="auto"/>
            </w:tcBorders>
            <w:shd w:val="clear" w:color="auto" w:fill="auto"/>
            <w:noWrap/>
            <w:vAlign w:val="center"/>
          </w:tcPr>
          <w:p w14:paraId="5FE1F0A8" w14:textId="233C513F"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108</w:t>
            </w:r>
          </w:p>
        </w:tc>
        <w:tc>
          <w:tcPr>
            <w:tcW w:w="568" w:type="dxa"/>
            <w:tcBorders>
              <w:top w:val="single" w:sz="2" w:space="0" w:color="auto"/>
              <w:bottom w:val="single" w:sz="2" w:space="0" w:color="auto"/>
              <w:right w:val="nil"/>
            </w:tcBorders>
            <w:shd w:val="clear" w:color="auto" w:fill="auto"/>
            <w:noWrap/>
            <w:vAlign w:val="center"/>
          </w:tcPr>
          <w:p w14:paraId="79DA3F55" w14:textId="49E1A6D1"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150</w:t>
            </w:r>
          </w:p>
        </w:tc>
      </w:tr>
      <w:tr w:rsidR="004B6C56" w:rsidRPr="000C3C49" w14:paraId="728F2E79"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152202B0" w14:textId="77777777" w:rsidR="004B6C56" w:rsidRPr="000C3C49" w:rsidRDefault="004B6C56" w:rsidP="004B6C56">
            <w:pPr>
              <w:pStyle w:val="cuatexto"/>
              <w:spacing w:line="240" w:lineRule="auto"/>
              <w:jc w:val="left"/>
              <w:rPr>
                <w:sz w:val="18"/>
                <w:szCs w:val="18"/>
              </w:rPr>
            </w:pPr>
            <w:r>
              <w:rPr>
                <w:sz w:val="18"/>
              </w:rPr>
              <w:t>1.001-5.000 biztanle</w:t>
            </w:r>
          </w:p>
        </w:tc>
        <w:tc>
          <w:tcPr>
            <w:tcW w:w="850" w:type="dxa"/>
            <w:tcBorders>
              <w:top w:val="single" w:sz="2" w:space="0" w:color="auto"/>
              <w:left w:val="single" w:sz="2" w:space="0" w:color="auto"/>
              <w:bottom w:val="single" w:sz="2" w:space="0" w:color="auto"/>
            </w:tcBorders>
            <w:shd w:val="clear" w:color="auto" w:fill="auto"/>
            <w:noWrap/>
            <w:vAlign w:val="center"/>
          </w:tcPr>
          <w:p w14:paraId="54CDCCBD" w14:textId="3E00438F"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51</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76344E57" w14:textId="0D0F48E0"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56</w:t>
            </w:r>
          </w:p>
        </w:tc>
        <w:tc>
          <w:tcPr>
            <w:tcW w:w="780" w:type="dxa"/>
            <w:tcBorders>
              <w:top w:val="single" w:sz="2" w:space="0" w:color="auto"/>
              <w:left w:val="single" w:sz="2" w:space="0" w:color="auto"/>
              <w:bottom w:val="single" w:sz="2" w:space="0" w:color="auto"/>
            </w:tcBorders>
            <w:shd w:val="clear" w:color="auto" w:fill="auto"/>
            <w:noWrap/>
            <w:vAlign w:val="center"/>
          </w:tcPr>
          <w:p w14:paraId="4FAE5E15" w14:textId="50FB8C4F"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44</w:t>
            </w:r>
          </w:p>
        </w:tc>
        <w:tc>
          <w:tcPr>
            <w:tcW w:w="562" w:type="dxa"/>
            <w:tcBorders>
              <w:top w:val="single" w:sz="2" w:space="0" w:color="auto"/>
              <w:bottom w:val="single" w:sz="2" w:space="0" w:color="auto"/>
              <w:right w:val="single" w:sz="2" w:space="0" w:color="auto"/>
            </w:tcBorders>
            <w:shd w:val="clear" w:color="auto" w:fill="auto"/>
            <w:noWrap/>
            <w:vAlign w:val="center"/>
          </w:tcPr>
          <w:p w14:paraId="6F5C3CD8" w14:textId="4D6D3FC4"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54</w:t>
            </w:r>
          </w:p>
        </w:tc>
        <w:tc>
          <w:tcPr>
            <w:tcW w:w="707" w:type="dxa"/>
            <w:tcBorders>
              <w:top w:val="single" w:sz="2" w:space="0" w:color="auto"/>
              <w:left w:val="single" w:sz="2" w:space="0" w:color="auto"/>
              <w:bottom w:val="single" w:sz="2" w:space="0" w:color="auto"/>
            </w:tcBorders>
            <w:shd w:val="clear" w:color="auto" w:fill="auto"/>
            <w:noWrap/>
            <w:vAlign w:val="center"/>
          </w:tcPr>
          <w:p w14:paraId="409715EB" w14:textId="6E7A0AA7"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41</w:t>
            </w:r>
          </w:p>
        </w:tc>
        <w:tc>
          <w:tcPr>
            <w:tcW w:w="576" w:type="dxa"/>
            <w:tcBorders>
              <w:top w:val="single" w:sz="2" w:space="0" w:color="auto"/>
              <w:bottom w:val="single" w:sz="2" w:space="0" w:color="auto"/>
              <w:right w:val="single" w:sz="2" w:space="0" w:color="auto"/>
            </w:tcBorders>
            <w:shd w:val="clear" w:color="auto" w:fill="auto"/>
            <w:noWrap/>
            <w:vAlign w:val="center"/>
          </w:tcPr>
          <w:p w14:paraId="7F309E20" w14:textId="7EC06511"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56</w:t>
            </w:r>
          </w:p>
        </w:tc>
        <w:tc>
          <w:tcPr>
            <w:tcW w:w="850" w:type="dxa"/>
            <w:tcBorders>
              <w:top w:val="single" w:sz="2" w:space="0" w:color="auto"/>
              <w:left w:val="single" w:sz="2" w:space="0" w:color="auto"/>
              <w:bottom w:val="single" w:sz="2" w:space="0" w:color="auto"/>
            </w:tcBorders>
            <w:shd w:val="clear" w:color="auto" w:fill="auto"/>
            <w:noWrap/>
            <w:vAlign w:val="center"/>
          </w:tcPr>
          <w:p w14:paraId="072F35F4" w14:textId="6D9182BE"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41</w:t>
            </w:r>
          </w:p>
        </w:tc>
        <w:tc>
          <w:tcPr>
            <w:tcW w:w="567" w:type="dxa"/>
            <w:tcBorders>
              <w:top w:val="single" w:sz="2" w:space="0" w:color="auto"/>
              <w:bottom w:val="single" w:sz="2" w:space="0" w:color="auto"/>
              <w:right w:val="single" w:sz="2" w:space="0" w:color="auto"/>
            </w:tcBorders>
            <w:shd w:val="clear" w:color="auto" w:fill="auto"/>
            <w:noWrap/>
            <w:vAlign w:val="center"/>
          </w:tcPr>
          <w:p w14:paraId="39357CBA" w14:textId="6A56CCEB"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49</w:t>
            </w:r>
          </w:p>
        </w:tc>
        <w:tc>
          <w:tcPr>
            <w:tcW w:w="709" w:type="dxa"/>
            <w:tcBorders>
              <w:top w:val="single" w:sz="2" w:space="0" w:color="auto"/>
              <w:left w:val="single" w:sz="2" w:space="0" w:color="auto"/>
              <w:bottom w:val="single" w:sz="2" w:space="0" w:color="auto"/>
            </w:tcBorders>
            <w:shd w:val="clear" w:color="auto" w:fill="auto"/>
            <w:noWrap/>
            <w:vAlign w:val="center"/>
          </w:tcPr>
          <w:p w14:paraId="53FEB00E" w14:textId="5C05A5F7"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41</w:t>
            </w:r>
          </w:p>
        </w:tc>
        <w:tc>
          <w:tcPr>
            <w:tcW w:w="568" w:type="dxa"/>
            <w:tcBorders>
              <w:top w:val="single" w:sz="2" w:space="0" w:color="auto"/>
              <w:bottom w:val="single" w:sz="2" w:space="0" w:color="auto"/>
              <w:right w:val="nil"/>
            </w:tcBorders>
            <w:shd w:val="clear" w:color="auto" w:fill="auto"/>
            <w:noWrap/>
            <w:vAlign w:val="center"/>
          </w:tcPr>
          <w:p w14:paraId="6CB4E3AC" w14:textId="70C97438"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53</w:t>
            </w:r>
          </w:p>
        </w:tc>
      </w:tr>
      <w:tr w:rsidR="004B6C56" w:rsidRPr="000C3C49" w14:paraId="18ECE904"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79F6D4DC" w14:textId="77777777" w:rsidR="004B6C56" w:rsidRPr="000C3C49" w:rsidRDefault="004B6C56" w:rsidP="004B6C56">
            <w:pPr>
              <w:pStyle w:val="cuatexto"/>
              <w:spacing w:line="240" w:lineRule="auto"/>
              <w:jc w:val="left"/>
              <w:rPr>
                <w:sz w:val="18"/>
                <w:szCs w:val="18"/>
              </w:rPr>
            </w:pPr>
            <w:r>
              <w:rPr>
                <w:sz w:val="18"/>
              </w:rPr>
              <w:t>5.001-10.000 biztanle</w:t>
            </w:r>
          </w:p>
        </w:tc>
        <w:tc>
          <w:tcPr>
            <w:tcW w:w="850" w:type="dxa"/>
            <w:tcBorders>
              <w:top w:val="single" w:sz="2" w:space="0" w:color="auto"/>
              <w:left w:val="single" w:sz="2" w:space="0" w:color="auto"/>
              <w:bottom w:val="single" w:sz="2" w:space="0" w:color="auto"/>
            </w:tcBorders>
            <w:shd w:val="clear" w:color="auto" w:fill="auto"/>
            <w:noWrap/>
            <w:vAlign w:val="center"/>
          </w:tcPr>
          <w:p w14:paraId="0D50F456" w14:textId="2B2C9ECA"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6</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75BA36D2" w14:textId="1E6B802F"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8</w:t>
            </w:r>
          </w:p>
        </w:tc>
        <w:tc>
          <w:tcPr>
            <w:tcW w:w="780" w:type="dxa"/>
            <w:tcBorders>
              <w:top w:val="single" w:sz="2" w:space="0" w:color="auto"/>
              <w:left w:val="single" w:sz="2" w:space="0" w:color="auto"/>
              <w:bottom w:val="single" w:sz="2" w:space="0" w:color="auto"/>
            </w:tcBorders>
            <w:shd w:val="clear" w:color="auto" w:fill="auto"/>
            <w:noWrap/>
            <w:vAlign w:val="center"/>
          </w:tcPr>
          <w:p w14:paraId="03D5FD3F" w14:textId="5D4290CF"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6</w:t>
            </w:r>
          </w:p>
        </w:tc>
        <w:tc>
          <w:tcPr>
            <w:tcW w:w="562" w:type="dxa"/>
            <w:tcBorders>
              <w:top w:val="single" w:sz="2" w:space="0" w:color="auto"/>
              <w:bottom w:val="single" w:sz="2" w:space="0" w:color="auto"/>
              <w:right w:val="single" w:sz="2" w:space="0" w:color="auto"/>
            </w:tcBorders>
            <w:shd w:val="clear" w:color="auto" w:fill="auto"/>
            <w:noWrap/>
            <w:vAlign w:val="center"/>
          </w:tcPr>
          <w:p w14:paraId="4360FD2E" w14:textId="733423D5"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7</w:t>
            </w:r>
          </w:p>
        </w:tc>
        <w:tc>
          <w:tcPr>
            <w:tcW w:w="707" w:type="dxa"/>
            <w:tcBorders>
              <w:top w:val="single" w:sz="2" w:space="0" w:color="auto"/>
              <w:left w:val="single" w:sz="2" w:space="0" w:color="auto"/>
              <w:bottom w:val="single" w:sz="2" w:space="0" w:color="auto"/>
            </w:tcBorders>
            <w:shd w:val="clear" w:color="auto" w:fill="auto"/>
            <w:noWrap/>
            <w:vAlign w:val="center"/>
          </w:tcPr>
          <w:p w14:paraId="7ADD9663" w14:textId="5AF78979"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6</w:t>
            </w:r>
          </w:p>
        </w:tc>
        <w:tc>
          <w:tcPr>
            <w:tcW w:w="576" w:type="dxa"/>
            <w:tcBorders>
              <w:top w:val="single" w:sz="2" w:space="0" w:color="auto"/>
              <w:bottom w:val="single" w:sz="2" w:space="0" w:color="auto"/>
              <w:right w:val="single" w:sz="2" w:space="0" w:color="auto"/>
            </w:tcBorders>
            <w:shd w:val="clear" w:color="auto" w:fill="auto"/>
            <w:noWrap/>
            <w:vAlign w:val="center"/>
          </w:tcPr>
          <w:p w14:paraId="21DF5B83" w14:textId="35F248EB"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6</w:t>
            </w:r>
          </w:p>
        </w:tc>
        <w:tc>
          <w:tcPr>
            <w:tcW w:w="850" w:type="dxa"/>
            <w:tcBorders>
              <w:top w:val="single" w:sz="2" w:space="0" w:color="auto"/>
              <w:left w:val="single" w:sz="2" w:space="0" w:color="auto"/>
              <w:bottom w:val="single" w:sz="2" w:space="0" w:color="auto"/>
            </w:tcBorders>
            <w:shd w:val="clear" w:color="auto" w:fill="auto"/>
            <w:noWrap/>
            <w:vAlign w:val="center"/>
          </w:tcPr>
          <w:p w14:paraId="10C67AB2" w14:textId="0251A4EB"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2</w:t>
            </w:r>
          </w:p>
        </w:tc>
        <w:tc>
          <w:tcPr>
            <w:tcW w:w="567" w:type="dxa"/>
            <w:tcBorders>
              <w:top w:val="single" w:sz="2" w:space="0" w:color="auto"/>
              <w:bottom w:val="single" w:sz="2" w:space="0" w:color="auto"/>
              <w:right w:val="single" w:sz="2" w:space="0" w:color="auto"/>
            </w:tcBorders>
            <w:shd w:val="clear" w:color="auto" w:fill="auto"/>
            <w:noWrap/>
            <w:vAlign w:val="center"/>
          </w:tcPr>
          <w:p w14:paraId="295DCACB" w14:textId="1F004869"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w:t>
            </w:r>
          </w:p>
        </w:tc>
        <w:tc>
          <w:tcPr>
            <w:tcW w:w="709" w:type="dxa"/>
            <w:tcBorders>
              <w:top w:val="single" w:sz="2" w:space="0" w:color="auto"/>
              <w:left w:val="single" w:sz="2" w:space="0" w:color="auto"/>
              <w:bottom w:val="single" w:sz="2" w:space="0" w:color="auto"/>
            </w:tcBorders>
            <w:shd w:val="clear" w:color="auto" w:fill="auto"/>
            <w:noWrap/>
            <w:vAlign w:val="center"/>
          </w:tcPr>
          <w:p w14:paraId="0E399635" w14:textId="5FBCEAE4"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w:t>
            </w:r>
          </w:p>
        </w:tc>
        <w:tc>
          <w:tcPr>
            <w:tcW w:w="568" w:type="dxa"/>
            <w:tcBorders>
              <w:top w:val="single" w:sz="2" w:space="0" w:color="auto"/>
              <w:bottom w:val="single" w:sz="2" w:space="0" w:color="auto"/>
              <w:right w:val="nil"/>
            </w:tcBorders>
            <w:shd w:val="clear" w:color="auto" w:fill="auto"/>
            <w:noWrap/>
            <w:vAlign w:val="center"/>
          </w:tcPr>
          <w:p w14:paraId="5244152B" w14:textId="7B7C6F71"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8</w:t>
            </w:r>
          </w:p>
        </w:tc>
      </w:tr>
      <w:tr w:rsidR="004B6C56" w:rsidRPr="000C3C49" w14:paraId="6B1507DD"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53B4027D" w14:textId="77777777" w:rsidR="004B6C56" w:rsidRPr="000C3C49" w:rsidRDefault="004B6C56" w:rsidP="004B6C56">
            <w:pPr>
              <w:pStyle w:val="cuatexto"/>
              <w:spacing w:line="240" w:lineRule="auto"/>
              <w:jc w:val="left"/>
              <w:rPr>
                <w:sz w:val="18"/>
                <w:szCs w:val="18"/>
              </w:rPr>
            </w:pPr>
            <w:r>
              <w:rPr>
                <w:sz w:val="18"/>
              </w:rPr>
              <w:t>10.001-20.000 biztanle</w:t>
            </w:r>
          </w:p>
        </w:tc>
        <w:tc>
          <w:tcPr>
            <w:tcW w:w="850" w:type="dxa"/>
            <w:tcBorders>
              <w:top w:val="single" w:sz="2" w:space="0" w:color="auto"/>
              <w:left w:val="single" w:sz="2" w:space="0" w:color="auto"/>
              <w:bottom w:val="single" w:sz="2" w:space="0" w:color="auto"/>
            </w:tcBorders>
            <w:shd w:val="clear" w:color="auto" w:fill="auto"/>
            <w:noWrap/>
            <w:vAlign w:val="center"/>
          </w:tcPr>
          <w:p w14:paraId="3BD04C8D" w14:textId="69D47D0D"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8</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4115A094" w14:textId="1D215781"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8</w:t>
            </w:r>
          </w:p>
        </w:tc>
        <w:tc>
          <w:tcPr>
            <w:tcW w:w="780" w:type="dxa"/>
            <w:tcBorders>
              <w:top w:val="single" w:sz="2" w:space="0" w:color="auto"/>
              <w:left w:val="single" w:sz="2" w:space="0" w:color="auto"/>
              <w:bottom w:val="single" w:sz="2" w:space="0" w:color="auto"/>
            </w:tcBorders>
            <w:shd w:val="clear" w:color="auto" w:fill="auto"/>
            <w:noWrap/>
            <w:vAlign w:val="center"/>
          </w:tcPr>
          <w:p w14:paraId="75BE220F" w14:textId="5DBA346E"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7</w:t>
            </w:r>
          </w:p>
        </w:tc>
        <w:tc>
          <w:tcPr>
            <w:tcW w:w="562" w:type="dxa"/>
            <w:tcBorders>
              <w:top w:val="single" w:sz="2" w:space="0" w:color="auto"/>
              <w:bottom w:val="single" w:sz="2" w:space="0" w:color="auto"/>
              <w:right w:val="single" w:sz="2" w:space="0" w:color="auto"/>
            </w:tcBorders>
            <w:shd w:val="clear" w:color="auto" w:fill="auto"/>
            <w:noWrap/>
            <w:vAlign w:val="center"/>
          </w:tcPr>
          <w:p w14:paraId="1A2D808E" w14:textId="324F9638"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8</w:t>
            </w:r>
          </w:p>
        </w:tc>
        <w:tc>
          <w:tcPr>
            <w:tcW w:w="707" w:type="dxa"/>
            <w:tcBorders>
              <w:top w:val="single" w:sz="2" w:space="0" w:color="auto"/>
              <w:left w:val="single" w:sz="2" w:space="0" w:color="auto"/>
              <w:bottom w:val="single" w:sz="2" w:space="0" w:color="auto"/>
            </w:tcBorders>
            <w:shd w:val="clear" w:color="auto" w:fill="auto"/>
            <w:noWrap/>
            <w:vAlign w:val="center"/>
          </w:tcPr>
          <w:p w14:paraId="5EA978AA" w14:textId="6561DADE"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w:t>
            </w:r>
          </w:p>
        </w:tc>
        <w:tc>
          <w:tcPr>
            <w:tcW w:w="576" w:type="dxa"/>
            <w:tcBorders>
              <w:top w:val="single" w:sz="2" w:space="0" w:color="auto"/>
              <w:bottom w:val="single" w:sz="2" w:space="0" w:color="auto"/>
              <w:right w:val="single" w:sz="2" w:space="0" w:color="auto"/>
            </w:tcBorders>
            <w:shd w:val="clear" w:color="auto" w:fill="auto"/>
            <w:noWrap/>
            <w:vAlign w:val="center"/>
          </w:tcPr>
          <w:p w14:paraId="2686EAA0" w14:textId="2AE43012"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8</w:t>
            </w:r>
          </w:p>
        </w:tc>
        <w:tc>
          <w:tcPr>
            <w:tcW w:w="850" w:type="dxa"/>
            <w:tcBorders>
              <w:top w:val="single" w:sz="2" w:space="0" w:color="auto"/>
              <w:left w:val="single" w:sz="2" w:space="0" w:color="auto"/>
              <w:bottom w:val="single" w:sz="2" w:space="0" w:color="auto"/>
            </w:tcBorders>
            <w:shd w:val="clear" w:color="auto" w:fill="auto"/>
            <w:noWrap/>
            <w:vAlign w:val="center"/>
          </w:tcPr>
          <w:p w14:paraId="20E3BFF0" w14:textId="11308272"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w:t>
            </w:r>
          </w:p>
        </w:tc>
        <w:tc>
          <w:tcPr>
            <w:tcW w:w="567" w:type="dxa"/>
            <w:tcBorders>
              <w:top w:val="single" w:sz="2" w:space="0" w:color="auto"/>
              <w:bottom w:val="single" w:sz="2" w:space="0" w:color="auto"/>
              <w:right w:val="single" w:sz="2" w:space="0" w:color="auto"/>
            </w:tcBorders>
            <w:shd w:val="clear" w:color="auto" w:fill="auto"/>
            <w:noWrap/>
            <w:vAlign w:val="center"/>
          </w:tcPr>
          <w:p w14:paraId="5C471C6C" w14:textId="68E6B357"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w:t>
            </w:r>
          </w:p>
        </w:tc>
        <w:tc>
          <w:tcPr>
            <w:tcW w:w="709" w:type="dxa"/>
            <w:tcBorders>
              <w:top w:val="single" w:sz="2" w:space="0" w:color="auto"/>
              <w:left w:val="single" w:sz="2" w:space="0" w:color="auto"/>
              <w:bottom w:val="single" w:sz="2" w:space="0" w:color="auto"/>
            </w:tcBorders>
            <w:shd w:val="clear" w:color="auto" w:fill="auto"/>
            <w:noWrap/>
            <w:vAlign w:val="center"/>
          </w:tcPr>
          <w:p w14:paraId="2F1A4AF4" w14:textId="6D8C17D3"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5</w:t>
            </w:r>
          </w:p>
        </w:tc>
        <w:tc>
          <w:tcPr>
            <w:tcW w:w="568" w:type="dxa"/>
            <w:tcBorders>
              <w:top w:val="single" w:sz="2" w:space="0" w:color="auto"/>
              <w:bottom w:val="single" w:sz="2" w:space="0" w:color="auto"/>
              <w:right w:val="nil"/>
            </w:tcBorders>
            <w:shd w:val="clear" w:color="auto" w:fill="auto"/>
            <w:noWrap/>
            <w:vAlign w:val="center"/>
          </w:tcPr>
          <w:p w14:paraId="1EBA45D0" w14:textId="6FCC3FDA"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6</w:t>
            </w:r>
          </w:p>
        </w:tc>
      </w:tr>
      <w:tr w:rsidR="004B6C56" w:rsidRPr="000C3C49" w14:paraId="7C374C2E"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20DB982E" w14:textId="77777777" w:rsidR="004B6C56" w:rsidRPr="000C3C49" w:rsidRDefault="004B6C56" w:rsidP="004B6C56">
            <w:pPr>
              <w:pStyle w:val="cuatexto"/>
              <w:spacing w:line="240" w:lineRule="auto"/>
              <w:jc w:val="left"/>
              <w:rPr>
                <w:sz w:val="18"/>
                <w:szCs w:val="18"/>
              </w:rPr>
            </w:pPr>
            <w:r>
              <w:rPr>
                <w:sz w:val="18"/>
              </w:rPr>
              <w:t>20.000 bizt. baino gehiago</w:t>
            </w:r>
          </w:p>
        </w:tc>
        <w:tc>
          <w:tcPr>
            <w:tcW w:w="850" w:type="dxa"/>
            <w:tcBorders>
              <w:top w:val="single" w:sz="2" w:space="0" w:color="auto"/>
              <w:left w:val="single" w:sz="2" w:space="0" w:color="auto"/>
              <w:bottom w:val="single" w:sz="2" w:space="0" w:color="auto"/>
            </w:tcBorders>
            <w:shd w:val="clear" w:color="auto" w:fill="auto"/>
            <w:noWrap/>
            <w:vAlign w:val="center"/>
          </w:tcPr>
          <w:p w14:paraId="2369EFF5" w14:textId="17CE5B7A"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32275C47" w14:textId="2326ADD5"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3</w:t>
            </w:r>
          </w:p>
        </w:tc>
        <w:tc>
          <w:tcPr>
            <w:tcW w:w="780" w:type="dxa"/>
            <w:tcBorders>
              <w:top w:val="single" w:sz="2" w:space="0" w:color="auto"/>
              <w:left w:val="single" w:sz="2" w:space="0" w:color="auto"/>
              <w:bottom w:val="single" w:sz="2" w:space="0" w:color="auto"/>
            </w:tcBorders>
            <w:shd w:val="clear" w:color="auto" w:fill="auto"/>
            <w:noWrap/>
            <w:vAlign w:val="center"/>
          </w:tcPr>
          <w:p w14:paraId="2B0BD434" w14:textId="4B7A5AFE"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3</w:t>
            </w:r>
          </w:p>
        </w:tc>
        <w:tc>
          <w:tcPr>
            <w:tcW w:w="562" w:type="dxa"/>
            <w:tcBorders>
              <w:top w:val="single" w:sz="2" w:space="0" w:color="auto"/>
              <w:bottom w:val="single" w:sz="2" w:space="0" w:color="auto"/>
              <w:right w:val="single" w:sz="2" w:space="0" w:color="auto"/>
            </w:tcBorders>
            <w:shd w:val="clear" w:color="auto" w:fill="auto"/>
            <w:noWrap/>
            <w:vAlign w:val="center"/>
          </w:tcPr>
          <w:p w14:paraId="7FD8A282" w14:textId="3242B54A"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2</w:t>
            </w:r>
          </w:p>
        </w:tc>
        <w:tc>
          <w:tcPr>
            <w:tcW w:w="707" w:type="dxa"/>
            <w:tcBorders>
              <w:top w:val="single" w:sz="2" w:space="0" w:color="auto"/>
              <w:left w:val="single" w:sz="2" w:space="0" w:color="auto"/>
              <w:bottom w:val="single" w:sz="2" w:space="0" w:color="auto"/>
            </w:tcBorders>
            <w:shd w:val="clear" w:color="auto" w:fill="auto"/>
            <w:noWrap/>
            <w:vAlign w:val="center"/>
          </w:tcPr>
          <w:p w14:paraId="34DF4A57" w14:textId="761676C6"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2</w:t>
            </w:r>
          </w:p>
        </w:tc>
        <w:tc>
          <w:tcPr>
            <w:tcW w:w="576" w:type="dxa"/>
            <w:tcBorders>
              <w:top w:val="single" w:sz="2" w:space="0" w:color="auto"/>
              <w:bottom w:val="single" w:sz="2" w:space="0" w:color="auto"/>
              <w:right w:val="single" w:sz="2" w:space="0" w:color="auto"/>
            </w:tcBorders>
            <w:shd w:val="clear" w:color="auto" w:fill="auto"/>
            <w:noWrap/>
            <w:vAlign w:val="center"/>
          </w:tcPr>
          <w:p w14:paraId="7533C1D8" w14:textId="0F14EE12"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w:t>
            </w:r>
          </w:p>
        </w:tc>
        <w:tc>
          <w:tcPr>
            <w:tcW w:w="850" w:type="dxa"/>
            <w:tcBorders>
              <w:top w:val="single" w:sz="2" w:space="0" w:color="auto"/>
              <w:left w:val="single" w:sz="2" w:space="0" w:color="auto"/>
              <w:bottom w:val="single" w:sz="2" w:space="0" w:color="auto"/>
            </w:tcBorders>
            <w:shd w:val="clear" w:color="auto" w:fill="auto"/>
            <w:noWrap/>
            <w:vAlign w:val="center"/>
          </w:tcPr>
          <w:p w14:paraId="5DA07E4B" w14:textId="0D09164D"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2</w:t>
            </w:r>
          </w:p>
        </w:tc>
        <w:tc>
          <w:tcPr>
            <w:tcW w:w="567" w:type="dxa"/>
            <w:tcBorders>
              <w:top w:val="single" w:sz="2" w:space="0" w:color="auto"/>
              <w:bottom w:val="single" w:sz="2" w:space="0" w:color="auto"/>
              <w:right w:val="single" w:sz="2" w:space="0" w:color="auto"/>
            </w:tcBorders>
            <w:shd w:val="clear" w:color="auto" w:fill="auto"/>
            <w:noWrap/>
            <w:vAlign w:val="center"/>
          </w:tcPr>
          <w:p w14:paraId="7119E2C7" w14:textId="757B1094"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1</w:t>
            </w:r>
          </w:p>
        </w:tc>
        <w:tc>
          <w:tcPr>
            <w:tcW w:w="709" w:type="dxa"/>
            <w:tcBorders>
              <w:top w:val="single" w:sz="2" w:space="0" w:color="auto"/>
              <w:left w:val="single" w:sz="2" w:space="0" w:color="auto"/>
              <w:bottom w:val="single" w:sz="2" w:space="0" w:color="auto"/>
            </w:tcBorders>
            <w:shd w:val="clear" w:color="auto" w:fill="auto"/>
            <w:noWrap/>
            <w:vAlign w:val="center"/>
          </w:tcPr>
          <w:p w14:paraId="091DDCD7" w14:textId="327AE22E"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4</w:t>
            </w:r>
          </w:p>
        </w:tc>
        <w:tc>
          <w:tcPr>
            <w:tcW w:w="568" w:type="dxa"/>
            <w:tcBorders>
              <w:top w:val="single" w:sz="2" w:space="0" w:color="auto"/>
              <w:bottom w:val="single" w:sz="2" w:space="0" w:color="auto"/>
              <w:right w:val="nil"/>
            </w:tcBorders>
            <w:shd w:val="clear" w:color="auto" w:fill="auto"/>
            <w:noWrap/>
            <w:vAlign w:val="center"/>
          </w:tcPr>
          <w:p w14:paraId="59ADD0FC" w14:textId="09BA8D81" w:rsidR="004B6C56" w:rsidRPr="000C3C49" w:rsidRDefault="004B6C56" w:rsidP="004B6C56">
            <w:pPr>
              <w:spacing w:after="0"/>
              <w:ind w:hanging="64"/>
              <w:jc w:val="right"/>
              <w:rPr>
                <w:rFonts w:ascii="Arial Narrow" w:hAnsi="Arial Narrow"/>
                <w:color w:val="000000"/>
                <w:sz w:val="18"/>
                <w:szCs w:val="18"/>
              </w:rPr>
            </w:pPr>
            <w:r>
              <w:rPr>
                <w:rFonts w:ascii="Arial Narrow" w:hAnsi="Arial Narrow"/>
                <w:color w:val="000000"/>
                <w:sz w:val="18"/>
              </w:rPr>
              <w:t>3</w:t>
            </w:r>
          </w:p>
        </w:tc>
      </w:tr>
      <w:tr w:rsidR="004B6C56" w:rsidRPr="00BD116E" w14:paraId="1D6E35EB" w14:textId="77777777" w:rsidTr="0004039F">
        <w:trPr>
          <w:trHeight w:val="227"/>
        </w:trPr>
        <w:tc>
          <w:tcPr>
            <w:tcW w:w="1985" w:type="dxa"/>
            <w:tcBorders>
              <w:top w:val="single" w:sz="2" w:space="0" w:color="auto"/>
              <w:left w:val="nil"/>
              <w:bottom w:val="single" w:sz="4" w:space="0" w:color="auto"/>
              <w:right w:val="single" w:sz="2" w:space="0" w:color="auto"/>
            </w:tcBorders>
            <w:shd w:val="clear" w:color="auto" w:fill="auto"/>
            <w:noWrap/>
            <w:vAlign w:val="center"/>
            <w:hideMark/>
          </w:tcPr>
          <w:p w14:paraId="70726B7B" w14:textId="77777777" w:rsidR="004B6C56" w:rsidRPr="00BD116E" w:rsidRDefault="004B6C56" w:rsidP="004B6C56">
            <w:pPr>
              <w:pStyle w:val="cuatexto"/>
              <w:spacing w:line="240" w:lineRule="auto"/>
              <w:jc w:val="left"/>
              <w:rPr>
                <w:b/>
                <w:bCs/>
                <w:i/>
                <w:sz w:val="18"/>
                <w:szCs w:val="18"/>
              </w:rPr>
            </w:pPr>
            <w:r>
              <w:rPr>
                <w:b/>
                <w:i/>
                <w:sz w:val="18"/>
              </w:rPr>
              <w:t>Mankomunitateak eta batasunak</w:t>
            </w:r>
          </w:p>
        </w:tc>
        <w:tc>
          <w:tcPr>
            <w:tcW w:w="850" w:type="dxa"/>
            <w:tcBorders>
              <w:top w:val="single" w:sz="2" w:space="0" w:color="auto"/>
              <w:left w:val="single" w:sz="2" w:space="0" w:color="auto"/>
              <w:bottom w:val="single" w:sz="4" w:space="0" w:color="auto"/>
            </w:tcBorders>
            <w:shd w:val="clear" w:color="auto" w:fill="auto"/>
            <w:noWrap/>
            <w:vAlign w:val="center"/>
          </w:tcPr>
          <w:p w14:paraId="709247BD" w14:textId="6298258B"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61</w:t>
            </w:r>
          </w:p>
        </w:tc>
        <w:tc>
          <w:tcPr>
            <w:tcW w:w="636" w:type="dxa"/>
            <w:gridSpan w:val="2"/>
            <w:tcBorders>
              <w:top w:val="single" w:sz="2" w:space="0" w:color="auto"/>
              <w:bottom w:val="single" w:sz="4" w:space="0" w:color="auto"/>
              <w:right w:val="single" w:sz="2" w:space="0" w:color="auto"/>
            </w:tcBorders>
            <w:shd w:val="clear" w:color="auto" w:fill="auto"/>
            <w:noWrap/>
            <w:vAlign w:val="center"/>
          </w:tcPr>
          <w:p w14:paraId="36D719D1" w14:textId="1DE7802D"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62</w:t>
            </w:r>
          </w:p>
        </w:tc>
        <w:tc>
          <w:tcPr>
            <w:tcW w:w="780" w:type="dxa"/>
            <w:tcBorders>
              <w:top w:val="single" w:sz="2" w:space="0" w:color="auto"/>
              <w:left w:val="single" w:sz="2" w:space="0" w:color="auto"/>
              <w:bottom w:val="single" w:sz="4" w:space="0" w:color="auto"/>
            </w:tcBorders>
            <w:shd w:val="clear" w:color="auto" w:fill="auto"/>
            <w:noWrap/>
            <w:vAlign w:val="center"/>
          </w:tcPr>
          <w:p w14:paraId="75064003" w14:textId="3001A5DB"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53</w:t>
            </w:r>
          </w:p>
        </w:tc>
        <w:tc>
          <w:tcPr>
            <w:tcW w:w="562" w:type="dxa"/>
            <w:tcBorders>
              <w:top w:val="single" w:sz="2" w:space="0" w:color="auto"/>
              <w:bottom w:val="single" w:sz="4" w:space="0" w:color="auto"/>
              <w:right w:val="single" w:sz="2" w:space="0" w:color="auto"/>
            </w:tcBorders>
            <w:shd w:val="clear" w:color="auto" w:fill="auto"/>
            <w:noWrap/>
            <w:vAlign w:val="center"/>
          </w:tcPr>
          <w:p w14:paraId="0BD2B22C" w14:textId="4431B4A5"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56</w:t>
            </w:r>
          </w:p>
        </w:tc>
        <w:tc>
          <w:tcPr>
            <w:tcW w:w="707" w:type="dxa"/>
            <w:tcBorders>
              <w:top w:val="single" w:sz="2" w:space="0" w:color="auto"/>
              <w:left w:val="single" w:sz="2" w:space="0" w:color="auto"/>
              <w:bottom w:val="single" w:sz="4" w:space="0" w:color="auto"/>
            </w:tcBorders>
            <w:shd w:val="clear" w:color="auto" w:fill="auto"/>
            <w:noWrap/>
            <w:vAlign w:val="center"/>
          </w:tcPr>
          <w:p w14:paraId="2D09F7DC" w14:textId="56D77AFF"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53</w:t>
            </w:r>
          </w:p>
        </w:tc>
        <w:tc>
          <w:tcPr>
            <w:tcW w:w="576" w:type="dxa"/>
            <w:tcBorders>
              <w:top w:val="single" w:sz="2" w:space="0" w:color="auto"/>
              <w:bottom w:val="single" w:sz="4" w:space="0" w:color="auto"/>
              <w:right w:val="single" w:sz="2" w:space="0" w:color="auto"/>
            </w:tcBorders>
            <w:shd w:val="clear" w:color="auto" w:fill="auto"/>
            <w:noWrap/>
            <w:vAlign w:val="center"/>
          </w:tcPr>
          <w:p w14:paraId="72767D66" w14:textId="30FDDF9D"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58</w:t>
            </w:r>
          </w:p>
        </w:tc>
        <w:tc>
          <w:tcPr>
            <w:tcW w:w="850" w:type="dxa"/>
            <w:tcBorders>
              <w:top w:val="single" w:sz="2" w:space="0" w:color="auto"/>
              <w:left w:val="single" w:sz="2" w:space="0" w:color="auto"/>
              <w:bottom w:val="single" w:sz="4" w:space="0" w:color="auto"/>
            </w:tcBorders>
            <w:shd w:val="clear" w:color="auto" w:fill="auto"/>
            <w:noWrap/>
            <w:vAlign w:val="center"/>
          </w:tcPr>
          <w:p w14:paraId="46B5A106" w14:textId="30A94C02"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47</w:t>
            </w:r>
          </w:p>
        </w:tc>
        <w:tc>
          <w:tcPr>
            <w:tcW w:w="567" w:type="dxa"/>
            <w:tcBorders>
              <w:top w:val="single" w:sz="2" w:space="0" w:color="auto"/>
              <w:bottom w:val="single" w:sz="4" w:space="0" w:color="auto"/>
              <w:right w:val="single" w:sz="2" w:space="0" w:color="auto"/>
            </w:tcBorders>
            <w:shd w:val="clear" w:color="auto" w:fill="auto"/>
            <w:noWrap/>
            <w:vAlign w:val="center"/>
          </w:tcPr>
          <w:p w14:paraId="40EF3D78" w14:textId="0D380743"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56</w:t>
            </w:r>
          </w:p>
        </w:tc>
        <w:tc>
          <w:tcPr>
            <w:tcW w:w="709" w:type="dxa"/>
            <w:tcBorders>
              <w:top w:val="single" w:sz="2" w:space="0" w:color="auto"/>
              <w:left w:val="single" w:sz="2" w:space="0" w:color="auto"/>
              <w:bottom w:val="single" w:sz="4" w:space="0" w:color="auto"/>
            </w:tcBorders>
            <w:shd w:val="clear" w:color="auto" w:fill="auto"/>
            <w:noWrap/>
            <w:vAlign w:val="center"/>
          </w:tcPr>
          <w:p w14:paraId="3515F9B7" w14:textId="2F43C12C"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49</w:t>
            </w:r>
          </w:p>
        </w:tc>
        <w:tc>
          <w:tcPr>
            <w:tcW w:w="568" w:type="dxa"/>
            <w:tcBorders>
              <w:top w:val="single" w:sz="2" w:space="0" w:color="auto"/>
              <w:bottom w:val="single" w:sz="4" w:space="0" w:color="auto"/>
              <w:right w:val="nil"/>
            </w:tcBorders>
            <w:shd w:val="clear" w:color="auto" w:fill="auto"/>
            <w:noWrap/>
            <w:vAlign w:val="center"/>
          </w:tcPr>
          <w:p w14:paraId="2719A225" w14:textId="54D3325A" w:rsidR="004B6C56" w:rsidRPr="00BD116E" w:rsidRDefault="004B6C56" w:rsidP="004B6C56">
            <w:pPr>
              <w:spacing w:after="0"/>
              <w:ind w:hanging="64"/>
              <w:jc w:val="right"/>
              <w:rPr>
                <w:rFonts w:ascii="Arial Narrow" w:hAnsi="Arial Narrow"/>
                <w:b/>
                <w:bCs/>
                <w:i/>
                <w:color w:val="000000"/>
                <w:sz w:val="18"/>
                <w:szCs w:val="18"/>
              </w:rPr>
            </w:pPr>
            <w:r>
              <w:rPr>
                <w:rFonts w:ascii="Arial Narrow" w:hAnsi="Arial Narrow"/>
                <w:b/>
                <w:i/>
                <w:color w:val="000000" w:themeColor="text1"/>
                <w:sz w:val="18"/>
              </w:rPr>
              <w:t>58</w:t>
            </w:r>
          </w:p>
        </w:tc>
      </w:tr>
      <w:tr w:rsidR="004B6C56" w:rsidRPr="000C3C49" w14:paraId="55B2E5E2" w14:textId="77777777" w:rsidTr="0004039F">
        <w:trPr>
          <w:trHeight w:val="227"/>
        </w:trPr>
        <w:tc>
          <w:tcPr>
            <w:tcW w:w="1985"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8172EFF" w14:textId="77777777" w:rsidR="004B6C56" w:rsidRPr="000C3C49" w:rsidRDefault="004B6C56" w:rsidP="004B6C56">
            <w:pPr>
              <w:pStyle w:val="cuadroCabe"/>
              <w:spacing w:line="240" w:lineRule="auto"/>
              <w:jc w:val="left"/>
              <w:rPr>
                <w:rFonts w:cs="Arial"/>
                <w:sz w:val="16"/>
                <w:szCs w:val="16"/>
              </w:rPr>
            </w:pPr>
            <w:r>
              <w:rPr>
                <w:sz w:val="16"/>
              </w:rPr>
              <w:t>Guztira</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1C72B013" w14:textId="01E5379E"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269</w:t>
            </w:r>
          </w:p>
        </w:tc>
        <w:tc>
          <w:tcPr>
            <w:tcW w:w="636" w:type="dxa"/>
            <w:gridSpan w:val="2"/>
            <w:tcBorders>
              <w:top w:val="single" w:sz="4" w:space="0" w:color="auto"/>
              <w:bottom w:val="single" w:sz="4" w:space="0" w:color="auto"/>
              <w:right w:val="single" w:sz="2" w:space="0" w:color="auto"/>
            </w:tcBorders>
            <w:shd w:val="clear" w:color="auto" w:fill="FABF8F" w:themeFill="accent6" w:themeFillTint="99"/>
            <w:noWrap/>
            <w:vAlign w:val="center"/>
          </w:tcPr>
          <w:p w14:paraId="76D98EA8" w14:textId="552CEFE0"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302</w:t>
            </w:r>
          </w:p>
        </w:tc>
        <w:tc>
          <w:tcPr>
            <w:tcW w:w="780" w:type="dxa"/>
            <w:tcBorders>
              <w:top w:val="single" w:sz="4" w:space="0" w:color="auto"/>
              <w:left w:val="single" w:sz="2" w:space="0" w:color="auto"/>
              <w:bottom w:val="single" w:sz="4" w:space="0" w:color="auto"/>
            </w:tcBorders>
            <w:shd w:val="clear" w:color="auto" w:fill="FABF8F" w:themeFill="accent6" w:themeFillTint="99"/>
            <w:noWrap/>
            <w:vAlign w:val="center"/>
          </w:tcPr>
          <w:p w14:paraId="1342C75C" w14:textId="4A448565"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222</w:t>
            </w:r>
          </w:p>
        </w:tc>
        <w:tc>
          <w:tcPr>
            <w:tcW w:w="562" w:type="dxa"/>
            <w:tcBorders>
              <w:top w:val="single" w:sz="4" w:space="0" w:color="auto"/>
              <w:bottom w:val="single" w:sz="4" w:space="0" w:color="auto"/>
              <w:right w:val="single" w:sz="2" w:space="0" w:color="auto"/>
            </w:tcBorders>
            <w:shd w:val="clear" w:color="auto" w:fill="FABF8F" w:themeFill="accent6" w:themeFillTint="99"/>
            <w:noWrap/>
            <w:vAlign w:val="center"/>
          </w:tcPr>
          <w:p w14:paraId="03E6BF82" w14:textId="41EBF2D6"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281</w:t>
            </w:r>
          </w:p>
        </w:tc>
        <w:tc>
          <w:tcPr>
            <w:tcW w:w="707" w:type="dxa"/>
            <w:tcBorders>
              <w:top w:val="single" w:sz="4" w:space="0" w:color="auto"/>
              <w:left w:val="single" w:sz="2" w:space="0" w:color="auto"/>
              <w:bottom w:val="single" w:sz="4" w:space="0" w:color="auto"/>
            </w:tcBorders>
            <w:shd w:val="clear" w:color="auto" w:fill="FABF8F" w:themeFill="accent6" w:themeFillTint="99"/>
            <w:noWrap/>
            <w:vAlign w:val="center"/>
          </w:tcPr>
          <w:p w14:paraId="464DA2B6" w14:textId="23966639"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216</w:t>
            </w:r>
          </w:p>
        </w:tc>
        <w:tc>
          <w:tcPr>
            <w:tcW w:w="576" w:type="dxa"/>
            <w:tcBorders>
              <w:top w:val="single" w:sz="4" w:space="0" w:color="auto"/>
              <w:bottom w:val="single" w:sz="4" w:space="0" w:color="auto"/>
              <w:right w:val="single" w:sz="2" w:space="0" w:color="auto"/>
            </w:tcBorders>
            <w:shd w:val="clear" w:color="auto" w:fill="FABF8F" w:themeFill="accent6" w:themeFillTint="99"/>
            <w:noWrap/>
            <w:vAlign w:val="center"/>
          </w:tcPr>
          <w:p w14:paraId="2B67FAB5" w14:textId="167850EC"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283</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4F09BC62" w14:textId="69D5BFDE"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207</w:t>
            </w:r>
          </w:p>
        </w:tc>
        <w:tc>
          <w:tcPr>
            <w:tcW w:w="567" w:type="dxa"/>
            <w:tcBorders>
              <w:top w:val="single" w:sz="4" w:space="0" w:color="auto"/>
              <w:bottom w:val="single" w:sz="4" w:space="0" w:color="auto"/>
              <w:right w:val="single" w:sz="2" w:space="0" w:color="auto"/>
            </w:tcBorders>
            <w:shd w:val="clear" w:color="auto" w:fill="FABF8F" w:themeFill="accent6" w:themeFillTint="99"/>
            <w:noWrap/>
            <w:vAlign w:val="center"/>
          </w:tcPr>
          <w:p w14:paraId="438CD225" w14:textId="397B54CE"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262</w:t>
            </w:r>
          </w:p>
        </w:tc>
        <w:tc>
          <w:tcPr>
            <w:tcW w:w="709" w:type="dxa"/>
            <w:tcBorders>
              <w:top w:val="single" w:sz="4" w:space="0" w:color="auto"/>
              <w:left w:val="single" w:sz="2" w:space="0" w:color="auto"/>
              <w:bottom w:val="single" w:sz="4" w:space="0" w:color="auto"/>
            </w:tcBorders>
            <w:shd w:val="clear" w:color="auto" w:fill="FABF8F" w:themeFill="accent6" w:themeFillTint="99"/>
            <w:noWrap/>
            <w:vAlign w:val="center"/>
          </w:tcPr>
          <w:p w14:paraId="0C66A76B" w14:textId="5556933E"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212</w:t>
            </w:r>
          </w:p>
        </w:tc>
        <w:tc>
          <w:tcPr>
            <w:tcW w:w="568" w:type="dxa"/>
            <w:tcBorders>
              <w:top w:val="single" w:sz="4" w:space="0" w:color="auto"/>
              <w:bottom w:val="single" w:sz="4" w:space="0" w:color="auto"/>
              <w:right w:val="nil"/>
            </w:tcBorders>
            <w:shd w:val="clear" w:color="auto" w:fill="FABF8F" w:themeFill="accent6" w:themeFillTint="99"/>
            <w:noWrap/>
            <w:vAlign w:val="center"/>
          </w:tcPr>
          <w:p w14:paraId="59315C68" w14:textId="453F9224"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278</w:t>
            </w:r>
          </w:p>
        </w:tc>
      </w:tr>
      <w:tr w:rsidR="004B6C56" w:rsidRPr="000C3C49" w14:paraId="325E1C23" w14:textId="77777777" w:rsidTr="004B6C56">
        <w:trPr>
          <w:trHeight w:val="227"/>
        </w:trPr>
        <w:tc>
          <w:tcPr>
            <w:tcW w:w="1985"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14:paraId="4B2A02B7" w14:textId="77777777" w:rsidR="004B6C56" w:rsidRPr="000C3C49" w:rsidRDefault="004B6C56" w:rsidP="004B6C56">
            <w:pPr>
              <w:pStyle w:val="cuadroCabe"/>
              <w:spacing w:line="240" w:lineRule="auto"/>
              <w:jc w:val="left"/>
              <w:rPr>
                <w:rFonts w:cs="Arial"/>
                <w:sz w:val="16"/>
                <w:szCs w:val="16"/>
              </w:rPr>
            </w:pPr>
            <w:r>
              <w:rPr>
                <w:sz w:val="16"/>
              </w:rPr>
              <w:t>Erantzun guztien gainean (%)</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25B70ABD" w14:textId="77777777" w:rsidR="004B6C56" w:rsidRPr="000C3C49" w:rsidRDefault="004B6C56" w:rsidP="004B6C56">
            <w:pPr>
              <w:spacing w:after="0"/>
              <w:ind w:hanging="64"/>
              <w:jc w:val="right"/>
              <w:rPr>
                <w:rFonts w:ascii="Arial" w:hAnsi="Arial" w:cs="Arial"/>
                <w:color w:val="000000"/>
                <w:sz w:val="16"/>
                <w:szCs w:val="16"/>
              </w:rPr>
            </w:pPr>
          </w:p>
        </w:tc>
        <w:tc>
          <w:tcPr>
            <w:tcW w:w="636" w:type="dxa"/>
            <w:gridSpan w:val="2"/>
            <w:tcBorders>
              <w:top w:val="single" w:sz="4" w:space="0" w:color="auto"/>
              <w:bottom w:val="single" w:sz="4" w:space="0" w:color="auto"/>
              <w:right w:val="single" w:sz="2" w:space="0" w:color="auto"/>
            </w:tcBorders>
            <w:shd w:val="clear" w:color="auto" w:fill="FABF8F" w:themeFill="accent6" w:themeFillTint="99"/>
            <w:noWrap/>
            <w:vAlign w:val="center"/>
          </w:tcPr>
          <w:p w14:paraId="7A23A97B" w14:textId="77777777" w:rsidR="004B6C56" w:rsidRPr="000C3C49" w:rsidRDefault="004B6C56" w:rsidP="004B6C56">
            <w:pPr>
              <w:spacing w:after="0"/>
              <w:ind w:hanging="64"/>
              <w:jc w:val="right"/>
              <w:rPr>
                <w:rFonts w:ascii="Arial" w:hAnsi="Arial" w:cs="Arial"/>
                <w:sz w:val="16"/>
                <w:szCs w:val="16"/>
              </w:rPr>
            </w:pPr>
          </w:p>
        </w:tc>
        <w:tc>
          <w:tcPr>
            <w:tcW w:w="780" w:type="dxa"/>
            <w:tcBorders>
              <w:top w:val="single" w:sz="4" w:space="0" w:color="auto"/>
              <w:left w:val="single" w:sz="2" w:space="0" w:color="auto"/>
              <w:bottom w:val="single" w:sz="4" w:space="0" w:color="auto"/>
            </w:tcBorders>
            <w:shd w:val="clear" w:color="auto" w:fill="FABF8F" w:themeFill="accent6" w:themeFillTint="99"/>
            <w:noWrap/>
            <w:vAlign w:val="center"/>
          </w:tcPr>
          <w:p w14:paraId="4529D60F" w14:textId="41BE4E6E"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83</w:t>
            </w:r>
          </w:p>
        </w:tc>
        <w:tc>
          <w:tcPr>
            <w:tcW w:w="562" w:type="dxa"/>
            <w:tcBorders>
              <w:top w:val="single" w:sz="4" w:space="0" w:color="auto"/>
              <w:bottom w:val="single" w:sz="4" w:space="0" w:color="auto"/>
              <w:right w:val="single" w:sz="2" w:space="0" w:color="auto"/>
            </w:tcBorders>
            <w:shd w:val="clear" w:color="auto" w:fill="FABF8F" w:themeFill="accent6" w:themeFillTint="99"/>
            <w:noWrap/>
            <w:vAlign w:val="center"/>
          </w:tcPr>
          <w:p w14:paraId="7105D962" w14:textId="13CFCDDE"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93</w:t>
            </w:r>
          </w:p>
        </w:tc>
        <w:tc>
          <w:tcPr>
            <w:tcW w:w="707" w:type="dxa"/>
            <w:tcBorders>
              <w:top w:val="single" w:sz="4" w:space="0" w:color="auto"/>
              <w:left w:val="single" w:sz="2" w:space="0" w:color="auto"/>
              <w:bottom w:val="single" w:sz="4" w:space="0" w:color="auto"/>
            </w:tcBorders>
            <w:shd w:val="clear" w:color="auto" w:fill="FABF8F" w:themeFill="accent6" w:themeFillTint="99"/>
            <w:noWrap/>
            <w:vAlign w:val="center"/>
          </w:tcPr>
          <w:p w14:paraId="08717FF0" w14:textId="5BDC6D86"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80</w:t>
            </w:r>
          </w:p>
        </w:tc>
        <w:tc>
          <w:tcPr>
            <w:tcW w:w="576" w:type="dxa"/>
            <w:tcBorders>
              <w:top w:val="single" w:sz="4" w:space="0" w:color="auto"/>
              <w:bottom w:val="single" w:sz="4" w:space="0" w:color="auto"/>
              <w:right w:val="single" w:sz="2" w:space="0" w:color="auto"/>
            </w:tcBorders>
            <w:shd w:val="clear" w:color="auto" w:fill="FABF8F" w:themeFill="accent6" w:themeFillTint="99"/>
            <w:noWrap/>
            <w:vAlign w:val="center"/>
          </w:tcPr>
          <w:p w14:paraId="0545CD11" w14:textId="20C51AC5"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94</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61D8C576" w14:textId="482E8B01"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77</w:t>
            </w:r>
          </w:p>
        </w:tc>
        <w:tc>
          <w:tcPr>
            <w:tcW w:w="567" w:type="dxa"/>
            <w:tcBorders>
              <w:top w:val="single" w:sz="4" w:space="0" w:color="auto"/>
              <w:bottom w:val="single" w:sz="4" w:space="0" w:color="auto"/>
              <w:right w:val="single" w:sz="2" w:space="0" w:color="auto"/>
            </w:tcBorders>
            <w:shd w:val="clear" w:color="auto" w:fill="FABF8F" w:themeFill="accent6" w:themeFillTint="99"/>
            <w:noWrap/>
            <w:vAlign w:val="center"/>
          </w:tcPr>
          <w:p w14:paraId="541C3A39" w14:textId="4B7136E8"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87</w:t>
            </w:r>
          </w:p>
        </w:tc>
        <w:tc>
          <w:tcPr>
            <w:tcW w:w="709" w:type="dxa"/>
            <w:tcBorders>
              <w:top w:val="single" w:sz="4" w:space="0" w:color="auto"/>
              <w:left w:val="single" w:sz="2" w:space="0" w:color="auto"/>
              <w:bottom w:val="single" w:sz="4" w:space="0" w:color="auto"/>
            </w:tcBorders>
            <w:shd w:val="clear" w:color="auto" w:fill="FABF8F" w:themeFill="accent6" w:themeFillTint="99"/>
            <w:noWrap/>
            <w:vAlign w:val="center"/>
          </w:tcPr>
          <w:p w14:paraId="59F28E4C" w14:textId="755B9EB1"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79</w:t>
            </w:r>
          </w:p>
        </w:tc>
        <w:tc>
          <w:tcPr>
            <w:tcW w:w="568" w:type="dxa"/>
            <w:tcBorders>
              <w:top w:val="single" w:sz="4" w:space="0" w:color="auto"/>
              <w:bottom w:val="single" w:sz="4" w:space="0" w:color="auto"/>
              <w:right w:val="nil"/>
            </w:tcBorders>
            <w:shd w:val="clear" w:color="auto" w:fill="FABF8F" w:themeFill="accent6" w:themeFillTint="99"/>
            <w:noWrap/>
            <w:vAlign w:val="center"/>
          </w:tcPr>
          <w:p w14:paraId="4949E189" w14:textId="32D65B0D" w:rsidR="004B6C56" w:rsidRPr="000C3C49" w:rsidRDefault="004B6C56" w:rsidP="004B6C56">
            <w:pPr>
              <w:spacing w:after="0"/>
              <w:ind w:hanging="64"/>
              <w:jc w:val="right"/>
              <w:rPr>
                <w:rFonts w:ascii="Arial" w:hAnsi="Arial" w:cs="Arial"/>
                <w:color w:val="000000"/>
                <w:sz w:val="16"/>
                <w:szCs w:val="16"/>
              </w:rPr>
            </w:pPr>
            <w:r>
              <w:rPr>
                <w:rFonts w:ascii="Arial" w:hAnsi="Arial"/>
                <w:color w:val="000000"/>
                <w:sz w:val="16"/>
              </w:rPr>
              <w:t>92</w:t>
            </w:r>
          </w:p>
        </w:tc>
      </w:tr>
    </w:tbl>
    <w:p w14:paraId="0876B982" w14:textId="45C95C58" w:rsidR="000E3227" w:rsidRPr="00033257" w:rsidRDefault="000E3227" w:rsidP="00BD116E">
      <w:pPr>
        <w:pStyle w:val="texto"/>
        <w:spacing w:before="240"/>
      </w:pPr>
      <w:r>
        <w:t>TAFL aldatu zuen abenduaren 29ko 22/2020 Foru Legeak toki-entitate guztietara zabaldu zuen osoko bilkurak, lehendakariak proposatuta eta organo kontu-hartzaileak txostena egin ondoren, aurretiazko fiskalizazioaren irismena mugatzeko aukera. Horrek kudeaketa arinagoa izatea ahalbidetzen du. Neurri horrek barne kontrolak ematen dituen bermeak hondatu ez ditzan, dagozkion betebehar edo gastuak erabat fiskalizatu behar dira ondoren, laginketa edo auditoretza tekniken bidez. TAFLen erreforma hori 2021eko urtarrilaren 1ean jarri zen indarrean. Jasotako informazioaren arabera, osoko bilkurak araubide hori hamar toki-</w:t>
      </w:r>
      <w:r>
        <w:lastRenderedPageBreak/>
        <w:t>entitatetan aplikatzea erabaki du, Iruñeko Udalean ez ezik, lehenago ere aplikatzen baitzuen.</w:t>
      </w:r>
    </w:p>
    <w:p w14:paraId="5FA97995" w14:textId="55FD24DA" w:rsidR="000E3227" w:rsidRPr="00033257" w:rsidRDefault="79B4F94C" w:rsidP="000E3227">
      <w:pPr>
        <w:pStyle w:val="texto"/>
        <w:spacing w:after="240"/>
      </w:pPr>
      <w:r>
        <w:t>Barne kontrol ekonomiko-finantzarioan TAFLek araututako beste bi modalitateei dagokienez, txostena egin duten 220 kontu-hartze organoetatik ehuneko 57k eta 42k soilik adierazi dute, hurrenez hurren, finantza kontrola eta eraginkortasunaren kontrola egiten dutela. Barne kontroleko bi modalitate horiek egiten ez dituztela adierazi duten toki-entitateen artean, Iruñeko eta Tuterako udalak nabarmentzen dira, biztanle kopuruagatik.</w:t>
      </w:r>
    </w:p>
    <w:p w14:paraId="4047F260" w14:textId="5AE202D4" w:rsidR="000E3227" w:rsidRDefault="000E3227" w:rsidP="000E3227">
      <w:pPr>
        <w:pStyle w:val="texto"/>
      </w:pPr>
      <w:r>
        <w:t>Oro har, kontu-hartze funtzioa bete egiten da eta araudiak eskatutako edukia du. Finantza kontroleko eta eraginkortasunaren kontroleko funtzioak, berriz, gutxiago hedaturik daude. Egoera horren arrazoietako bat izan daiteke Nafarroan funtzio horiek gutxi araututa egotea, arlo hori ez baita erregelamenduz garatu Estatuan bezala, non apirilaren 28ko 424/2017 Errege Dekretua aplikatzen baita, toki sektore publikoko entitateen barne kontrolaren araubide juridikoa arautzen duena.</w:t>
      </w:r>
    </w:p>
    <w:p w14:paraId="2B936632" w14:textId="77777777" w:rsidR="005A7CB4" w:rsidRPr="00033257" w:rsidRDefault="005A7CB4" w:rsidP="000E3227">
      <w:pPr>
        <w:pStyle w:val="texto"/>
        <w:rPr>
          <w:lang w:val="es-ES"/>
        </w:rPr>
      </w:pPr>
    </w:p>
    <w:p w14:paraId="72E6F908" w14:textId="724E2210" w:rsidR="000E3227" w:rsidRPr="00033257" w:rsidRDefault="000E3227" w:rsidP="00EC4C05">
      <w:pPr>
        <w:pStyle w:val="Ttulo2"/>
        <w:spacing w:after="120"/>
        <w:ind w:firstLine="0"/>
        <w:rPr>
          <w:b w:val="0"/>
          <w:i w:val="0"/>
          <w:sz w:val="25"/>
          <w:szCs w:val="25"/>
        </w:rPr>
      </w:pPr>
      <w:bookmarkStart w:id="96" w:name="_Toc123547417"/>
      <w:bookmarkStart w:id="97" w:name="_Toc151635610"/>
      <w:r>
        <w:rPr>
          <w:b w:val="0"/>
          <w:i w:val="0"/>
          <w:sz w:val="25"/>
        </w:rPr>
        <w:t>IX.3 Eragozpen oharrak</w:t>
      </w:r>
      <w:bookmarkEnd w:id="96"/>
      <w:bookmarkEnd w:id="97"/>
    </w:p>
    <w:p w14:paraId="0558EE2D" w14:textId="7DB2207E" w:rsidR="000E3227" w:rsidRDefault="79B4F94C" w:rsidP="009059A2">
      <w:pPr>
        <w:spacing w:after="240"/>
        <w:rPr>
          <w:spacing w:val="6"/>
          <w:sz w:val="26"/>
          <w:szCs w:val="26"/>
        </w:rPr>
      </w:pPr>
      <w:r>
        <w:rPr>
          <w:sz w:val="26"/>
        </w:rPr>
        <w:t>Informazioa eman duten 302 toki-entitatetatik, eragozpen oharrak eman zaizkie 31 udali. Kontu-hartzailetzako organoek 127 eragozpen ohar eman dituzte, 2,22 milioi euroko gastuari eragiten diotenak, taula honetan ikus daitekeenez:</w:t>
      </w:r>
    </w:p>
    <w:tbl>
      <w:tblPr>
        <w:tblW w:w="8789" w:type="dxa"/>
        <w:tblCellMar>
          <w:left w:w="70" w:type="dxa"/>
          <w:right w:w="70" w:type="dxa"/>
        </w:tblCellMar>
        <w:tblLook w:val="04A0" w:firstRow="1" w:lastRow="0" w:firstColumn="1" w:lastColumn="0" w:noHBand="0" w:noVBand="1"/>
      </w:tblPr>
      <w:tblGrid>
        <w:gridCol w:w="2198"/>
        <w:gridCol w:w="850"/>
        <w:gridCol w:w="709"/>
        <w:gridCol w:w="850"/>
        <w:gridCol w:w="709"/>
        <w:gridCol w:w="992"/>
        <w:gridCol w:w="993"/>
        <w:gridCol w:w="637"/>
        <w:gridCol w:w="851"/>
      </w:tblGrid>
      <w:tr w:rsidR="004B6C56" w:rsidRPr="000C3C49" w14:paraId="7B543E0E" w14:textId="77777777" w:rsidTr="00587A64">
        <w:trPr>
          <w:trHeight w:val="284"/>
        </w:trPr>
        <w:tc>
          <w:tcPr>
            <w:tcW w:w="2198" w:type="dxa"/>
            <w:vMerge w:val="restar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778B4F2A" w14:textId="77777777" w:rsidR="004B6C56" w:rsidRPr="000C3C49" w:rsidRDefault="004B6C56" w:rsidP="004B6C56">
            <w:pPr>
              <w:pStyle w:val="cuadroCabe"/>
              <w:spacing w:line="240" w:lineRule="auto"/>
              <w:jc w:val="center"/>
              <w:rPr>
                <w:rFonts w:cs="Arial"/>
                <w:sz w:val="16"/>
                <w:szCs w:val="16"/>
              </w:rPr>
            </w:pPr>
            <w:r>
              <w:rPr>
                <w:sz w:val="16"/>
              </w:rPr>
              <w:t>Toki-entitate mota</w:t>
            </w:r>
          </w:p>
        </w:tc>
        <w:tc>
          <w:tcPr>
            <w:tcW w:w="1559"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3668F326" w14:textId="77777777" w:rsidR="004B6C56" w:rsidRPr="000C3C49" w:rsidRDefault="004B6C56" w:rsidP="004B6C56">
            <w:pPr>
              <w:pStyle w:val="cuadroCabe"/>
              <w:spacing w:line="240" w:lineRule="auto"/>
              <w:jc w:val="center"/>
              <w:rPr>
                <w:rFonts w:cs="Arial"/>
                <w:sz w:val="16"/>
                <w:szCs w:val="16"/>
              </w:rPr>
            </w:pPr>
            <w:r>
              <w:rPr>
                <w:sz w:val="16"/>
              </w:rPr>
              <w:t>Entitate kop.</w:t>
            </w:r>
          </w:p>
        </w:tc>
        <w:tc>
          <w:tcPr>
            <w:tcW w:w="1559"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344BA10" w14:textId="77777777" w:rsidR="004B6C56" w:rsidRPr="000C3C49" w:rsidRDefault="004B6C56" w:rsidP="004B6C56">
            <w:pPr>
              <w:pStyle w:val="cuadroCabe"/>
              <w:spacing w:line="240" w:lineRule="auto"/>
              <w:jc w:val="center"/>
              <w:rPr>
                <w:rFonts w:cs="Arial"/>
                <w:sz w:val="16"/>
                <w:szCs w:val="16"/>
              </w:rPr>
            </w:pPr>
            <w:r>
              <w:rPr>
                <w:sz w:val="16"/>
              </w:rPr>
              <w:t>Eragozpen oharren kop.</w:t>
            </w:r>
          </w:p>
        </w:tc>
        <w:tc>
          <w:tcPr>
            <w:tcW w:w="1985"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EA30009" w14:textId="77777777" w:rsidR="004B6C56" w:rsidRPr="000C3C49" w:rsidRDefault="004B6C56" w:rsidP="004B6C56">
            <w:pPr>
              <w:pStyle w:val="cuadroCabe"/>
              <w:spacing w:line="240" w:lineRule="auto"/>
              <w:jc w:val="center"/>
              <w:rPr>
                <w:rFonts w:cs="Arial"/>
                <w:sz w:val="16"/>
                <w:szCs w:val="16"/>
              </w:rPr>
            </w:pPr>
            <w:r>
              <w:rPr>
                <w:sz w:val="16"/>
              </w:rPr>
              <w:t>Zenbatekoa (euroak)</w:t>
            </w:r>
          </w:p>
        </w:tc>
        <w:tc>
          <w:tcPr>
            <w:tcW w:w="1488" w:type="dxa"/>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3E451570" w14:textId="77777777" w:rsidR="004B6C56" w:rsidRPr="000C3C49" w:rsidRDefault="004B6C56" w:rsidP="004B6C56">
            <w:pPr>
              <w:pStyle w:val="cuadroCabe"/>
              <w:spacing w:line="240" w:lineRule="auto"/>
              <w:jc w:val="center"/>
              <w:rPr>
                <w:rFonts w:cs="Arial"/>
                <w:sz w:val="16"/>
                <w:szCs w:val="16"/>
              </w:rPr>
            </w:pPr>
            <w:r>
              <w:rPr>
                <w:sz w:val="16"/>
              </w:rPr>
              <w:t>Zenbatekorik ez</w:t>
            </w:r>
          </w:p>
        </w:tc>
      </w:tr>
      <w:tr w:rsidR="00A655FB" w:rsidRPr="000C3C49" w14:paraId="7578F6D5" w14:textId="77777777" w:rsidTr="00587A64">
        <w:trPr>
          <w:trHeight w:val="284"/>
        </w:trPr>
        <w:tc>
          <w:tcPr>
            <w:tcW w:w="2198" w:type="dxa"/>
            <w:vMerge/>
            <w:tcBorders>
              <w:top w:val="single" w:sz="4" w:space="0" w:color="auto"/>
              <w:bottom w:val="single" w:sz="4" w:space="0" w:color="auto"/>
              <w:right w:val="single" w:sz="2" w:space="0" w:color="auto"/>
            </w:tcBorders>
            <w:vAlign w:val="center"/>
            <w:hideMark/>
          </w:tcPr>
          <w:p w14:paraId="69DD8D27" w14:textId="77777777" w:rsidR="00A655FB" w:rsidRPr="000C3C49" w:rsidRDefault="00A655FB" w:rsidP="00A655FB">
            <w:pPr>
              <w:pStyle w:val="cuadroCabe"/>
              <w:spacing w:line="240" w:lineRule="auto"/>
              <w:jc w:val="center"/>
              <w:rPr>
                <w:rFonts w:cs="Arial"/>
                <w:sz w:val="16"/>
                <w:szCs w:val="16"/>
                <w:lang w:val="es-ES" w:eastAsia="es-ES"/>
              </w:rPr>
            </w:pP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737D0AEC" w14:textId="7F0BE0AF"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2020</w:t>
            </w:r>
          </w:p>
        </w:tc>
        <w:tc>
          <w:tcPr>
            <w:tcW w:w="709" w:type="dxa"/>
            <w:tcBorders>
              <w:top w:val="single" w:sz="4" w:space="0" w:color="auto"/>
              <w:bottom w:val="single" w:sz="4" w:space="0" w:color="auto"/>
              <w:right w:val="single" w:sz="2" w:space="0" w:color="auto"/>
            </w:tcBorders>
            <w:shd w:val="clear" w:color="auto" w:fill="FABF8F" w:themeFill="accent6" w:themeFillTint="99"/>
            <w:noWrap/>
            <w:vAlign w:val="center"/>
          </w:tcPr>
          <w:p w14:paraId="1F19064F" w14:textId="0F2BF4E0"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2021</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1E13C0DE" w14:textId="1D966EB1"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2020</w:t>
            </w:r>
          </w:p>
        </w:tc>
        <w:tc>
          <w:tcPr>
            <w:tcW w:w="709" w:type="dxa"/>
            <w:tcBorders>
              <w:top w:val="single" w:sz="4" w:space="0" w:color="auto"/>
              <w:bottom w:val="single" w:sz="4" w:space="0" w:color="auto"/>
              <w:right w:val="single" w:sz="2" w:space="0" w:color="auto"/>
            </w:tcBorders>
            <w:shd w:val="clear" w:color="auto" w:fill="FABF8F" w:themeFill="accent6" w:themeFillTint="99"/>
            <w:noWrap/>
            <w:vAlign w:val="center"/>
          </w:tcPr>
          <w:p w14:paraId="76DAD904" w14:textId="64619614"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2021</w:t>
            </w:r>
          </w:p>
        </w:tc>
        <w:tc>
          <w:tcPr>
            <w:tcW w:w="992" w:type="dxa"/>
            <w:tcBorders>
              <w:top w:val="single" w:sz="4" w:space="0" w:color="auto"/>
              <w:left w:val="single" w:sz="2" w:space="0" w:color="auto"/>
              <w:bottom w:val="single" w:sz="4" w:space="0" w:color="auto"/>
            </w:tcBorders>
            <w:shd w:val="clear" w:color="auto" w:fill="FABF8F" w:themeFill="accent6" w:themeFillTint="99"/>
            <w:noWrap/>
            <w:vAlign w:val="center"/>
          </w:tcPr>
          <w:p w14:paraId="44C45C86" w14:textId="09E4BE46"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2020</w:t>
            </w:r>
          </w:p>
        </w:tc>
        <w:tc>
          <w:tcPr>
            <w:tcW w:w="993" w:type="dxa"/>
            <w:tcBorders>
              <w:top w:val="single" w:sz="4" w:space="0" w:color="auto"/>
              <w:bottom w:val="single" w:sz="4" w:space="0" w:color="auto"/>
              <w:right w:val="single" w:sz="2" w:space="0" w:color="auto"/>
            </w:tcBorders>
            <w:shd w:val="clear" w:color="auto" w:fill="FABF8F" w:themeFill="accent6" w:themeFillTint="99"/>
            <w:noWrap/>
            <w:vAlign w:val="center"/>
          </w:tcPr>
          <w:p w14:paraId="3C1E5413" w14:textId="2FED8945"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2021</w:t>
            </w:r>
          </w:p>
        </w:tc>
        <w:tc>
          <w:tcPr>
            <w:tcW w:w="637" w:type="dxa"/>
            <w:tcBorders>
              <w:top w:val="single" w:sz="4" w:space="0" w:color="auto"/>
              <w:left w:val="single" w:sz="2" w:space="0" w:color="auto"/>
              <w:bottom w:val="single" w:sz="4" w:space="0" w:color="auto"/>
            </w:tcBorders>
            <w:shd w:val="clear" w:color="auto" w:fill="FABF8F" w:themeFill="accent6" w:themeFillTint="99"/>
            <w:noWrap/>
            <w:vAlign w:val="center"/>
          </w:tcPr>
          <w:p w14:paraId="728C3D1C" w14:textId="5089DC31"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2020</w:t>
            </w:r>
          </w:p>
        </w:tc>
        <w:tc>
          <w:tcPr>
            <w:tcW w:w="851" w:type="dxa"/>
            <w:tcBorders>
              <w:top w:val="single" w:sz="4" w:space="0" w:color="auto"/>
              <w:bottom w:val="single" w:sz="4" w:space="0" w:color="auto"/>
              <w:right w:val="nil"/>
            </w:tcBorders>
            <w:shd w:val="clear" w:color="auto" w:fill="FABF8F" w:themeFill="accent6" w:themeFillTint="99"/>
            <w:noWrap/>
            <w:vAlign w:val="center"/>
          </w:tcPr>
          <w:p w14:paraId="09113DB5" w14:textId="4A237AD3"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2021</w:t>
            </w:r>
          </w:p>
        </w:tc>
      </w:tr>
      <w:tr w:rsidR="00A655FB" w:rsidRPr="000C3C49" w14:paraId="598C56F8" w14:textId="77777777" w:rsidTr="00587A64">
        <w:trPr>
          <w:trHeight w:val="284"/>
        </w:trPr>
        <w:tc>
          <w:tcPr>
            <w:tcW w:w="2198" w:type="dxa"/>
            <w:tcBorders>
              <w:top w:val="single" w:sz="4" w:space="0" w:color="auto"/>
              <w:left w:val="nil"/>
              <w:bottom w:val="single" w:sz="2" w:space="0" w:color="auto"/>
              <w:right w:val="single" w:sz="2" w:space="0" w:color="auto"/>
            </w:tcBorders>
            <w:shd w:val="clear" w:color="auto" w:fill="auto"/>
            <w:noWrap/>
            <w:vAlign w:val="center"/>
            <w:hideMark/>
          </w:tcPr>
          <w:p w14:paraId="3CA23E6B" w14:textId="77777777" w:rsidR="00A655FB" w:rsidRPr="000C3C49" w:rsidRDefault="00A655FB" w:rsidP="00A655FB">
            <w:pPr>
              <w:pStyle w:val="cuatexto"/>
              <w:spacing w:line="240" w:lineRule="auto"/>
              <w:rPr>
                <w:b/>
                <w:i/>
                <w:sz w:val="18"/>
                <w:szCs w:val="18"/>
              </w:rPr>
            </w:pPr>
            <w:r>
              <w:rPr>
                <w:b/>
                <w:i/>
                <w:sz w:val="18"/>
              </w:rPr>
              <w:t>Udalak</w:t>
            </w:r>
          </w:p>
        </w:tc>
        <w:tc>
          <w:tcPr>
            <w:tcW w:w="850" w:type="dxa"/>
            <w:tcBorders>
              <w:top w:val="single" w:sz="4" w:space="0" w:color="auto"/>
              <w:left w:val="single" w:sz="2" w:space="0" w:color="auto"/>
              <w:bottom w:val="single" w:sz="2" w:space="0" w:color="auto"/>
            </w:tcBorders>
            <w:shd w:val="clear" w:color="auto" w:fill="auto"/>
            <w:noWrap/>
            <w:vAlign w:val="center"/>
          </w:tcPr>
          <w:p w14:paraId="37415E39" w14:textId="05B79D87"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25 </w:t>
            </w:r>
          </w:p>
        </w:tc>
        <w:tc>
          <w:tcPr>
            <w:tcW w:w="709" w:type="dxa"/>
            <w:tcBorders>
              <w:top w:val="single" w:sz="4" w:space="0" w:color="auto"/>
              <w:bottom w:val="single" w:sz="2" w:space="0" w:color="auto"/>
              <w:right w:val="single" w:sz="2" w:space="0" w:color="auto"/>
            </w:tcBorders>
            <w:shd w:val="clear" w:color="auto" w:fill="auto"/>
            <w:noWrap/>
            <w:vAlign w:val="center"/>
          </w:tcPr>
          <w:p w14:paraId="61C871E5" w14:textId="245DFAE9"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31 </w:t>
            </w:r>
          </w:p>
        </w:tc>
        <w:tc>
          <w:tcPr>
            <w:tcW w:w="850" w:type="dxa"/>
            <w:tcBorders>
              <w:top w:val="single" w:sz="4" w:space="0" w:color="auto"/>
              <w:left w:val="single" w:sz="2" w:space="0" w:color="auto"/>
              <w:bottom w:val="single" w:sz="2" w:space="0" w:color="auto"/>
            </w:tcBorders>
            <w:shd w:val="clear" w:color="auto" w:fill="auto"/>
            <w:noWrap/>
            <w:vAlign w:val="center"/>
          </w:tcPr>
          <w:p w14:paraId="61C63914" w14:textId="2F2132B1"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184 </w:t>
            </w:r>
          </w:p>
        </w:tc>
        <w:tc>
          <w:tcPr>
            <w:tcW w:w="709" w:type="dxa"/>
            <w:tcBorders>
              <w:top w:val="single" w:sz="4" w:space="0" w:color="auto"/>
              <w:bottom w:val="single" w:sz="2" w:space="0" w:color="auto"/>
              <w:right w:val="single" w:sz="2" w:space="0" w:color="auto"/>
            </w:tcBorders>
            <w:shd w:val="clear" w:color="auto" w:fill="auto"/>
            <w:noWrap/>
            <w:vAlign w:val="center"/>
          </w:tcPr>
          <w:p w14:paraId="0C889AC5" w14:textId="0EC76F29"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127 </w:t>
            </w:r>
          </w:p>
        </w:tc>
        <w:tc>
          <w:tcPr>
            <w:tcW w:w="992" w:type="dxa"/>
            <w:tcBorders>
              <w:top w:val="single" w:sz="4" w:space="0" w:color="auto"/>
              <w:left w:val="single" w:sz="2" w:space="0" w:color="auto"/>
              <w:bottom w:val="single" w:sz="2" w:space="0" w:color="auto"/>
            </w:tcBorders>
            <w:shd w:val="clear" w:color="auto" w:fill="auto"/>
            <w:noWrap/>
            <w:vAlign w:val="center"/>
          </w:tcPr>
          <w:p w14:paraId="6FA63D9F" w14:textId="27644A8A"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4.780.885 </w:t>
            </w:r>
          </w:p>
        </w:tc>
        <w:tc>
          <w:tcPr>
            <w:tcW w:w="993" w:type="dxa"/>
            <w:tcBorders>
              <w:top w:val="single" w:sz="4" w:space="0" w:color="auto"/>
              <w:bottom w:val="single" w:sz="2" w:space="0" w:color="auto"/>
              <w:right w:val="single" w:sz="2" w:space="0" w:color="auto"/>
            </w:tcBorders>
            <w:shd w:val="clear" w:color="auto" w:fill="auto"/>
            <w:noWrap/>
            <w:vAlign w:val="center"/>
          </w:tcPr>
          <w:p w14:paraId="5796F698" w14:textId="46B7FBD3"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2.215.170 </w:t>
            </w:r>
          </w:p>
        </w:tc>
        <w:tc>
          <w:tcPr>
            <w:tcW w:w="637" w:type="dxa"/>
            <w:tcBorders>
              <w:top w:val="single" w:sz="4" w:space="0" w:color="auto"/>
              <w:left w:val="single" w:sz="2" w:space="0" w:color="auto"/>
              <w:bottom w:val="single" w:sz="2" w:space="0" w:color="auto"/>
            </w:tcBorders>
            <w:shd w:val="clear" w:color="auto" w:fill="auto"/>
            <w:noWrap/>
            <w:vAlign w:val="center"/>
          </w:tcPr>
          <w:p w14:paraId="557F0C8B" w14:textId="53D11985"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14 </w:t>
            </w:r>
          </w:p>
        </w:tc>
        <w:tc>
          <w:tcPr>
            <w:tcW w:w="851" w:type="dxa"/>
            <w:tcBorders>
              <w:top w:val="single" w:sz="4" w:space="0" w:color="auto"/>
              <w:bottom w:val="single" w:sz="2" w:space="0" w:color="auto"/>
              <w:right w:val="nil"/>
            </w:tcBorders>
            <w:shd w:val="clear" w:color="auto" w:fill="auto"/>
            <w:noWrap/>
            <w:vAlign w:val="center"/>
          </w:tcPr>
          <w:p w14:paraId="06111CD9" w14:textId="4E2BD4C2"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23 </w:t>
            </w:r>
          </w:p>
        </w:tc>
      </w:tr>
      <w:tr w:rsidR="00A655FB" w:rsidRPr="000C3C49" w14:paraId="52AD30EE"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77F15363" w14:textId="77777777" w:rsidR="00A655FB" w:rsidRPr="000C3C49" w:rsidRDefault="00A655FB" w:rsidP="00A655FB">
            <w:pPr>
              <w:pStyle w:val="cuatexto"/>
              <w:spacing w:line="240" w:lineRule="auto"/>
              <w:rPr>
                <w:sz w:val="18"/>
                <w:szCs w:val="18"/>
              </w:rPr>
            </w:pPr>
            <w:r>
              <w:rPr>
                <w:sz w:val="18"/>
              </w:rPr>
              <w:t>1.000 biztanle bitarte</w:t>
            </w:r>
          </w:p>
        </w:tc>
        <w:tc>
          <w:tcPr>
            <w:tcW w:w="850" w:type="dxa"/>
            <w:tcBorders>
              <w:top w:val="single" w:sz="2" w:space="0" w:color="auto"/>
              <w:left w:val="single" w:sz="2" w:space="0" w:color="auto"/>
              <w:bottom w:val="single" w:sz="2" w:space="0" w:color="auto"/>
            </w:tcBorders>
            <w:shd w:val="clear" w:color="auto" w:fill="auto"/>
            <w:noWrap/>
            <w:vAlign w:val="center"/>
          </w:tcPr>
          <w:p w14:paraId="0019015E" w14:textId="7022F292"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7 </w:t>
            </w:r>
          </w:p>
        </w:tc>
        <w:tc>
          <w:tcPr>
            <w:tcW w:w="709" w:type="dxa"/>
            <w:tcBorders>
              <w:top w:val="single" w:sz="2" w:space="0" w:color="auto"/>
              <w:bottom w:val="single" w:sz="2" w:space="0" w:color="auto"/>
              <w:right w:val="single" w:sz="2" w:space="0" w:color="auto"/>
            </w:tcBorders>
            <w:shd w:val="clear" w:color="auto" w:fill="auto"/>
            <w:noWrap/>
            <w:vAlign w:val="center"/>
          </w:tcPr>
          <w:p w14:paraId="5A562520" w14:textId="446F85B3"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11 </w:t>
            </w:r>
          </w:p>
        </w:tc>
        <w:tc>
          <w:tcPr>
            <w:tcW w:w="850" w:type="dxa"/>
            <w:tcBorders>
              <w:top w:val="single" w:sz="2" w:space="0" w:color="auto"/>
              <w:left w:val="single" w:sz="2" w:space="0" w:color="auto"/>
              <w:bottom w:val="single" w:sz="2" w:space="0" w:color="auto"/>
            </w:tcBorders>
            <w:shd w:val="clear" w:color="auto" w:fill="auto"/>
            <w:noWrap/>
            <w:vAlign w:val="center"/>
          </w:tcPr>
          <w:p w14:paraId="35DB1C63" w14:textId="27A275F3"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13 </w:t>
            </w:r>
          </w:p>
        </w:tc>
        <w:tc>
          <w:tcPr>
            <w:tcW w:w="709" w:type="dxa"/>
            <w:tcBorders>
              <w:top w:val="single" w:sz="2" w:space="0" w:color="auto"/>
              <w:bottom w:val="single" w:sz="2" w:space="0" w:color="auto"/>
              <w:right w:val="single" w:sz="2" w:space="0" w:color="auto"/>
            </w:tcBorders>
            <w:shd w:val="clear" w:color="auto" w:fill="auto"/>
            <w:noWrap/>
            <w:vAlign w:val="center"/>
          </w:tcPr>
          <w:p w14:paraId="31DCC853" w14:textId="14002EF8"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22 </w:t>
            </w:r>
          </w:p>
        </w:tc>
        <w:tc>
          <w:tcPr>
            <w:tcW w:w="992" w:type="dxa"/>
            <w:tcBorders>
              <w:top w:val="single" w:sz="2" w:space="0" w:color="auto"/>
              <w:left w:val="single" w:sz="2" w:space="0" w:color="auto"/>
              <w:bottom w:val="single" w:sz="2" w:space="0" w:color="auto"/>
            </w:tcBorders>
            <w:shd w:val="clear" w:color="auto" w:fill="auto"/>
            <w:noWrap/>
            <w:vAlign w:val="center"/>
          </w:tcPr>
          <w:p w14:paraId="7DFDE121" w14:textId="4D8C5212"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209.611 </w:t>
            </w:r>
          </w:p>
        </w:tc>
        <w:tc>
          <w:tcPr>
            <w:tcW w:w="993" w:type="dxa"/>
            <w:tcBorders>
              <w:top w:val="single" w:sz="2" w:space="0" w:color="auto"/>
              <w:bottom w:val="single" w:sz="2" w:space="0" w:color="auto"/>
              <w:right w:val="single" w:sz="2" w:space="0" w:color="auto"/>
            </w:tcBorders>
            <w:shd w:val="clear" w:color="auto" w:fill="auto"/>
            <w:noWrap/>
            <w:vAlign w:val="center"/>
          </w:tcPr>
          <w:p w14:paraId="0FB2AC0C" w14:textId="1B44ACBD"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93.434 </w:t>
            </w:r>
          </w:p>
        </w:tc>
        <w:tc>
          <w:tcPr>
            <w:tcW w:w="637" w:type="dxa"/>
            <w:tcBorders>
              <w:top w:val="single" w:sz="2" w:space="0" w:color="auto"/>
              <w:left w:val="single" w:sz="2" w:space="0" w:color="auto"/>
              <w:bottom w:val="single" w:sz="2" w:space="0" w:color="auto"/>
            </w:tcBorders>
            <w:shd w:val="clear" w:color="auto" w:fill="auto"/>
            <w:noWrap/>
            <w:vAlign w:val="center"/>
          </w:tcPr>
          <w:p w14:paraId="547F01FA" w14:textId="17CCD55E"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 </w:t>
            </w:r>
          </w:p>
        </w:tc>
        <w:tc>
          <w:tcPr>
            <w:tcW w:w="851" w:type="dxa"/>
            <w:tcBorders>
              <w:top w:val="single" w:sz="2" w:space="0" w:color="auto"/>
              <w:bottom w:val="single" w:sz="2" w:space="0" w:color="auto"/>
              <w:right w:val="nil"/>
            </w:tcBorders>
            <w:shd w:val="clear" w:color="auto" w:fill="auto"/>
            <w:noWrap/>
            <w:vAlign w:val="center"/>
          </w:tcPr>
          <w:p w14:paraId="277BC7D0" w14:textId="028DE3BB"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themeColor="text1"/>
                <w:sz w:val="18"/>
              </w:rPr>
              <w:t xml:space="preserve">0 </w:t>
            </w:r>
          </w:p>
        </w:tc>
      </w:tr>
      <w:tr w:rsidR="00A655FB" w:rsidRPr="000C3C49" w14:paraId="56F50381"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593B0768" w14:textId="77777777" w:rsidR="00A655FB" w:rsidRPr="000C3C49" w:rsidRDefault="00A655FB" w:rsidP="00A655FB">
            <w:pPr>
              <w:pStyle w:val="cuatexto"/>
              <w:spacing w:line="240" w:lineRule="auto"/>
              <w:rPr>
                <w:sz w:val="18"/>
                <w:szCs w:val="18"/>
              </w:rPr>
            </w:pPr>
            <w:r>
              <w:rPr>
                <w:sz w:val="18"/>
              </w:rPr>
              <w:t>1.001-5.000 biztanle</w:t>
            </w:r>
          </w:p>
        </w:tc>
        <w:tc>
          <w:tcPr>
            <w:tcW w:w="850" w:type="dxa"/>
            <w:tcBorders>
              <w:top w:val="single" w:sz="2" w:space="0" w:color="auto"/>
              <w:left w:val="single" w:sz="2" w:space="0" w:color="auto"/>
              <w:bottom w:val="single" w:sz="2" w:space="0" w:color="auto"/>
            </w:tcBorders>
            <w:shd w:val="clear" w:color="auto" w:fill="auto"/>
            <w:noWrap/>
            <w:vAlign w:val="center"/>
          </w:tcPr>
          <w:p w14:paraId="4897FEAB" w14:textId="07C0C387"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10 </w:t>
            </w:r>
          </w:p>
        </w:tc>
        <w:tc>
          <w:tcPr>
            <w:tcW w:w="709" w:type="dxa"/>
            <w:tcBorders>
              <w:top w:val="single" w:sz="2" w:space="0" w:color="auto"/>
              <w:bottom w:val="single" w:sz="2" w:space="0" w:color="auto"/>
              <w:right w:val="single" w:sz="2" w:space="0" w:color="auto"/>
            </w:tcBorders>
            <w:shd w:val="clear" w:color="auto" w:fill="auto"/>
            <w:noWrap/>
            <w:vAlign w:val="center"/>
          </w:tcPr>
          <w:p w14:paraId="0A11B074" w14:textId="056901B1"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13 </w:t>
            </w:r>
          </w:p>
        </w:tc>
        <w:tc>
          <w:tcPr>
            <w:tcW w:w="850" w:type="dxa"/>
            <w:tcBorders>
              <w:top w:val="single" w:sz="2" w:space="0" w:color="auto"/>
              <w:left w:val="single" w:sz="2" w:space="0" w:color="auto"/>
              <w:bottom w:val="single" w:sz="2" w:space="0" w:color="auto"/>
            </w:tcBorders>
            <w:shd w:val="clear" w:color="auto" w:fill="auto"/>
            <w:noWrap/>
            <w:vAlign w:val="center"/>
          </w:tcPr>
          <w:p w14:paraId="63AB0CCF" w14:textId="1E93AB9B"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112 </w:t>
            </w:r>
          </w:p>
        </w:tc>
        <w:tc>
          <w:tcPr>
            <w:tcW w:w="709" w:type="dxa"/>
            <w:tcBorders>
              <w:top w:val="single" w:sz="2" w:space="0" w:color="auto"/>
              <w:bottom w:val="single" w:sz="2" w:space="0" w:color="auto"/>
              <w:right w:val="single" w:sz="2" w:space="0" w:color="auto"/>
            </w:tcBorders>
            <w:shd w:val="clear" w:color="auto" w:fill="auto"/>
            <w:noWrap/>
            <w:vAlign w:val="center"/>
          </w:tcPr>
          <w:p w14:paraId="341743A8" w14:textId="6616A6F9"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56 </w:t>
            </w:r>
          </w:p>
        </w:tc>
        <w:tc>
          <w:tcPr>
            <w:tcW w:w="992" w:type="dxa"/>
            <w:tcBorders>
              <w:top w:val="single" w:sz="2" w:space="0" w:color="auto"/>
              <w:left w:val="single" w:sz="2" w:space="0" w:color="auto"/>
              <w:bottom w:val="single" w:sz="2" w:space="0" w:color="auto"/>
            </w:tcBorders>
            <w:shd w:val="clear" w:color="auto" w:fill="auto"/>
            <w:noWrap/>
            <w:vAlign w:val="center"/>
          </w:tcPr>
          <w:p w14:paraId="7B8B516E" w14:textId="1B355063"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1.956.214 </w:t>
            </w:r>
          </w:p>
        </w:tc>
        <w:tc>
          <w:tcPr>
            <w:tcW w:w="993" w:type="dxa"/>
            <w:tcBorders>
              <w:top w:val="single" w:sz="2" w:space="0" w:color="auto"/>
              <w:bottom w:val="single" w:sz="2" w:space="0" w:color="auto"/>
              <w:right w:val="single" w:sz="2" w:space="0" w:color="auto"/>
            </w:tcBorders>
            <w:shd w:val="clear" w:color="auto" w:fill="auto"/>
            <w:noWrap/>
            <w:vAlign w:val="center"/>
          </w:tcPr>
          <w:p w14:paraId="2ABFDB27" w14:textId="34A39565"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1.134.295 </w:t>
            </w:r>
          </w:p>
        </w:tc>
        <w:tc>
          <w:tcPr>
            <w:tcW w:w="637" w:type="dxa"/>
            <w:tcBorders>
              <w:top w:val="single" w:sz="2" w:space="0" w:color="auto"/>
              <w:left w:val="single" w:sz="2" w:space="0" w:color="auto"/>
              <w:bottom w:val="single" w:sz="2" w:space="0" w:color="auto"/>
            </w:tcBorders>
            <w:shd w:val="clear" w:color="auto" w:fill="auto"/>
            <w:noWrap/>
            <w:vAlign w:val="center"/>
          </w:tcPr>
          <w:p w14:paraId="1D473A1E" w14:textId="282226A8"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5 </w:t>
            </w:r>
          </w:p>
        </w:tc>
        <w:tc>
          <w:tcPr>
            <w:tcW w:w="851" w:type="dxa"/>
            <w:tcBorders>
              <w:top w:val="single" w:sz="2" w:space="0" w:color="auto"/>
              <w:bottom w:val="single" w:sz="2" w:space="0" w:color="auto"/>
              <w:right w:val="nil"/>
            </w:tcBorders>
            <w:shd w:val="clear" w:color="auto" w:fill="auto"/>
            <w:noWrap/>
            <w:vAlign w:val="center"/>
          </w:tcPr>
          <w:p w14:paraId="508D474C" w14:textId="18663AD4"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12 </w:t>
            </w:r>
          </w:p>
        </w:tc>
      </w:tr>
      <w:tr w:rsidR="00A655FB" w:rsidRPr="000C3C49" w14:paraId="049A3B96"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10943DFD" w14:textId="77777777" w:rsidR="00A655FB" w:rsidRPr="000C3C49" w:rsidRDefault="00A655FB" w:rsidP="00A655FB">
            <w:pPr>
              <w:pStyle w:val="cuatexto"/>
              <w:spacing w:line="240" w:lineRule="auto"/>
              <w:rPr>
                <w:sz w:val="18"/>
                <w:szCs w:val="18"/>
              </w:rPr>
            </w:pPr>
            <w:r>
              <w:rPr>
                <w:sz w:val="18"/>
              </w:rPr>
              <w:t>5.001-10.000 biztanle</w:t>
            </w:r>
          </w:p>
        </w:tc>
        <w:tc>
          <w:tcPr>
            <w:tcW w:w="850" w:type="dxa"/>
            <w:tcBorders>
              <w:top w:val="single" w:sz="2" w:space="0" w:color="auto"/>
              <w:left w:val="single" w:sz="2" w:space="0" w:color="auto"/>
              <w:bottom w:val="single" w:sz="2" w:space="0" w:color="auto"/>
            </w:tcBorders>
            <w:shd w:val="clear" w:color="auto" w:fill="auto"/>
            <w:noWrap/>
            <w:vAlign w:val="center"/>
          </w:tcPr>
          <w:p w14:paraId="221AC963" w14:textId="0919C885"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3 </w:t>
            </w:r>
          </w:p>
        </w:tc>
        <w:tc>
          <w:tcPr>
            <w:tcW w:w="709" w:type="dxa"/>
            <w:tcBorders>
              <w:top w:val="single" w:sz="2" w:space="0" w:color="auto"/>
              <w:bottom w:val="single" w:sz="2" w:space="0" w:color="auto"/>
              <w:right w:val="single" w:sz="2" w:space="0" w:color="auto"/>
            </w:tcBorders>
            <w:shd w:val="clear" w:color="auto" w:fill="auto"/>
            <w:noWrap/>
            <w:vAlign w:val="center"/>
          </w:tcPr>
          <w:p w14:paraId="78AC9076" w14:textId="287298BA"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3 </w:t>
            </w:r>
          </w:p>
        </w:tc>
        <w:tc>
          <w:tcPr>
            <w:tcW w:w="850" w:type="dxa"/>
            <w:tcBorders>
              <w:top w:val="single" w:sz="2" w:space="0" w:color="auto"/>
              <w:left w:val="single" w:sz="2" w:space="0" w:color="auto"/>
              <w:bottom w:val="single" w:sz="2" w:space="0" w:color="auto"/>
            </w:tcBorders>
            <w:shd w:val="clear" w:color="auto" w:fill="auto"/>
            <w:noWrap/>
            <w:vAlign w:val="center"/>
          </w:tcPr>
          <w:p w14:paraId="0F2EF33C" w14:textId="222B1D9C"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32 </w:t>
            </w:r>
          </w:p>
        </w:tc>
        <w:tc>
          <w:tcPr>
            <w:tcW w:w="709" w:type="dxa"/>
            <w:tcBorders>
              <w:top w:val="single" w:sz="2" w:space="0" w:color="auto"/>
              <w:bottom w:val="single" w:sz="2" w:space="0" w:color="auto"/>
              <w:right w:val="single" w:sz="2" w:space="0" w:color="auto"/>
            </w:tcBorders>
            <w:shd w:val="clear" w:color="auto" w:fill="auto"/>
            <w:noWrap/>
            <w:vAlign w:val="center"/>
          </w:tcPr>
          <w:p w14:paraId="1735FBB9" w14:textId="0E109838"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27 </w:t>
            </w:r>
          </w:p>
        </w:tc>
        <w:tc>
          <w:tcPr>
            <w:tcW w:w="992" w:type="dxa"/>
            <w:tcBorders>
              <w:top w:val="single" w:sz="2" w:space="0" w:color="auto"/>
              <w:left w:val="single" w:sz="2" w:space="0" w:color="auto"/>
              <w:bottom w:val="single" w:sz="2" w:space="0" w:color="auto"/>
            </w:tcBorders>
            <w:shd w:val="clear" w:color="auto" w:fill="auto"/>
            <w:noWrap/>
            <w:vAlign w:val="center"/>
          </w:tcPr>
          <w:p w14:paraId="0D06A128" w14:textId="6759A341"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463.413 </w:t>
            </w:r>
          </w:p>
        </w:tc>
        <w:tc>
          <w:tcPr>
            <w:tcW w:w="993" w:type="dxa"/>
            <w:tcBorders>
              <w:top w:val="single" w:sz="2" w:space="0" w:color="auto"/>
              <w:bottom w:val="single" w:sz="2" w:space="0" w:color="auto"/>
              <w:right w:val="single" w:sz="2" w:space="0" w:color="auto"/>
            </w:tcBorders>
            <w:shd w:val="clear" w:color="auto" w:fill="auto"/>
            <w:noWrap/>
            <w:vAlign w:val="center"/>
          </w:tcPr>
          <w:p w14:paraId="526130CE" w14:textId="02A70927"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296.124 </w:t>
            </w:r>
          </w:p>
        </w:tc>
        <w:tc>
          <w:tcPr>
            <w:tcW w:w="637" w:type="dxa"/>
            <w:tcBorders>
              <w:top w:val="single" w:sz="2" w:space="0" w:color="auto"/>
              <w:left w:val="single" w:sz="2" w:space="0" w:color="auto"/>
              <w:bottom w:val="single" w:sz="2" w:space="0" w:color="auto"/>
            </w:tcBorders>
            <w:shd w:val="clear" w:color="auto" w:fill="auto"/>
            <w:noWrap/>
            <w:vAlign w:val="center"/>
          </w:tcPr>
          <w:p w14:paraId="759A2E4B" w14:textId="4131B4A7"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6 </w:t>
            </w:r>
          </w:p>
        </w:tc>
        <w:tc>
          <w:tcPr>
            <w:tcW w:w="851" w:type="dxa"/>
            <w:tcBorders>
              <w:top w:val="single" w:sz="2" w:space="0" w:color="auto"/>
              <w:bottom w:val="single" w:sz="2" w:space="0" w:color="auto"/>
              <w:right w:val="nil"/>
            </w:tcBorders>
            <w:shd w:val="clear" w:color="auto" w:fill="auto"/>
            <w:noWrap/>
            <w:vAlign w:val="center"/>
          </w:tcPr>
          <w:p w14:paraId="36EEDCD2" w14:textId="24EB8BD8"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8 </w:t>
            </w:r>
          </w:p>
        </w:tc>
      </w:tr>
      <w:tr w:rsidR="00A655FB" w:rsidRPr="000C3C49" w14:paraId="6EA64729"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2BEC8E0F" w14:textId="77777777" w:rsidR="00A655FB" w:rsidRPr="000C3C49" w:rsidRDefault="00A655FB" w:rsidP="00A655FB">
            <w:pPr>
              <w:pStyle w:val="cuatexto"/>
              <w:spacing w:line="240" w:lineRule="auto"/>
              <w:rPr>
                <w:sz w:val="18"/>
                <w:szCs w:val="18"/>
              </w:rPr>
            </w:pPr>
            <w:r>
              <w:rPr>
                <w:sz w:val="18"/>
              </w:rPr>
              <w:t>10.001-20.000 biztanle</w:t>
            </w:r>
          </w:p>
        </w:tc>
        <w:tc>
          <w:tcPr>
            <w:tcW w:w="850" w:type="dxa"/>
            <w:tcBorders>
              <w:top w:val="single" w:sz="2" w:space="0" w:color="auto"/>
              <w:left w:val="single" w:sz="2" w:space="0" w:color="auto"/>
              <w:bottom w:val="single" w:sz="2" w:space="0" w:color="auto"/>
            </w:tcBorders>
            <w:shd w:val="clear" w:color="auto" w:fill="auto"/>
            <w:noWrap/>
            <w:vAlign w:val="center"/>
          </w:tcPr>
          <w:p w14:paraId="2D12A181" w14:textId="3D2E4BD1"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 </w:t>
            </w:r>
          </w:p>
        </w:tc>
        <w:tc>
          <w:tcPr>
            <w:tcW w:w="709" w:type="dxa"/>
            <w:tcBorders>
              <w:top w:val="single" w:sz="2" w:space="0" w:color="auto"/>
              <w:bottom w:val="single" w:sz="2" w:space="0" w:color="auto"/>
              <w:right w:val="single" w:sz="2" w:space="0" w:color="auto"/>
            </w:tcBorders>
            <w:shd w:val="clear" w:color="auto" w:fill="auto"/>
            <w:noWrap/>
            <w:vAlign w:val="center"/>
          </w:tcPr>
          <w:p w14:paraId="3ECA935A" w14:textId="4F59DE9A"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3 </w:t>
            </w:r>
          </w:p>
        </w:tc>
        <w:tc>
          <w:tcPr>
            <w:tcW w:w="850" w:type="dxa"/>
            <w:tcBorders>
              <w:top w:val="single" w:sz="2" w:space="0" w:color="auto"/>
              <w:left w:val="single" w:sz="2" w:space="0" w:color="auto"/>
              <w:bottom w:val="single" w:sz="2" w:space="0" w:color="auto"/>
            </w:tcBorders>
            <w:shd w:val="clear" w:color="auto" w:fill="auto"/>
            <w:noWrap/>
            <w:vAlign w:val="center"/>
          </w:tcPr>
          <w:p w14:paraId="7C83B417" w14:textId="6B1B9FA8"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6 </w:t>
            </w:r>
          </w:p>
        </w:tc>
        <w:tc>
          <w:tcPr>
            <w:tcW w:w="709" w:type="dxa"/>
            <w:tcBorders>
              <w:top w:val="single" w:sz="2" w:space="0" w:color="auto"/>
              <w:bottom w:val="single" w:sz="2" w:space="0" w:color="auto"/>
              <w:right w:val="single" w:sz="2" w:space="0" w:color="auto"/>
            </w:tcBorders>
            <w:shd w:val="clear" w:color="auto" w:fill="auto"/>
            <w:noWrap/>
            <w:vAlign w:val="center"/>
          </w:tcPr>
          <w:p w14:paraId="63A0D2BC" w14:textId="2DAC5631"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13 </w:t>
            </w:r>
          </w:p>
        </w:tc>
        <w:tc>
          <w:tcPr>
            <w:tcW w:w="992" w:type="dxa"/>
            <w:tcBorders>
              <w:top w:val="single" w:sz="2" w:space="0" w:color="auto"/>
              <w:left w:val="single" w:sz="2" w:space="0" w:color="auto"/>
              <w:bottom w:val="single" w:sz="2" w:space="0" w:color="auto"/>
            </w:tcBorders>
            <w:shd w:val="clear" w:color="auto" w:fill="auto"/>
            <w:noWrap/>
            <w:vAlign w:val="center"/>
          </w:tcPr>
          <w:p w14:paraId="2BC16438" w14:textId="74D8E4C7"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1.455.652 </w:t>
            </w:r>
          </w:p>
        </w:tc>
        <w:tc>
          <w:tcPr>
            <w:tcW w:w="993" w:type="dxa"/>
            <w:tcBorders>
              <w:top w:val="single" w:sz="2" w:space="0" w:color="auto"/>
              <w:bottom w:val="single" w:sz="2" w:space="0" w:color="auto"/>
              <w:right w:val="single" w:sz="2" w:space="0" w:color="auto"/>
            </w:tcBorders>
            <w:shd w:val="clear" w:color="auto" w:fill="auto"/>
            <w:noWrap/>
            <w:vAlign w:val="center"/>
          </w:tcPr>
          <w:p w14:paraId="352E7DBA" w14:textId="5D16DF41"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555.856 </w:t>
            </w:r>
          </w:p>
        </w:tc>
        <w:tc>
          <w:tcPr>
            <w:tcW w:w="637" w:type="dxa"/>
            <w:tcBorders>
              <w:top w:val="single" w:sz="2" w:space="0" w:color="auto"/>
              <w:left w:val="single" w:sz="2" w:space="0" w:color="auto"/>
              <w:bottom w:val="single" w:sz="2" w:space="0" w:color="auto"/>
            </w:tcBorders>
            <w:shd w:val="clear" w:color="auto" w:fill="auto"/>
            <w:noWrap/>
            <w:vAlign w:val="center"/>
          </w:tcPr>
          <w:p w14:paraId="539A2A0D" w14:textId="2AEC384C"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0 </w:t>
            </w:r>
          </w:p>
        </w:tc>
        <w:tc>
          <w:tcPr>
            <w:tcW w:w="851" w:type="dxa"/>
            <w:tcBorders>
              <w:top w:val="single" w:sz="2" w:space="0" w:color="auto"/>
              <w:bottom w:val="single" w:sz="2" w:space="0" w:color="auto"/>
              <w:right w:val="nil"/>
            </w:tcBorders>
            <w:shd w:val="clear" w:color="auto" w:fill="auto"/>
            <w:noWrap/>
            <w:vAlign w:val="center"/>
          </w:tcPr>
          <w:p w14:paraId="5C4C1AA0" w14:textId="7B60AA1E"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0 </w:t>
            </w:r>
          </w:p>
        </w:tc>
      </w:tr>
      <w:tr w:rsidR="00A655FB" w:rsidRPr="000C3C49" w14:paraId="2158F310"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7C04E454" w14:textId="77777777" w:rsidR="00A655FB" w:rsidRPr="000C3C49" w:rsidRDefault="00A655FB" w:rsidP="00A655FB">
            <w:pPr>
              <w:pStyle w:val="cuatexto"/>
              <w:spacing w:line="240" w:lineRule="auto"/>
              <w:rPr>
                <w:sz w:val="18"/>
                <w:szCs w:val="18"/>
              </w:rPr>
            </w:pPr>
            <w:r>
              <w:rPr>
                <w:sz w:val="18"/>
              </w:rPr>
              <w:t>20.000 bizt. baino gehiago</w:t>
            </w:r>
          </w:p>
        </w:tc>
        <w:tc>
          <w:tcPr>
            <w:tcW w:w="850" w:type="dxa"/>
            <w:tcBorders>
              <w:top w:val="single" w:sz="2" w:space="0" w:color="auto"/>
              <w:left w:val="single" w:sz="2" w:space="0" w:color="auto"/>
              <w:bottom w:val="single" w:sz="2" w:space="0" w:color="auto"/>
            </w:tcBorders>
            <w:shd w:val="clear" w:color="auto" w:fill="auto"/>
            <w:noWrap/>
            <w:vAlign w:val="center"/>
          </w:tcPr>
          <w:p w14:paraId="62B87535" w14:textId="341F5EED"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3 </w:t>
            </w:r>
          </w:p>
        </w:tc>
        <w:tc>
          <w:tcPr>
            <w:tcW w:w="709" w:type="dxa"/>
            <w:tcBorders>
              <w:top w:val="single" w:sz="2" w:space="0" w:color="auto"/>
              <w:bottom w:val="single" w:sz="2" w:space="0" w:color="auto"/>
              <w:right w:val="single" w:sz="2" w:space="0" w:color="auto"/>
            </w:tcBorders>
            <w:shd w:val="clear" w:color="auto" w:fill="auto"/>
            <w:noWrap/>
            <w:vAlign w:val="center"/>
          </w:tcPr>
          <w:p w14:paraId="5975547C" w14:textId="45BD9B47"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 </w:t>
            </w:r>
          </w:p>
        </w:tc>
        <w:tc>
          <w:tcPr>
            <w:tcW w:w="850" w:type="dxa"/>
            <w:tcBorders>
              <w:top w:val="single" w:sz="2" w:space="0" w:color="auto"/>
              <w:left w:val="single" w:sz="2" w:space="0" w:color="auto"/>
              <w:bottom w:val="single" w:sz="2" w:space="0" w:color="auto"/>
            </w:tcBorders>
            <w:shd w:val="clear" w:color="auto" w:fill="auto"/>
            <w:noWrap/>
            <w:vAlign w:val="center"/>
          </w:tcPr>
          <w:p w14:paraId="0536F7E9" w14:textId="1DC8D826"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21 </w:t>
            </w:r>
          </w:p>
        </w:tc>
        <w:tc>
          <w:tcPr>
            <w:tcW w:w="709" w:type="dxa"/>
            <w:tcBorders>
              <w:top w:val="single" w:sz="2" w:space="0" w:color="auto"/>
              <w:bottom w:val="single" w:sz="2" w:space="0" w:color="auto"/>
              <w:right w:val="single" w:sz="2" w:space="0" w:color="auto"/>
            </w:tcBorders>
            <w:shd w:val="clear" w:color="auto" w:fill="auto"/>
            <w:noWrap/>
            <w:vAlign w:val="center"/>
          </w:tcPr>
          <w:p w14:paraId="28D15779" w14:textId="477351F8"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9 </w:t>
            </w:r>
          </w:p>
        </w:tc>
        <w:tc>
          <w:tcPr>
            <w:tcW w:w="992" w:type="dxa"/>
            <w:tcBorders>
              <w:top w:val="single" w:sz="2" w:space="0" w:color="auto"/>
              <w:left w:val="single" w:sz="2" w:space="0" w:color="auto"/>
              <w:bottom w:val="single" w:sz="2" w:space="0" w:color="auto"/>
            </w:tcBorders>
            <w:shd w:val="clear" w:color="auto" w:fill="auto"/>
            <w:noWrap/>
            <w:vAlign w:val="center"/>
          </w:tcPr>
          <w:p w14:paraId="02158EC8" w14:textId="3FCDA346"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695.994 </w:t>
            </w:r>
          </w:p>
        </w:tc>
        <w:tc>
          <w:tcPr>
            <w:tcW w:w="993" w:type="dxa"/>
            <w:tcBorders>
              <w:top w:val="single" w:sz="2" w:space="0" w:color="auto"/>
              <w:bottom w:val="single" w:sz="2" w:space="0" w:color="auto"/>
              <w:right w:val="single" w:sz="2" w:space="0" w:color="auto"/>
            </w:tcBorders>
            <w:shd w:val="clear" w:color="auto" w:fill="auto"/>
            <w:noWrap/>
            <w:vAlign w:val="center"/>
          </w:tcPr>
          <w:p w14:paraId="10134F9F" w14:textId="517FA265"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135.461 </w:t>
            </w:r>
          </w:p>
        </w:tc>
        <w:tc>
          <w:tcPr>
            <w:tcW w:w="637" w:type="dxa"/>
            <w:tcBorders>
              <w:top w:val="single" w:sz="2" w:space="0" w:color="auto"/>
              <w:left w:val="single" w:sz="2" w:space="0" w:color="auto"/>
              <w:bottom w:val="single" w:sz="2" w:space="0" w:color="auto"/>
            </w:tcBorders>
            <w:shd w:val="clear" w:color="auto" w:fill="auto"/>
            <w:noWrap/>
            <w:vAlign w:val="center"/>
          </w:tcPr>
          <w:p w14:paraId="4FE24CBF" w14:textId="433875FB"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2 </w:t>
            </w:r>
          </w:p>
        </w:tc>
        <w:tc>
          <w:tcPr>
            <w:tcW w:w="851" w:type="dxa"/>
            <w:tcBorders>
              <w:top w:val="single" w:sz="2" w:space="0" w:color="auto"/>
              <w:bottom w:val="single" w:sz="2" w:space="0" w:color="auto"/>
              <w:right w:val="nil"/>
            </w:tcBorders>
            <w:shd w:val="clear" w:color="auto" w:fill="auto"/>
            <w:noWrap/>
            <w:vAlign w:val="center"/>
          </w:tcPr>
          <w:p w14:paraId="37A71EE4" w14:textId="466B3A22"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rPr>
              <w:t xml:space="preserve"> 3 </w:t>
            </w:r>
          </w:p>
        </w:tc>
      </w:tr>
      <w:tr w:rsidR="00A655FB" w:rsidRPr="00CB0C61" w14:paraId="74EA7995" w14:textId="77777777" w:rsidTr="00587A64">
        <w:trPr>
          <w:trHeight w:val="284"/>
        </w:trPr>
        <w:tc>
          <w:tcPr>
            <w:tcW w:w="2198" w:type="dxa"/>
            <w:tcBorders>
              <w:top w:val="single" w:sz="2" w:space="0" w:color="auto"/>
              <w:left w:val="nil"/>
              <w:bottom w:val="single" w:sz="4" w:space="0" w:color="auto"/>
              <w:right w:val="single" w:sz="2" w:space="0" w:color="auto"/>
            </w:tcBorders>
            <w:shd w:val="clear" w:color="auto" w:fill="auto"/>
            <w:noWrap/>
            <w:vAlign w:val="center"/>
            <w:hideMark/>
          </w:tcPr>
          <w:p w14:paraId="6C71654E" w14:textId="77777777" w:rsidR="00A655FB" w:rsidRPr="00CB0C61" w:rsidRDefault="00A655FB" w:rsidP="00A655FB">
            <w:pPr>
              <w:pStyle w:val="cuatexto"/>
              <w:spacing w:line="240" w:lineRule="auto"/>
              <w:jc w:val="left"/>
              <w:rPr>
                <w:b/>
                <w:i/>
                <w:sz w:val="18"/>
                <w:szCs w:val="18"/>
              </w:rPr>
            </w:pPr>
            <w:r>
              <w:rPr>
                <w:b/>
                <w:i/>
                <w:sz w:val="18"/>
              </w:rPr>
              <w:t>Mankomunitateak eta batasunak</w:t>
            </w:r>
          </w:p>
        </w:tc>
        <w:tc>
          <w:tcPr>
            <w:tcW w:w="850" w:type="dxa"/>
            <w:tcBorders>
              <w:top w:val="single" w:sz="2" w:space="0" w:color="auto"/>
              <w:left w:val="single" w:sz="2" w:space="0" w:color="auto"/>
              <w:bottom w:val="single" w:sz="4" w:space="0" w:color="auto"/>
            </w:tcBorders>
            <w:shd w:val="clear" w:color="auto" w:fill="auto"/>
            <w:noWrap/>
            <w:vAlign w:val="center"/>
          </w:tcPr>
          <w:p w14:paraId="55485FE4" w14:textId="3289874F" w:rsidR="00A655FB" w:rsidRPr="00CB0C61" w:rsidRDefault="00A655FB" w:rsidP="00A655FB">
            <w:pPr>
              <w:spacing w:after="0"/>
              <w:ind w:hanging="56"/>
              <w:jc w:val="right"/>
              <w:rPr>
                <w:rFonts w:ascii="Arial Narrow" w:hAnsi="Arial Narrow"/>
                <w:b/>
                <w:i/>
                <w:color w:val="000000"/>
                <w:sz w:val="18"/>
                <w:szCs w:val="18"/>
              </w:rPr>
            </w:pPr>
            <w:r>
              <w:rPr>
                <w:rFonts w:ascii="Arial Narrow" w:hAnsi="Arial Narrow"/>
                <w:b/>
                <w:i/>
                <w:color w:val="000000"/>
                <w:sz w:val="18"/>
              </w:rPr>
              <w:t xml:space="preserve"> 3 </w:t>
            </w:r>
          </w:p>
        </w:tc>
        <w:tc>
          <w:tcPr>
            <w:tcW w:w="709" w:type="dxa"/>
            <w:tcBorders>
              <w:top w:val="single" w:sz="2" w:space="0" w:color="auto"/>
              <w:bottom w:val="single" w:sz="4" w:space="0" w:color="auto"/>
              <w:right w:val="single" w:sz="2" w:space="0" w:color="auto"/>
            </w:tcBorders>
            <w:shd w:val="clear" w:color="auto" w:fill="auto"/>
            <w:noWrap/>
            <w:vAlign w:val="center"/>
          </w:tcPr>
          <w:p w14:paraId="54937FB9" w14:textId="15FACAC3" w:rsidR="00A655FB" w:rsidRPr="00CB0C61" w:rsidRDefault="00A655FB" w:rsidP="00A655FB">
            <w:pPr>
              <w:spacing w:after="0"/>
              <w:ind w:hanging="56"/>
              <w:jc w:val="right"/>
              <w:rPr>
                <w:rFonts w:ascii="Arial Narrow" w:hAnsi="Arial Narrow"/>
                <w:b/>
                <w:i/>
                <w:color w:val="000000"/>
                <w:sz w:val="18"/>
                <w:szCs w:val="18"/>
              </w:rPr>
            </w:pPr>
            <w:r>
              <w:rPr>
                <w:rFonts w:ascii="Arial Narrow" w:hAnsi="Arial Narrow"/>
                <w:b/>
                <w:i/>
                <w:color w:val="000000"/>
                <w:sz w:val="18"/>
              </w:rPr>
              <w:t xml:space="preserve"> 0 </w:t>
            </w:r>
          </w:p>
        </w:tc>
        <w:tc>
          <w:tcPr>
            <w:tcW w:w="850" w:type="dxa"/>
            <w:tcBorders>
              <w:top w:val="single" w:sz="2" w:space="0" w:color="auto"/>
              <w:left w:val="single" w:sz="2" w:space="0" w:color="auto"/>
              <w:bottom w:val="single" w:sz="4" w:space="0" w:color="auto"/>
            </w:tcBorders>
            <w:shd w:val="clear" w:color="auto" w:fill="auto"/>
            <w:noWrap/>
            <w:vAlign w:val="center"/>
          </w:tcPr>
          <w:p w14:paraId="3997CA81" w14:textId="3D18D916" w:rsidR="00A655FB" w:rsidRPr="00CB0C61" w:rsidRDefault="00A655FB" w:rsidP="00A655FB">
            <w:pPr>
              <w:spacing w:after="0"/>
              <w:ind w:hanging="56"/>
              <w:jc w:val="right"/>
              <w:rPr>
                <w:rFonts w:ascii="Arial Narrow" w:hAnsi="Arial Narrow"/>
                <w:b/>
                <w:i/>
                <w:color w:val="000000"/>
                <w:sz w:val="18"/>
                <w:szCs w:val="18"/>
              </w:rPr>
            </w:pPr>
            <w:r>
              <w:rPr>
                <w:rFonts w:ascii="Arial Narrow" w:hAnsi="Arial Narrow"/>
                <w:b/>
                <w:i/>
                <w:color w:val="000000"/>
                <w:sz w:val="18"/>
              </w:rPr>
              <w:t xml:space="preserve"> 4 </w:t>
            </w:r>
          </w:p>
        </w:tc>
        <w:tc>
          <w:tcPr>
            <w:tcW w:w="709" w:type="dxa"/>
            <w:tcBorders>
              <w:top w:val="single" w:sz="2" w:space="0" w:color="auto"/>
              <w:bottom w:val="single" w:sz="4" w:space="0" w:color="auto"/>
              <w:right w:val="single" w:sz="2" w:space="0" w:color="auto"/>
            </w:tcBorders>
            <w:shd w:val="clear" w:color="auto" w:fill="auto"/>
            <w:noWrap/>
            <w:vAlign w:val="center"/>
          </w:tcPr>
          <w:p w14:paraId="0F4078BB" w14:textId="2E1C6B77" w:rsidR="00A655FB" w:rsidRPr="00CB0C61" w:rsidRDefault="00A655FB" w:rsidP="00A655FB">
            <w:pPr>
              <w:spacing w:after="0"/>
              <w:ind w:hanging="56"/>
              <w:jc w:val="right"/>
              <w:rPr>
                <w:rFonts w:ascii="Arial Narrow" w:hAnsi="Arial Narrow"/>
                <w:b/>
                <w:i/>
                <w:color w:val="000000"/>
                <w:sz w:val="18"/>
                <w:szCs w:val="18"/>
              </w:rPr>
            </w:pPr>
            <w:r>
              <w:rPr>
                <w:rFonts w:ascii="Arial Narrow" w:hAnsi="Arial Narrow"/>
                <w:b/>
                <w:i/>
                <w:color w:val="000000"/>
                <w:sz w:val="18"/>
              </w:rPr>
              <w:t xml:space="preserve">0 </w:t>
            </w:r>
          </w:p>
        </w:tc>
        <w:tc>
          <w:tcPr>
            <w:tcW w:w="992" w:type="dxa"/>
            <w:tcBorders>
              <w:top w:val="single" w:sz="2" w:space="0" w:color="auto"/>
              <w:left w:val="single" w:sz="2" w:space="0" w:color="auto"/>
              <w:bottom w:val="single" w:sz="4" w:space="0" w:color="auto"/>
            </w:tcBorders>
            <w:shd w:val="clear" w:color="auto" w:fill="auto"/>
            <w:noWrap/>
            <w:vAlign w:val="center"/>
          </w:tcPr>
          <w:p w14:paraId="37644473" w14:textId="4EFD8D5E" w:rsidR="00A655FB" w:rsidRPr="00CB0C61" w:rsidRDefault="00A655FB" w:rsidP="00A655FB">
            <w:pPr>
              <w:spacing w:after="0"/>
              <w:ind w:hanging="56"/>
              <w:jc w:val="right"/>
              <w:rPr>
                <w:rFonts w:ascii="Arial Narrow" w:hAnsi="Arial Narrow"/>
                <w:b/>
                <w:i/>
                <w:color w:val="000000"/>
                <w:sz w:val="18"/>
                <w:szCs w:val="18"/>
              </w:rPr>
            </w:pPr>
            <w:r>
              <w:rPr>
                <w:rFonts w:ascii="Arial Narrow" w:hAnsi="Arial Narrow"/>
                <w:b/>
                <w:i/>
                <w:color w:val="000000"/>
                <w:sz w:val="18"/>
              </w:rPr>
              <w:t xml:space="preserve"> 278.580 </w:t>
            </w:r>
          </w:p>
        </w:tc>
        <w:tc>
          <w:tcPr>
            <w:tcW w:w="993" w:type="dxa"/>
            <w:tcBorders>
              <w:top w:val="single" w:sz="2" w:space="0" w:color="auto"/>
              <w:bottom w:val="single" w:sz="4" w:space="0" w:color="auto"/>
              <w:right w:val="single" w:sz="2" w:space="0" w:color="auto"/>
            </w:tcBorders>
            <w:shd w:val="clear" w:color="auto" w:fill="auto"/>
            <w:noWrap/>
            <w:vAlign w:val="center"/>
          </w:tcPr>
          <w:p w14:paraId="1CA2B131" w14:textId="2885EF1C" w:rsidR="00A655FB" w:rsidRPr="00CB0C61" w:rsidRDefault="00A655FB" w:rsidP="00A655FB">
            <w:pPr>
              <w:spacing w:after="0"/>
              <w:ind w:hanging="56"/>
              <w:jc w:val="right"/>
              <w:rPr>
                <w:rFonts w:ascii="Arial Narrow" w:hAnsi="Arial Narrow"/>
                <w:b/>
                <w:i/>
                <w:color w:val="000000"/>
                <w:sz w:val="18"/>
                <w:szCs w:val="18"/>
              </w:rPr>
            </w:pPr>
            <w:r>
              <w:rPr>
                <w:rFonts w:ascii="Arial Narrow" w:hAnsi="Arial Narrow"/>
                <w:b/>
                <w:i/>
                <w:color w:val="000000"/>
                <w:sz w:val="18"/>
              </w:rPr>
              <w:t xml:space="preserve"> 0</w:t>
            </w:r>
          </w:p>
        </w:tc>
        <w:tc>
          <w:tcPr>
            <w:tcW w:w="637" w:type="dxa"/>
            <w:tcBorders>
              <w:top w:val="single" w:sz="2" w:space="0" w:color="auto"/>
              <w:left w:val="single" w:sz="2" w:space="0" w:color="auto"/>
              <w:bottom w:val="single" w:sz="4" w:space="0" w:color="auto"/>
            </w:tcBorders>
            <w:shd w:val="clear" w:color="auto" w:fill="auto"/>
            <w:noWrap/>
            <w:vAlign w:val="center"/>
          </w:tcPr>
          <w:p w14:paraId="28746E3B" w14:textId="6812E4C4" w:rsidR="00A655FB" w:rsidRPr="00CB0C61" w:rsidRDefault="00A655FB" w:rsidP="00A655FB">
            <w:pPr>
              <w:spacing w:after="0"/>
              <w:ind w:hanging="56"/>
              <w:jc w:val="right"/>
              <w:rPr>
                <w:rFonts w:ascii="Arial Narrow" w:hAnsi="Arial Narrow"/>
                <w:b/>
                <w:i/>
                <w:color w:val="000000"/>
                <w:sz w:val="18"/>
                <w:szCs w:val="18"/>
              </w:rPr>
            </w:pPr>
            <w:r>
              <w:rPr>
                <w:rFonts w:ascii="Arial Narrow" w:hAnsi="Arial Narrow"/>
                <w:b/>
                <w:i/>
                <w:color w:val="000000"/>
                <w:sz w:val="18"/>
              </w:rPr>
              <w:t xml:space="preserve"> 2 </w:t>
            </w:r>
          </w:p>
        </w:tc>
        <w:tc>
          <w:tcPr>
            <w:tcW w:w="851" w:type="dxa"/>
            <w:tcBorders>
              <w:top w:val="single" w:sz="2" w:space="0" w:color="auto"/>
              <w:bottom w:val="single" w:sz="4" w:space="0" w:color="auto"/>
              <w:right w:val="nil"/>
            </w:tcBorders>
            <w:shd w:val="clear" w:color="auto" w:fill="auto"/>
            <w:noWrap/>
            <w:vAlign w:val="center"/>
          </w:tcPr>
          <w:p w14:paraId="15B5A793" w14:textId="1AA2004C" w:rsidR="00A655FB" w:rsidRPr="00CB0C61" w:rsidRDefault="00A655FB" w:rsidP="00A655FB">
            <w:pPr>
              <w:spacing w:after="0"/>
              <w:ind w:hanging="56"/>
              <w:jc w:val="right"/>
              <w:rPr>
                <w:rFonts w:ascii="Arial Narrow" w:hAnsi="Arial Narrow"/>
                <w:b/>
                <w:i/>
                <w:color w:val="000000"/>
                <w:sz w:val="18"/>
                <w:szCs w:val="18"/>
              </w:rPr>
            </w:pPr>
            <w:r>
              <w:rPr>
                <w:rFonts w:ascii="Arial Narrow" w:hAnsi="Arial Narrow"/>
                <w:b/>
                <w:i/>
                <w:color w:val="000000"/>
                <w:sz w:val="18"/>
              </w:rPr>
              <w:t xml:space="preserve">0 </w:t>
            </w:r>
          </w:p>
        </w:tc>
      </w:tr>
      <w:tr w:rsidR="00A655FB" w:rsidRPr="000C3C49" w14:paraId="6A4646CE" w14:textId="77777777" w:rsidTr="00587A64">
        <w:trPr>
          <w:trHeight w:val="284"/>
        </w:trPr>
        <w:tc>
          <w:tcPr>
            <w:tcW w:w="2198"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2473865" w14:textId="77777777" w:rsidR="00A655FB" w:rsidRPr="000C3C49" w:rsidRDefault="00A655FB" w:rsidP="00A655FB">
            <w:pPr>
              <w:pStyle w:val="cuadroCabe"/>
              <w:spacing w:line="240" w:lineRule="auto"/>
              <w:rPr>
                <w:rFonts w:cs="Arial"/>
                <w:sz w:val="16"/>
                <w:szCs w:val="16"/>
              </w:rPr>
            </w:pPr>
            <w:r>
              <w:rPr>
                <w:sz w:val="16"/>
              </w:rPr>
              <w:t>Guztira</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614B70DA" w14:textId="6118BA0A"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 xml:space="preserve"> 28 </w:t>
            </w:r>
          </w:p>
        </w:tc>
        <w:tc>
          <w:tcPr>
            <w:tcW w:w="709" w:type="dxa"/>
            <w:tcBorders>
              <w:top w:val="single" w:sz="4" w:space="0" w:color="auto"/>
              <w:bottom w:val="single" w:sz="4" w:space="0" w:color="auto"/>
              <w:right w:val="single" w:sz="2" w:space="0" w:color="auto"/>
            </w:tcBorders>
            <w:shd w:val="clear" w:color="auto" w:fill="FABF8F" w:themeFill="accent6" w:themeFillTint="99"/>
            <w:noWrap/>
            <w:vAlign w:val="center"/>
          </w:tcPr>
          <w:p w14:paraId="26354632" w14:textId="514157C1"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 xml:space="preserve"> 31 </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64D2AE53" w14:textId="7D4CEC11"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 xml:space="preserve"> 188 </w:t>
            </w:r>
          </w:p>
        </w:tc>
        <w:tc>
          <w:tcPr>
            <w:tcW w:w="709" w:type="dxa"/>
            <w:tcBorders>
              <w:top w:val="single" w:sz="4" w:space="0" w:color="auto"/>
              <w:bottom w:val="single" w:sz="4" w:space="0" w:color="auto"/>
              <w:right w:val="single" w:sz="2" w:space="0" w:color="auto"/>
            </w:tcBorders>
            <w:shd w:val="clear" w:color="auto" w:fill="FABF8F" w:themeFill="accent6" w:themeFillTint="99"/>
            <w:noWrap/>
            <w:vAlign w:val="center"/>
          </w:tcPr>
          <w:p w14:paraId="01768EE8" w14:textId="13537BF1"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 xml:space="preserve"> 127 </w:t>
            </w:r>
          </w:p>
        </w:tc>
        <w:tc>
          <w:tcPr>
            <w:tcW w:w="992" w:type="dxa"/>
            <w:tcBorders>
              <w:top w:val="single" w:sz="4" w:space="0" w:color="auto"/>
              <w:left w:val="single" w:sz="2" w:space="0" w:color="auto"/>
              <w:bottom w:val="single" w:sz="4" w:space="0" w:color="auto"/>
            </w:tcBorders>
            <w:shd w:val="clear" w:color="auto" w:fill="FABF8F" w:themeFill="accent6" w:themeFillTint="99"/>
            <w:noWrap/>
            <w:vAlign w:val="center"/>
          </w:tcPr>
          <w:p w14:paraId="3C550B36" w14:textId="7025404A"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 xml:space="preserve"> 5.059.465 </w:t>
            </w:r>
          </w:p>
        </w:tc>
        <w:tc>
          <w:tcPr>
            <w:tcW w:w="993" w:type="dxa"/>
            <w:tcBorders>
              <w:top w:val="single" w:sz="4" w:space="0" w:color="auto"/>
              <w:bottom w:val="single" w:sz="4" w:space="0" w:color="auto"/>
              <w:right w:val="single" w:sz="2" w:space="0" w:color="auto"/>
            </w:tcBorders>
            <w:shd w:val="clear" w:color="auto" w:fill="FABF8F" w:themeFill="accent6" w:themeFillTint="99"/>
            <w:noWrap/>
            <w:vAlign w:val="center"/>
          </w:tcPr>
          <w:p w14:paraId="259BE18C" w14:textId="3532C6A9"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 xml:space="preserve"> 2.215.170 </w:t>
            </w:r>
          </w:p>
        </w:tc>
        <w:tc>
          <w:tcPr>
            <w:tcW w:w="637" w:type="dxa"/>
            <w:tcBorders>
              <w:top w:val="single" w:sz="4" w:space="0" w:color="auto"/>
              <w:left w:val="single" w:sz="2" w:space="0" w:color="auto"/>
              <w:bottom w:val="single" w:sz="4" w:space="0" w:color="auto"/>
            </w:tcBorders>
            <w:shd w:val="clear" w:color="auto" w:fill="FABF8F" w:themeFill="accent6" w:themeFillTint="99"/>
            <w:noWrap/>
            <w:vAlign w:val="center"/>
          </w:tcPr>
          <w:p w14:paraId="68288F60" w14:textId="37DF1117"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 xml:space="preserve"> 16 </w:t>
            </w:r>
          </w:p>
        </w:tc>
        <w:tc>
          <w:tcPr>
            <w:tcW w:w="851" w:type="dxa"/>
            <w:tcBorders>
              <w:top w:val="single" w:sz="4" w:space="0" w:color="auto"/>
              <w:bottom w:val="single" w:sz="4" w:space="0" w:color="auto"/>
              <w:right w:val="nil"/>
            </w:tcBorders>
            <w:shd w:val="clear" w:color="auto" w:fill="FABF8F" w:themeFill="accent6" w:themeFillTint="99"/>
            <w:noWrap/>
            <w:vAlign w:val="center"/>
          </w:tcPr>
          <w:p w14:paraId="771135B5" w14:textId="53F22432" w:rsidR="00A655FB" w:rsidRPr="000C3C49" w:rsidRDefault="00A655FB" w:rsidP="00A655FB">
            <w:pPr>
              <w:spacing w:after="0"/>
              <w:ind w:hanging="56"/>
              <w:jc w:val="right"/>
              <w:rPr>
                <w:rFonts w:ascii="Arial" w:hAnsi="Arial" w:cs="Arial"/>
                <w:color w:val="000000"/>
                <w:sz w:val="16"/>
                <w:szCs w:val="16"/>
              </w:rPr>
            </w:pPr>
            <w:r>
              <w:rPr>
                <w:rFonts w:ascii="Arial" w:hAnsi="Arial"/>
                <w:color w:val="000000"/>
                <w:sz w:val="16"/>
              </w:rPr>
              <w:t xml:space="preserve"> 23 </w:t>
            </w:r>
          </w:p>
        </w:tc>
      </w:tr>
    </w:tbl>
    <w:p w14:paraId="508E0946" w14:textId="654D8C81" w:rsidR="000E3227" w:rsidRPr="00033257" w:rsidRDefault="6D43019B" w:rsidP="00EC4C05">
      <w:pPr>
        <w:spacing w:before="240" w:after="120"/>
        <w:rPr>
          <w:spacing w:val="6"/>
          <w:sz w:val="26"/>
          <w:szCs w:val="26"/>
        </w:rPr>
      </w:pPr>
      <w:r>
        <w:rPr>
          <w:sz w:val="26"/>
        </w:rPr>
        <w:t>Eragozpen ohar gehienak 1.000 eta 5.000 biztanle arteko udalei egin zaizkie, baina aipatzekoa da tarte horretan guztira 34 eragozpen ohar dituzten hiru udal daudela.</w:t>
      </w:r>
    </w:p>
    <w:p w14:paraId="20B7E651" w14:textId="77777777" w:rsidR="000C3C49" w:rsidRDefault="000C3C49" w:rsidP="000E3227">
      <w:pPr>
        <w:tabs>
          <w:tab w:val="left" w:pos="1630"/>
          <w:tab w:val="left" w:pos="2480"/>
          <w:tab w:val="left" w:pos="3189"/>
          <w:tab w:val="left" w:pos="4039"/>
          <w:tab w:val="left" w:pos="4748"/>
          <w:tab w:val="left" w:pos="5740"/>
          <w:tab w:val="left" w:pos="6733"/>
          <w:tab w:val="left" w:pos="7725"/>
        </w:tabs>
        <w:spacing w:after="120"/>
        <w:ind w:left="68" w:firstLine="215"/>
        <w:rPr>
          <w:rFonts w:cs="Arial"/>
          <w:color w:val="000000" w:themeColor="text1"/>
          <w:spacing w:val="6"/>
          <w:sz w:val="26"/>
          <w:szCs w:val="24"/>
          <w:lang w:val="es-ES"/>
        </w:rPr>
      </w:pPr>
    </w:p>
    <w:p w14:paraId="2F036D2A" w14:textId="7B843218" w:rsidR="000C3C49" w:rsidRDefault="000C3C49" w:rsidP="000E3227">
      <w:pPr>
        <w:tabs>
          <w:tab w:val="left" w:pos="1630"/>
          <w:tab w:val="left" w:pos="2480"/>
          <w:tab w:val="left" w:pos="3189"/>
          <w:tab w:val="left" w:pos="4039"/>
          <w:tab w:val="left" w:pos="4748"/>
          <w:tab w:val="left" w:pos="5740"/>
          <w:tab w:val="left" w:pos="6733"/>
          <w:tab w:val="left" w:pos="7725"/>
        </w:tabs>
        <w:spacing w:after="120"/>
        <w:ind w:left="68" w:firstLine="215"/>
        <w:rPr>
          <w:rFonts w:cs="Arial"/>
          <w:color w:val="000000" w:themeColor="text1"/>
          <w:spacing w:val="6"/>
          <w:sz w:val="26"/>
          <w:szCs w:val="24"/>
          <w:lang w:val="es-ES"/>
        </w:rPr>
      </w:pPr>
    </w:p>
    <w:p w14:paraId="2C5D0A05" w14:textId="5D054A62" w:rsidR="000E3227" w:rsidRPr="009059A2" w:rsidRDefault="000E3227" w:rsidP="000E3227">
      <w:pPr>
        <w:tabs>
          <w:tab w:val="left" w:pos="1630"/>
          <w:tab w:val="left" w:pos="2480"/>
          <w:tab w:val="left" w:pos="3189"/>
          <w:tab w:val="left" w:pos="4039"/>
          <w:tab w:val="left" w:pos="4748"/>
          <w:tab w:val="left" w:pos="5740"/>
          <w:tab w:val="left" w:pos="6733"/>
          <w:tab w:val="left" w:pos="7725"/>
        </w:tabs>
        <w:spacing w:after="120"/>
        <w:ind w:left="68" w:firstLine="215"/>
        <w:rPr>
          <w:rFonts w:cs="Arial"/>
          <w:i/>
          <w:color w:val="000000" w:themeColor="text1"/>
          <w:spacing w:val="6"/>
          <w:sz w:val="26"/>
          <w:szCs w:val="24"/>
        </w:rPr>
      </w:pPr>
      <w:r>
        <w:rPr>
          <w:color w:val="000000" w:themeColor="text1"/>
          <w:sz w:val="26"/>
        </w:rPr>
        <w:t xml:space="preserve">Honako taula hauetan xehakatu dira </w:t>
      </w:r>
      <w:r>
        <w:rPr>
          <w:i/>
          <w:color w:val="000000" w:themeColor="text1"/>
          <w:sz w:val="26"/>
        </w:rPr>
        <w:t>eragozpen oharrek</w:t>
      </w:r>
      <w:r>
        <w:rPr>
          <w:color w:val="000000" w:themeColor="text1"/>
          <w:sz w:val="26"/>
        </w:rPr>
        <w:t xml:space="preserve"> ukitutako kudeaketa arloak eta eragozpen oharren </w:t>
      </w:r>
      <w:r>
        <w:rPr>
          <w:i/>
          <w:color w:val="000000" w:themeColor="text1"/>
          <w:sz w:val="26"/>
        </w:rPr>
        <w:t>arrazoiak</w:t>
      </w:r>
      <w:r>
        <w:rPr>
          <w:color w:val="000000" w:themeColor="text1"/>
          <w:sz w:val="26"/>
        </w:rPr>
        <w:t>:</w:t>
      </w:r>
    </w:p>
    <w:tbl>
      <w:tblPr>
        <w:tblpPr w:leftFromText="141" w:rightFromText="141" w:vertAnchor="text" w:horzAnchor="margin" w:tblpXSpec="center" w:tblpY="146"/>
        <w:tblW w:w="8618" w:type="dxa"/>
        <w:tblCellMar>
          <w:left w:w="70" w:type="dxa"/>
          <w:right w:w="70" w:type="dxa"/>
        </w:tblCellMar>
        <w:tblLook w:val="04A0" w:firstRow="1" w:lastRow="0" w:firstColumn="1" w:lastColumn="0" w:noHBand="0" w:noVBand="1"/>
      </w:tblPr>
      <w:tblGrid>
        <w:gridCol w:w="3686"/>
        <w:gridCol w:w="850"/>
        <w:gridCol w:w="851"/>
        <w:gridCol w:w="992"/>
        <w:gridCol w:w="986"/>
        <w:gridCol w:w="8"/>
        <w:gridCol w:w="739"/>
        <w:gridCol w:w="506"/>
      </w:tblGrid>
      <w:tr w:rsidR="00A655FB" w:rsidRPr="00033257" w14:paraId="2C22F318" w14:textId="77777777" w:rsidTr="00587A64">
        <w:trPr>
          <w:trHeight w:val="227"/>
        </w:trPr>
        <w:tc>
          <w:tcPr>
            <w:tcW w:w="3686" w:type="dxa"/>
            <w:vMerge w:val="restart"/>
            <w:tcBorders>
              <w:top w:val="single" w:sz="4" w:space="0" w:color="auto"/>
              <w:left w:val="nil"/>
              <w:bottom w:val="single" w:sz="4" w:space="0" w:color="auto"/>
            </w:tcBorders>
            <w:shd w:val="clear" w:color="auto" w:fill="FABF8F" w:themeFill="accent6" w:themeFillTint="99"/>
            <w:noWrap/>
            <w:vAlign w:val="center"/>
            <w:hideMark/>
          </w:tcPr>
          <w:p w14:paraId="4C85ABF0" w14:textId="77777777" w:rsidR="00A655FB" w:rsidRPr="009059A2" w:rsidRDefault="00A655FB" w:rsidP="005605A0">
            <w:pPr>
              <w:pStyle w:val="cuadroCabe"/>
              <w:spacing w:line="240" w:lineRule="auto"/>
              <w:rPr>
                <w:rFonts w:cs="Arial"/>
                <w:color w:val="000000" w:themeColor="text1"/>
                <w:sz w:val="16"/>
                <w:szCs w:val="16"/>
              </w:rPr>
            </w:pPr>
            <w:r>
              <w:rPr>
                <w:color w:val="000000" w:themeColor="text1"/>
                <w:sz w:val="16"/>
              </w:rPr>
              <w:lastRenderedPageBreak/>
              <w:t>Kudeaketa arloa</w:t>
            </w:r>
          </w:p>
        </w:tc>
        <w:tc>
          <w:tcPr>
            <w:tcW w:w="1701" w:type="dxa"/>
            <w:gridSpan w:val="2"/>
            <w:tcBorders>
              <w:top w:val="single" w:sz="4" w:space="0" w:color="auto"/>
              <w:bottom w:val="single" w:sz="2" w:space="0" w:color="auto"/>
            </w:tcBorders>
            <w:shd w:val="clear" w:color="auto" w:fill="FABF8F" w:themeFill="accent6" w:themeFillTint="99"/>
            <w:vAlign w:val="center"/>
            <w:hideMark/>
          </w:tcPr>
          <w:p w14:paraId="3F21E3F7" w14:textId="77777777" w:rsidR="00A655FB" w:rsidRPr="009059A2" w:rsidRDefault="00A655FB" w:rsidP="005605A0">
            <w:pPr>
              <w:pStyle w:val="cuadroCabe"/>
              <w:spacing w:line="240" w:lineRule="auto"/>
              <w:jc w:val="right"/>
              <w:rPr>
                <w:rFonts w:cs="Arial"/>
                <w:sz w:val="16"/>
                <w:szCs w:val="16"/>
              </w:rPr>
            </w:pPr>
            <w:r>
              <w:rPr>
                <w:sz w:val="16"/>
              </w:rPr>
              <w:t>Eragozpen oharren kop.</w:t>
            </w:r>
          </w:p>
        </w:tc>
        <w:tc>
          <w:tcPr>
            <w:tcW w:w="1986" w:type="dxa"/>
            <w:gridSpan w:val="3"/>
            <w:tcBorders>
              <w:top w:val="single" w:sz="4" w:space="0" w:color="auto"/>
              <w:bottom w:val="single" w:sz="2" w:space="0" w:color="auto"/>
            </w:tcBorders>
            <w:shd w:val="clear" w:color="auto" w:fill="FABF8F" w:themeFill="accent6" w:themeFillTint="99"/>
            <w:vAlign w:val="center"/>
            <w:hideMark/>
          </w:tcPr>
          <w:p w14:paraId="1233430A" w14:textId="77777777" w:rsidR="00A655FB" w:rsidRPr="009059A2" w:rsidRDefault="00A655FB" w:rsidP="005605A0">
            <w:pPr>
              <w:pStyle w:val="cuadroCabe"/>
              <w:spacing w:line="240" w:lineRule="auto"/>
              <w:jc w:val="right"/>
              <w:rPr>
                <w:rFonts w:cs="Arial"/>
                <w:sz w:val="16"/>
                <w:szCs w:val="16"/>
              </w:rPr>
            </w:pPr>
            <w:r>
              <w:rPr>
                <w:sz w:val="16"/>
              </w:rPr>
              <w:t>Zenbatekoa (euroak)</w:t>
            </w:r>
          </w:p>
        </w:tc>
        <w:tc>
          <w:tcPr>
            <w:tcW w:w="1245" w:type="dxa"/>
            <w:gridSpan w:val="2"/>
            <w:tcBorders>
              <w:top w:val="single" w:sz="4" w:space="0" w:color="auto"/>
              <w:bottom w:val="single" w:sz="2" w:space="0" w:color="auto"/>
              <w:right w:val="nil"/>
            </w:tcBorders>
            <w:shd w:val="clear" w:color="auto" w:fill="FABF8F" w:themeFill="accent6" w:themeFillTint="99"/>
            <w:vAlign w:val="center"/>
            <w:hideMark/>
          </w:tcPr>
          <w:p w14:paraId="539F94F9" w14:textId="77777777" w:rsidR="00A655FB" w:rsidRPr="009059A2" w:rsidRDefault="00A655FB" w:rsidP="005605A0">
            <w:pPr>
              <w:pStyle w:val="cuadroCabe"/>
              <w:spacing w:line="240" w:lineRule="auto"/>
              <w:jc w:val="right"/>
              <w:rPr>
                <w:rFonts w:cs="Arial"/>
                <w:sz w:val="16"/>
                <w:szCs w:val="16"/>
              </w:rPr>
            </w:pPr>
            <w:r>
              <w:rPr>
                <w:sz w:val="16"/>
              </w:rPr>
              <w:t>Zenbatekorik gabe</w:t>
            </w:r>
          </w:p>
        </w:tc>
      </w:tr>
      <w:tr w:rsidR="00A655FB" w:rsidRPr="00033257" w14:paraId="29450937" w14:textId="77777777" w:rsidTr="00587A64">
        <w:trPr>
          <w:trHeight w:val="227"/>
        </w:trPr>
        <w:tc>
          <w:tcPr>
            <w:tcW w:w="3686" w:type="dxa"/>
            <w:vMerge/>
            <w:tcBorders>
              <w:top w:val="single" w:sz="8" w:space="0" w:color="000000"/>
              <w:left w:val="nil"/>
              <w:bottom w:val="single" w:sz="4" w:space="0" w:color="auto"/>
            </w:tcBorders>
            <w:shd w:val="clear" w:color="auto" w:fill="FABF8F" w:themeFill="accent6" w:themeFillTint="99"/>
            <w:vAlign w:val="center"/>
            <w:hideMark/>
          </w:tcPr>
          <w:p w14:paraId="53D4A301" w14:textId="77777777" w:rsidR="00A655FB" w:rsidRPr="009059A2" w:rsidRDefault="00A655FB" w:rsidP="00A655FB">
            <w:pPr>
              <w:pStyle w:val="cuadroCabe"/>
              <w:spacing w:line="240" w:lineRule="auto"/>
              <w:rPr>
                <w:rFonts w:cs="Arial"/>
                <w:color w:val="000000" w:themeColor="text1"/>
                <w:sz w:val="16"/>
                <w:szCs w:val="16"/>
                <w:lang w:val="es-ES" w:eastAsia="es-ES"/>
              </w:rPr>
            </w:pPr>
          </w:p>
        </w:tc>
        <w:tc>
          <w:tcPr>
            <w:tcW w:w="850" w:type="dxa"/>
            <w:tcBorders>
              <w:top w:val="single" w:sz="2" w:space="0" w:color="auto"/>
              <w:bottom w:val="single" w:sz="4" w:space="0" w:color="auto"/>
            </w:tcBorders>
            <w:shd w:val="clear" w:color="auto" w:fill="FABF8F" w:themeFill="accent6" w:themeFillTint="99"/>
            <w:noWrap/>
            <w:vAlign w:val="center"/>
          </w:tcPr>
          <w:p w14:paraId="1F7E3B8D" w14:textId="57D60948"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2020</w:t>
            </w:r>
          </w:p>
        </w:tc>
        <w:tc>
          <w:tcPr>
            <w:tcW w:w="851" w:type="dxa"/>
            <w:tcBorders>
              <w:top w:val="single" w:sz="2" w:space="0" w:color="auto"/>
              <w:bottom w:val="single" w:sz="4" w:space="0" w:color="auto"/>
            </w:tcBorders>
            <w:shd w:val="clear" w:color="auto" w:fill="FABF8F" w:themeFill="accent6" w:themeFillTint="99"/>
            <w:noWrap/>
            <w:vAlign w:val="center"/>
          </w:tcPr>
          <w:p w14:paraId="48BF5010" w14:textId="5FB90B8E"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2021</w:t>
            </w:r>
          </w:p>
        </w:tc>
        <w:tc>
          <w:tcPr>
            <w:tcW w:w="992" w:type="dxa"/>
            <w:tcBorders>
              <w:top w:val="single" w:sz="2" w:space="0" w:color="auto"/>
              <w:bottom w:val="single" w:sz="4" w:space="0" w:color="auto"/>
            </w:tcBorders>
            <w:shd w:val="clear" w:color="auto" w:fill="FABF8F" w:themeFill="accent6" w:themeFillTint="99"/>
            <w:noWrap/>
            <w:vAlign w:val="center"/>
          </w:tcPr>
          <w:p w14:paraId="6E6F465C" w14:textId="133A7E85"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2020</w:t>
            </w:r>
          </w:p>
        </w:tc>
        <w:tc>
          <w:tcPr>
            <w:tcW w:w="986" w:type="dxa"/>
            <w:tcBorders>
              <w:top w:val="single" w:sz="2" w:space="0" w:color="auto"/>
              <w:bottom w:val="single" w:sz="4" w:space="0" w:color="auto"/>
            </w:tcBorders>
            <w:shd w:val="clear" w:color="auto" w:fill="FABF8F" w:themeFill="accent6" w:themeFillTint="99"/>
            <w:noWrap/>
            <w:vAlign w:val="center"/>
          </w:tcPr>
          <w:p w14:paraId="3DEB1B60" w14:textId="7A2C6F83"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2021</w:t>
            </w:r>
          </w:p>
        </w:tc>
        <w:tc>
          <w:tcPr>
            <w:tcW w:w="747" w:type="dxa"/>
            <w:gridSpan w:val="2"/>
            <w:tcBorders>
              <w:top w:val="single" w:sz="2" w:space="0" w:color="auto"/>
              <w:bottom w:val="single" w:sz="4" w:space="0" w:color="auto"/>
            </w:tcBorders>
            <w:shd w:val="clear" w:color="auto" w:fill="FABF8F" w:themeFill="accent6" w:themeFillTint="99"/>
            <w:noWrap/>
            <w:vAlign w:val="center"/>
          </w:tcPr>
          <w:p w14:paraId="7F8617B3" w14:textId="2EC3443E"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2020</w:t>
            </w:r>
          </w:p>
        </w:tc>
        <w:tc>
          <w:tcPr>
            <w:tcW w:w="506" w:type="dxa"/>
            <w:tcBorders>
              <w:top w:val="single" w:sz="2" w:space="0" w:color="auto"/>
              <w:bottom w:val="single" w:sz="4" w:space="0" w:color="auto"/>
              <w:right w:val="nil"/>
            </w:tcBorders>
            <w:shd w:val="clear" w:color="auto" w:fill="FABF8F" w:themeFill="accent6" w:themeFillTint="99"/>
            <w:noWrap/>
            <w:vAlign w:val="center"/>
          </w:tcPr>
          <w:p w14:paraId="56482876" w14:textId="65EFBBF9"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2021</w:t>
            </w:r>
          </w:p>
        </w:tc>
      </w:tr>
      <w:tr w:rsidR="00A655FB" w:rsidRPr="00033257" w14:paraId="3AC30E41" w14:textId="77777777" w:rsidTr="00587A64">
        <w:trPr>
          <w:trHeight w:val="227"/>
        </w:trPr>
        <w:tc>
          <w:tcPr>
            <w:tcW w:w="3686" w:type="dxa"/>
            <w:tcBorders>
              <w:top w:val="single" w:sz="4" w:space="0" w:color="auto"/>
              <w:left w:val="nil"/>
              <w:bottom w:val="single" w:sz="2" w:space="0" w:color="auto"/>
            </w:tcBorders>
            <w:shd w:val="clear" w:color="auto" w:fill="auto"/>
            <w:noWrap/>
            <w:vAlign w:val="center"/>
            <w:hideMark/>
          </w:tcPr>
          <w:p w14:paraId="587F4E5B" w14:textId="77777777" w:rsidR="00A655FB" w:rsidRPr="00033257" w:rsidRDefault="00A655FB" w:rsidP="00A655FB">
            <w:pPr>
              <w:pStyle w:val="cuatexto"/>
              <w:spacing w:line="240" w:lineRule="auto"/>
              <w:rPr>
                <w:color w:val="000000" w:themeColor="text1"/>
                <w:szCs w:val="20"/>
              </w:rPr>
            </w:pPr>
            <w:r>
              <w:rPr>
                <w:color w:val="000000" w:themeColor="text1"/>
              </w:rPr>
              <w:t>Kontratazioa</w:t>
            </w:r>
          </w:p>
        </w:tc>
        <w:tc>
          <w:tcPr>
            <w:tcW w:w="850" w:type="dxa"/>
            <w:tcBorders>
              <w:top w:val="single" w:sz="4" w:space="0" w:color="auto"/>
              <w:bottom w:val="single" w:sz="2" w:space="0" w:color="auto"/>
            </w:tcBorders>
            <w:shd w:val="clear" w:color="auto" w:fill="auto"/>
            <w:noWrap/>
            <w:vAlign w:val="center"/>
          </w:tcPr>
          <w:p w14:paraId="26EDEEEC" w14:textId="492F0492"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114</w:t>
            </w:r>
          </w:p>
        </w:tc>
        <w:tc>
          <w:tcPr>
            <w:tcW w:w="851" w:type="dxa"/>
            <w:tcBorders>
              <w:top w:val="single" w:sz="4" w:space="0" w:color="auto"/>
              <w:bottom w:val="single" w:sz="2" w:space="0" w:color="auto"/>
            </w:tcBorders>
            <w:shd w:val="clear" w:color="auto" w:fill="auto"/>
            <w:noWrap/>
            <w:vAlign w:val="center"/>
          </w:tcPr>
          <w:p w14:paraId="10F3A2DD" w14:textId="58FD2C43"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86</w:t>
            </w:r>
          </w:p>
        </w:tc>
        <w:tc>
          <w:tcPr>
            <w:tcW w:w="992" w:type="dxa"/>
            <w:tcBorders>
              <w:top w:val="single" w:sz="4" w:space="0" w:color="auto"/>
              <w:bottom w:val="single" w:sz="2" w:space="0" w:color="auto"/>
            </w:tcBorders>
            <w:shd w:val="clear" w:color="auto" w:fill="auto"/>
            <w:noWrap/>
            <w:vAlign w:val="center"/>
          </w:tcPr>
          <w:p w14:paraId="6DBBA491" w14:textId="46146193"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4.349.098 </w:t>
            </w:r>
          </w:p>
        </w:tc>
        <w:tc>
          <w:tcPr>
            <w:tcW w:w="986" w:type="dxa"/>
            <w:tcBorders>
              <w:top w:val="single" w:sz="4" w:space="0" w:color="auto"/>
              <w:bottom w:val="single" w:sz="2" w:space="0" w:color="auto"/>
            </w:tcBorders>
            <w:shd w:val="clear" w:color="auto" w:fill="auto"/>
            <w:noWrap/>
            <w:vAlign w:val="center"/>
          </w:tcPr>
          <w:p w14:paraId="52A535ED" w14:textId="15BEED01"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2.159.814 </w:t>
            </w:r>
          </w:p>
        </w:tc>
        <w:tc>
          <w:tcPr>
            <w:tcW w:w="747" w:type="dxa"/>
            <w:gridSpan w:val="2"/>
            <w:tcBorders>
              <w:top w:val="single" w:sz="4" w:space="0" w:color="auto"/>
              <w:bottom w:val="single" w:sz="2" w:space="0" w:color="auto"/>
            </w:tcBorders>
            <w:shd w:val="clear" w:color="auto" w:fill="auto"/>
            <w:noWrap/>
            <w:vAlign w:val="center"/>
          </w:tcPr>
          <w:p w14:paraId="2712AAA1" w14:textId="141DC7F5"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5</w:t>
            </w:r>
          </w:p>
        </w:tc>
        <w:tc>
          <w:tcPr>
            <w:tcW w:w="506" w:type="dxa"/>
            <w:tcBorders>
              <w:top w:val="single" w:sz="4" w:space="0" w:color="auto"/>
              <w:bottom w:val="single" w:sz="2" w:space="0" w:color="auto"/>
              <w:right w:val="nil"/>
            </w:tcBorders>
            <w:shd w:val="clear" w:color="auto" w:fill="auto"/>
            <w:noWrap/>
            <w:vAlign w:val="center"/>
          </w:tcPr>
          <w:p w14:paraId="12289AB0" w14:textId="390B1A45"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5</w:t>
            </w:r>
          </w:p>
        </w:tc>
      </w:tr>
      <w:tr w:rsidR="00A655FB" w:rsidRPr="00033257" w14:paraId="61F1681A" w14:textId="77777777" w:rsidTr="0004039F">
        <w:trPr>
          <w:trHeight w:val="227"/>
        </w:trPr>
        <w:tc>
          <w:tcPr>
            <w:tcW w:w="3686" w:type="dxa"/>
            <w:tcBorders>
              <w:top w:val="single" w:sz="2" w:space="0" w:color="auto"/>
              <w:left w:val="nil"/>
              <w:bottom w:val="single" w:sz="2" w:space="0" w:color="auto"/>
            </w:tcBorders>
            <w:shd w:val="clear" w:color="auto" w:fill="auto"/>
            <w:noWrap/>
            <w:vAlign w:val="center"/>
            <w:hideMark/>
          </w:tcPr>
          <w:p w14:paraId="6806B5EB" w14:textId="77777777" w:rsidR="00A655FB" w:rsidRPr="00033257" w:rsidRDefault="00A655FB" w:rsidP="00A655FB">
            <w:pPr>
              <w:pStyle w:val="cuatexto"/>
              <w:spacing w:line="240" w:lineRule="auto"/>
              <w:rPr>
                <w:color w:val="000000" w:themeColor="text1"/>
                <w:szCs w:val="20"/>
              </w:rPr>
            </w:pPr>
            <w:r>
              <w:rPr>
                <w:color w:val="000000" w:themeColor="text1"/>
              </w:rPr>
              <w:t>Langileak</w:t>
            </w:r>
          </w:p>
        </w:tc>
        <w:tc>
          <w:tcPr>
            <w:tcW w:w="850" w:type="dxa"/>
            <w:tcBorders>
              <w:top w:val="single" w:sz="2" w:space="0" w:color="auto"/>
              <w:bottom w:val="single" w:sz="2" w:space="0" w:color="auto"/>
            </w:tcBorders>
            <w:shd w:val="clear" w:color="auto" w:fill="auto"/>
            <w:noWrap/>
            <w:vAlign w:val="center"/>
          </w:tcPr>
          <w:p w14:paraId="647DDE32" w14:textId="2BCF20B8"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56</w:t>
            </w:r>
          </w:p>
        </w:tc>
        <w:tc>
          <w:tcPr>
            <w:tcW w:w="851" w:type="dxa"/>
            <w:tcBorders>
              <w:top w:val="single" w:sz="2" w:space="0" w:color="auto"/>
              <w:bottom w:val="single" w:sz="2" w:space="0" w:color="auto"/>
            </w:tcBorders>
            <w:shd w:val="clear" w:color="auto" w:fill="auto"/>
            <w:noWrap/>
            <w:vAlign w:val="center"/>
          </w:tcPr>
          <w:p w14:paraId="4BC21E99" w14:textId="0397F2D7"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17</w:t>
            </w:r>
          </w:p>
        </w:tc>
        <w:tc>
          <w:tcPr>
            <w:tcW w:w="992" w:type="dxa"/>
            <w:tcBorders>
              <w:top w:val="single" w:sz="2" w:space="0" w:color="auto"/>
              <w:bottom w:val="single" w:sz="2" w:space="0" w:color="auto"/>
            </w:tcBorders>
            <w:shd w:val="clear" w:color="auto" w:fill="auto"/>
            <w:noWrap/>
            <w:vAlign w:val="center"/>
          </w:tcPr>
          <w:p w14:paraId="711CA5C7" w14:textId="16F01328"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305.658 </w:t>
            </w:r>
          </w:p>
        </w:tc>
        <w:tc>
          <w:tcPr>
            <w:tcW w:w="986" w:type="dxa"/>
            <w:tcBorders>
              <w:top w:val="single" w:sz="2" w:space="0" w:color="auto"/>
              <w:bottom w:val="single" w:sz="2" w:space="0" w:color="auto"/>
            </w:tcBorders>
            <w:shd w:val="clear" w:color="auto" w:fill="auto"/>
            <w:noWrap/>
            <w:vAlign w:val="center"/>
          </w:tcPr>
          <w:p w14:paraId="7310A718" w14:textId="5896EEF1"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14.226 </w:t>
            </w:r>
          </w:p>
        </w:tc>
        <w:tc>
          <w:tcPr>
            <w:tcW w:w="747" w:type="dxa"/>
            <w:gridSpan w:val="2"/>
            <w:tcBorders>
              <w:top w:val="single" w:sz="2" w:space="0" w:color="auto"/>
              <w:bottom w:val="single" w:sz="2" w:space="0" w:color="auto"/>
            </w:tcBorders>
            <w:shd w:val="clear" w:color="auto" w:fill="auto"/>
            <w:noWrap/>
            <w:vAlign w:val="center"/>
          </w:tcPr>
          <w:p w14:paraId="60E741D2" w14:textId="558CB5C7"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9</w:t>
            </w:r>
          </w:p>
        </w:tc>
        <w:tc>
          <w:tcPr>
            <w:tcW w:w="506" w:type="dxa"/>
            <w:tcBorders>
              <w:top w:val="single" w:sz="2" w:space="0" w:color="auto"/>
              <w:bottom w:val="single" w:sz="2" w:space="0" w:color="auto"/>
              <w:right w:val="nil"/>
            </w:tcBorders>
            <w:shd w:val="clear" w:color="auto" w:fill="auto"/>
            <w:noWrap/>
            <w:vAlign w:val="center"/>
          </w:tcPr>
          <w:p w14:paraId="22D50A1B" w14:textId="79FBA899"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4</w:t>
            </w:r>
          </w:p>
        </w:tc>
      </w:tr>
      <w:tr w:rsidR="00A655FB" w:rsidRPr="00033257" w14:paraId="03553AF1" w14:textId="77777777" w:rsidTr="0004039F">
        <w:trPr>
          <w:trHeight w:val="227"/>
        </w:trPr>
        <w:tc>
          <w:tcPr>
            <w:tcW w:w="3686" w:type="dxa"/>
            <w:tcBorders>
              <w:top w:val="single" w:sz="2" w:space="0" w:color="auto"/>
              <w:left w:val="nil"/>
              <w:bottom w:val="single" w:sz="2" w:space="0" w:color="auto"/>
            </w:tcBorders>
            <w:shd w:val="clear" w:color="auto" w:fill="auto"/>
            <w:noWrap/>
            <w:vAlign w:val="center"/>
            <w:hideMark/>
          </w:tcPr>
          <w:p w14:paraId="0533936D" w14:textId="77777777" w:rsidR="00A655FB" w:rsidRPr="00033257" w:rsidRDefault="00A655FB" w:rsidP="00A655FB">
            <w:pPr>
              <w:pStyle w:val="cuatexto"/>
              <w:spacing w:line="240" w:lineRule="auto"/>
              <w:rPr>
                <w:color w:val="000000" w:themeColor="text1"/>
                <w:szCs w:val="20"/>
              </w:rPr>
            </w:pPr>
            <w:r>
              <w:rPr>
                <w:color w:val="000000" w:themeColor="text1"/>
              </w:rPr>
              <w:t>Dirulaguntzak</w:t>
            </w:r>
          </w:p>
        </w:tc>
        <w:tc>
          <w:tcPr>
            <w:tcW w:w="850" w:type="dxa"/>
            <w:tcBorders>
              <w:top w:val="single" w:sz="2" w:space="0" w:color="auto"/>
              <w:bottom w:val="single" w:sz="2" w:space="0" w:color="auto"/>
            </w:tcBorders>
            <w:shd w:val="clear" w:color="auto" w:fill="auto"/>
            <w:noWrap/>
            <w:vAlign w:val="center"/>
          </w:tcPr>
          <w:p w14:paraId="26AB783E" w14:textId="4426F7DA"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13</w:t>
            </w:r>
          </w:p>
        </w:tc>
        <w:tc>
          <w:tcPr>
            <w:tcW w:w="851" w:type="dxa"/>
            <w:tcBorders>
              <w:top w:val="single" w:sz="2" w:space="0" w:color="auto"/>
              <w:bottom w:val="single" w:sz="2" w:space="0" w:color="auto"/>
            </w:tcBorders>
            <w:shd w:val="clear" w:color="auto" w:fill="auto"/>
            <w:noWrap/>
            <w:vAlign w:val="center"/>
          </w:tcPr>
          <w:p w14:paraId="1B30AC7B" w14:textId="774BD62D"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10</w:t>
            </w:r>
          </w:p>
        </w:tc>
        <w:tc>
          <w:tcPr>
            <w:tcW w:w="992" w:type="dxa"/>
            <w:tcBorders>
              <w:top w:val="single" w:sz="2" w:space="0" w:color="auto"/>
              <w:bottom w:val="single" w:sz="2" w:space="0" w:color="auto"/>
            </w:tcBorders>
            <w:shd w:val="clear" w:color="auto" w:fill="auto"/>
            <w:noWrap/>
            <w:vAlign w:val="center"/>
          </w:tcPr>
          <w:p w14:paraId="3555A8E0" w14:textId="131B9557"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388.049 </w:t>
            </w:r>
          </w:p>
        </w:tc>
        <w:tc>
          <w:tcPr>
            <w:tcW w:w="986" w:type="dxa"/>
            <w:tcBorders>
              <w:top w:val="single" w:sz="2" w:space="0" w:color="auto"/>
              <w:bottom w:val="single" w:sz="2" w:space="0" w:color="auto"/>
            </w:tcBorders>
            <w:shd w:val="clear" w:color="auto" w:fill="auto"/>
            <w:noWrap/>
            <w:vAlign w:val="center"/>
          </w:tcPr>
          <w:p w14:paraId="323C6A13" w14:textId="31597A81"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29.610 </w:t>
            </w:r>
          </w:p>
        </w:tc>
        <w:tc>
          <w:tcPr>
            <w:tcW w:w="747" w:type="dxa"/>
            <w:gridSpan w:val="2"/>
            <w:tcBorders>
              <w:top w:val="single" w:sz="2" w:space="0" w:color="auto"/>
              <w:bottom w:val="single" w:sz="2" w:space="0" w:color="auto"/>
            </w:tcBorders>
            <w:shd w:val="clear" w:color="auto" w:fill="auto"/>
            <w:noWrap/>
            <w:vAlign w:val="center"/>
          </w:tcPr>
          <w:p w14:paraId="52BE266E" w14:textId="122680D7"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w:t>
            </w:r>
          </w:p>
        </w:tc>
        <w:tc>
          <w:tcPr>
            <w:tcW w:w="506" w:type="dxa"/>
            <w:tcBorders>
              <w:top w:val="single" w:sz="2" w:space="0" w:color="auto"/>
              <w:bottom w:val="single" w:sz="2" w:space="0" w:color="auto"/>
              <w:right w:val="nil"/>
            </w:tcBorders>
            <w:shd w:val="clear" w:color="auto" w:fill="auto"/>
            <w:noWrap/>
            <w:vAlign w:val="center"/>
          </w:tcPr>
          <w:p w14:paraId="63D52765" w14:textId="467FE620"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3</w:t>
            </w:r>
          </w:p>
        </w:tc>
      </w:tr>
      <w:tr w:rsidR="00A655FB" w:rsidRPr="00033257" w14:paraId="57405DC7" w14:textId="77777777" w:rsidTr="0004039F">
        <w:trPr>
          <w:trHeight w:val="227"/>
        </w:trPr>
        <w:tc>
          <w:tcPr>
            <w:tcW w:w="3686" w:type="dxa"/>
            <w:tcBorders>
              <w:top w:val="single" w:sz="2" w:space="0" w:color="auto"/>
              <w:left w:val="nil"/>
              <w:bottom w:val="single" w:sz="4" w:space="0" w:color="auto"/>
            </w:tcBorders>
            <w:shd w:val="clear" w:color="auto" w:fill="auto"/>
            <w:noWrap/>
            <w:vAlign w:val="center"/>
            <w:hideMark/>
          </w:tcPr>
          <w:p w14:paraId="77C2DC94" w14:textId="77777777" w:rsidR="00A655FB" w:rsidRPr="00033257" w:rsidRDefault="00A655FB" w:rsidP="00A655FB">
            <w:pPr>
              <w:pStyle w:val="cuatexto"/>
              <w:spacing w:line="240" w:lineRule="auto"/>
              <w:rPr>
                <w:szCs w:val="20"/>
              </w:rPr>
            </w:pPr>
            <w:r>
              <w:t>Ez da aipatu</w:t>
            </w:r>
          </w:p>
        </w:tc>
        <w:tc>
          <w:tcPr>
            <w:tcW w:w="850" w:type="dxa"/>
            <w:tcBorders>
              <w:top w:val="single" w:sz="2" w:space="0" w:color="auto"/>
              <w:bottom w:val="single" w:sz="4" w:space="0" w:color="auto"/>
            </w:tcBorders>
            <w:shd w:val="clear" w:color="auto" w:fill="auto"/>
            <w:noWrap/>
            <w:vAlign w:val="center"/>
          </w:tcPr>
          <w:p w14:paraId="09952058" w14:textId="25FF4B33"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5</w:t>
            </w:r>
          </w:p>
        </w:tc>
        <w:tc>
          <w:tcPr>
            <w:tcW w:w="851" w:type="dxa"/>
            <w:tcBorders>
              <w:top w:val="single" w:sz="2" w:space="0" w:color="auto"/>
              <w:bottom w:val="single" w:sz="4" w:space="0" w:color="auto"/>
            </w:tcBorders>
            <w:shd w:val="clear" w:color="auto" w:fill="auto"/>
            <w:noWrap/>
            <w:vAlign w:val="center"/>
          </w:tcPr>
          <w:p w14:paraId="39067CDA" w14:textId="336485C4"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14</w:t>
            </w:r>
          </w:p>
        </w:tc>
        <w:tc>
          <w:tcPr>
            <w:tcW w:w="992" w:type="dxa"/>
            <w:tcBorders>
              <w:top w:val="single" w:sz="2" w:space="0" w:color="auto"/>
              <w:bottom w:val="single" w:sz="4" w:space="0" w:color="auto"/>
            </w:tcBorders>
            <w:shd w:val="clear" w:color="auto" w:fill="auto"/>
            <w:noWrap/>
            <w:vAlign w:val="center"/>
          </w:tcPr>
          <w:p w14:paraId="48F08977" w14:textId="243CD9BD"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16.661 </w:t>
            </w:r>
          </w:p>
        </w:tc>
        <w:tc>
          <w:tcPr>
            <w:tcW w:w="986" w:type="dxa"/>
            <w:tcBorders>
              <w:top w:val="single" w:sz="2" w:space="0" w:color="auto"/>
              <w:bottom w:val="single" w:sz="4" w:space="0" w:color="auto"/>
            </w:tcBorders>
            <w:shd w:val="clear" w:color="auto" w:fill="auto"/>
            <w:noWrap/>
            <w:vAlign w:val="center"/>
          </w:tcPr>
          <w:p w14:paraId="4ED68501" w14:textId="50BD705E"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11.520 </w:t>
            </w:r>
          </w:p>
        </w:tc>
        <w:tc>
          <w:tcPr>
            <w:tcW w:w="747" w:type="dxa"/>
            <w:gridSpan w:val="2"/>
            <w:tcBorders>
              <w:top w:val="single" w:sz="2" w:space="0" w:color="auto"/>
              <w:bottom w:val="single" w:sz="4" w:space="0" w:color="auto"/>
            </w:tcBorders>
            <w:shd w:val="clear" w:color="auto" w:fill="auto"/>
            <w:noWrap/>
            <w:vAlign w:val="center"/>
          </w:tcPr>
          <w:p w14:paraId="16B94AFC" w14:textId="6A298102"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w:t>
            </w:r>
          </w:p>
        </w:tc>
        <w:tc>
          <w:tcPr>
            <w:tcW w:w="506" w:type="dxa"/>
            <w:tcBorders>
              <w:top w:val="single" w:sz="2" w:space="0" w:color="auto"/>
              <w:bottom w:val="single" w:sz="4" w:space="0" w:color="auto"/>
              <w:right w:val="nil"/>
            </w:tcBorders>
            <w:shd w:val="clear" w:color="auto" w:fill="auto"/>
            <w:noWrap/>
            <w:vAlign w:val="center"/>
          </w:tcPr>
          <w:p w14:paraId="5D7E744C" w14:textId="33AC2CDF"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11</w:t>
            </w:r>
          </w:p>
        </w:tc>
      </w:tr>
      <w:tr w:rsidR="00A655FB" w:rsidRPr="009059A2" w14:paraId="43F419A8" w14:textId="77777777" w:rsidTr="0004039F">
        <w:trPr>
          <w:trHeight w:val="227"/>
        </w:trPr>
        <w:tc>
          <w:tcPr>
            <w:tcW w:w="3686" w:type="dxa"/>
            <w:tcBorders>
              <w:top w:val="single" w:sz="4" w:space="0" w:color="auto"/>
              <w:left w:val="nil"/>
              <w:bottom w:val="single" w:sz="4" w:space="0" w:color="auto"/>
            </w:tcBorders>
            <w:shd w:val="clear" w:color="auto" w:fill="FABF8F" w:themeFill="accent6" w:themeFillTint="99"/>
            <w:noWrap/>
            <w:vAlign w:val="center"/>
            <w:hideMark/>
          </w:tcPr>
          <w:p w14:paraId="5B5A70C9" w14:textId="77777777" w:rsidR="00A655FB" w:rsidRPr="009059A2" w:rsidRDefault="00A655FB" w:rsidP="00A655FB">
            <w:pPr>
              <w:pStyle w:val="cuadroCabe"/>
              <w:spacing w:line="240" w:lineRule="auto"/>
              <w:rPr>
                <w:rFonts w:cs="Arial"/>
                <w:sz w:val="16"/>
                <w:szCs w:val="16"/>
              </w:rPr>
            </w:pPr>
            <w:r>
              <w:rPr>
                <w:sz w:val="16"/>
              </w:rPr>
              <w:t>Guztira</w:t>
            </w:r>
          </w:p>
        </w:tc>
        <w:tc>
          <w:tcPr>
            <w:tcW w:w="850" w:type="dxa"/>
            <w:tcBorders>
              <w:top w:val="single" w:sz="4" w:space="0" w:color="auto"/>
              <w:bottom w:val="single" w:sz="4" w:space="0" w:color="auto"/>
            </w:tcBorders>
            <w:shd w:val="clear" w:color="auto" w:fill="FABF8F" w:themeFill="accent6" w:themeFillTint="99"/>
            <w:noWrap/>
            <w:vAlign w:val="center"/>
          </w:tcPr>
          <w:p w14:paraId="37A5B286" w14:textId="4DF4B7AC"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188</w:t>
            </w:r>
          </w:p>
        </w:tc>
        <w:tc>
          <w:tcPr>
            <w:tcW w:w="851" w:type="dxa"/>
            <w:tcBorders>
              <w:top w:val="single" w:sz="4" w:space="0" w:color="auto"/>
              <w:bottom w:val="single" w:sz="4" w:space="0" w:color="auto"/>
            </w:tcBorders>
            <w:shd w:val="clear" w:color="auto" w:fill="FABF8F" w:themeFill="accent6" w:themeFillTint="99"/>
            <w:noWrap/>
            <w:vAlign w:val="center"/>
          </w:tcPr>
          <w:p w14:paraId="6ABEA0E9" w14:textId="326C8F23"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127</w:t>
            </w:r>
          </w:p>
        </w:tc>
        <w:tc>
          <w:tcPr>
            <w:tcW w:w="992" w:type="dxa"/>
            <w:tcBorders>
              <w:top w:val="single" w:sz="4" w:space="0" w:color="auto"/>
              <w:bottom w:val="single" w:sz="4" w:space="0" w:color="auto"/>
            </w:tcBorders>
            <w:shd w:val="clear" w:color="auto" w:fill="FABF8F" w:themeFill="accent6" w:themeFillTint="99"/>
            <w:noWrap/>
            <w:vAlign w:val="center"/>
          </w:tcPr>
          <w:p w14:paraId="2E2FE981" w14:textId="4D79E4CD"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 xml:space="preserve"> 5.059.465 </w:t>
            </w:r>
          </w:p>
        </w:tc>
        <w:tc>
          <w:tcPr>
            <w:tcW w:w="986" w:type="dxa"/>
            <w:tcBorders>
              <w:top w:val="single" w:sz="4" w:space="0" w:color="auto"/>
              <w:bottom w:val="single" w:sz="4" w:space="0" w:color="auto"/>
            </w:tcBorders>
            <w:shd w:val="clear" w:color="auto" w:fill="FABF8F" w:themeFill="accent6" w:themeFillTint="99"/>
            <w:noWrap/>
            <w:vAlign w:val="center"/>
          </w:tcPr>
          <w:p w14:paraId="7F1DD20D" w14:textId="0E8CA742"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 xml:space="preserve"> 2.215.170 </w:t>
            </w:r>
          </w:p>
        </w:tc>
        <w:tc>
          <w:tcPr>
            <w:tcW w:w="747" w:type="dxa"/>
            <w:gridSpan w:val="2"/>
            <w:tcBorders>
              <w:top w:val="single" w:sz="4" w:space="0" w:color="auto"/>
              <w:bottom w:val="single" w:sz="4" w:space="0" w:color="auto"/>
            </w:tcBorders>
            <w:shd w:val="clear" w:color="auto" w:fill="FABF8F" w:themeFill="accent6" w:themeFillTint="99"/>
            <w:noWrap/>
            <w:vAlign w:val="center"/>
          </w:tcPr>
          <w:p w14:paraId="361034E9" w14:textId="55471FD0"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16</w:t>
            </w:r>
          </w:p>
        </w:tc>
        <w:tc>
          <w:tcPr>
            <w:tcW w:w="506" w:type="dxa"/>
            <w:tcBorders>
              <w:top w:val="single" w:sz="4" w:space="0" w:color="auto"/>
              <w:bottom w:val="single" w:sz="4" w:space="0" w:color="auto"/>
              <w:right w:val="nil"/>
            </w:tcBorders>
            <w:shd w:val="clear" w:color="auto" w:fill="FABF8F" w:themeFill="accent6" w:themeFillTint="99"/>
            <w:noWrap/>
            <w:vAlign w:val="center"/>
          </w:tcPr>
          <w:p w14:paraId="26CA8F9C" w14:textId="6F423948"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23</w:t>
            </w:r>
          </w:p>
        </w:tc>
      </w:tr>
    </w:tbl>
    <w:p w14:paraId="24E6E29F" w14:textId="21B1BB81" w:rsidR="00A655FB" w:rsidRDefault="00A655FB" w:rsidP="00EC4C05">
      <w:pPr>
        <w:tabs>
          <w:tab w:val="left" w:pos="1630"/>
          <w:tab w:val="left" w:pos="2480"/>
          <w:tab w:val="left" w:pos="3189"/>
          <w:tab w:val="left" w:pos="4039"/>
          <w:tab w:val="left" w:pos="4748"/>
          <w:tab w:val="left" w:pos="5740"/>
          <w:tab w:val="left" w:pos="6733"/>
          <w:tab w:val="left" w:pos="7725"/>
        </w:tabs>
        <w:spacing w:after="0"/>
        <w:ind w:left="68" w:firstLine="215"/>
        <w:rPr>
          <w:rFonts w:cs="Arial"/>
          <w:color w:val="000000" w:themeColor="text1"/>
          <w:spacing w:val="6"/>
          <w:sz w:val="26"/>
          <w:szCs w:val="24"/>
          <w:lang w:val="es-ES"/>
        </w:rPr>
      </w:pPr>
    </w:p>
    <w:tbl>
      <w:tblPr>
        <w:tblW w:w="859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686"/>
        <w:gridCol w:w="850"/>
        <w:gridCol w:w="782"/>
        <w:gridCol w:w="995"/>
        <w:gridCol w:w="1058"/>
        <w:gridCol w:w="720"/>
        <w:gridCol w:w="505"/>
      </w:tblGrid>
      <w:tr w:rsidR="00A655FB" w:rsidRPr="009059A2" w14:paraId="48865A7D" w14:textId="77777777" w:rsidTr="005605A0">
        <w:trPr>
          <w:trHeight w:val="227"/>
          <w:jc w:val="center"/>
        </w:trPr>
        <w:tc>
          <w:tcPr>
            <w:tcW w:w="3686" w:type="dxa"/>
            <w:vMerge w:val="restart"/>
            <w:shd w:val="clear" w:color="auto" w:fill="FABF8F" w:themeFill="accent6" w:themeFillTint="99"/>
            <w:noWrap/>
            <w:vAlign w:val="center"/>
            <w:hideMark/>
          </w:tcPr>
          <w:p w14:paraId="38D1467D" w14:textId="77777777" w:rsidR="00A655FB" w:rsidRPr="009059A2" w:rsidRDefault="00A655FB" w:rsidP="005605A0">
            <w:pPr>
              <w:pStyle w:val="cuadroCabe"/>
              <w:spacing w:line="240" w:lineRule="auto"/>
              <w:rPr>
                <w:rFonts w:cs="Arial"/>
                <w:color w:val="000000" w:themeColor="text1"/>
                <w:sz w:val="16"/>
                <w:szCs w:val="16"/>
              </w:rPr>
            </w:pPr>
            <w:r>
              <w:rPr>
                <w:color w:val="000000" w:themeColor="text1"/>
                <w:sz w:val="16"/>
              </w:rPr>
              <w:t>Arau-haustea/erag. oh. arrazoia</w:t>
            </w:r>
          </w:p>
        </w:tc>
        <w:tc>
          <w:tcPr>
            <w:tcW w:w="1632" w:type="dxa"/>
            <w:gridSpan w:val="2"/>
            <w:shd w:val="clear" w:color="auto" w:fill="FABF8F" w:themeFill="accent6" w:themeFillTint="99"/>
            <w:vAlign w:val="center"/>
            <w:hideMark/>
          </w:tcPr>
          <w:p w14:paraId="4F89FCCE" w14:textId="77777777" w:rsidR="00A655FB" w:rsidRPr="009059A2" w:rsidRDefault="00A655FB" w:rsidP="005605A0">
            <w:pPr>
              <w:pStyle w:val="cuadroCabe"/>
              <w:spacing w:line="240" w:lineRule="auto"/>
              <w:jc w:val="right"/>
              <w:rPr>
                <w:rFonts w:cs="Arial"/>
                <w:sz w:val="16"/>
                <w:szCs w:val="16"/>
              </w:rPr>
            </w:pPr>
            <w:r>
              <w:rPr>
                <w:sz w:val="16"/>
              </w:rPr>
              <w:t>Eragozpen-oharren kop.</w:t>
            </w:r>
          </w:p>
        </w:tc>
        <w:tc>
          <w:tcPr>
            <w:tcW w:w="2053" w:type="dxa"/>
            <w:gridSpan w:val="2"/>
            <w:shd w:val="clear" w:color="auto" w:fill="FABF8F" w:themeFill="accent6" w:themeFillTint="99"/>
            <w:vAlign w:val="center"/>
            <w:hideMark/>
          </w:tcPr>
          <w:p w14:paraId="7BB44B0A" w14:textId="77777777" w:rsidR="00A655FB" w:rsidRPr="009059A2" w:rsidRDefault="00A655FB" w:rsidP="005605A0">
            <w:pPr>
              <w:pStyle w:val="cuadroCabe"/>
              <w:spacing w:line="240" w:lineRule="auto"/>
              <w:jc w:val="right"/>
              <w:rPr>
                <w:rFonts w:cs="Arial"/>
                <w:sz w:val="16"/>
                <w:szCs w:val="16"/>
              </w:rPr>
            </w:pPr>
            <w:r>
              <w:rPr>
                <w:sz w:val="16"/>
              </w:rPr>
              <w:t>Zenbatekoa (euroak)</w:t>
            </w:r>
          </w:p>
        </w:tc>
        <w:tc>
          <w:tcPr>
            <w:tcW w:w="1225" w:type="dxa"/>
            <w:gridSpan w:val="2"/>
            <w:shd w:val="clear" w:color="auto" w:fill="FABF8F" w:themeFill="accent6" w:themeFillTint="99"/>
            <w:vAlign w:val="center"/>
            <w:hideMark/>
          </w:tcPr>
          <w:p w14:paraId="4EAFC787" w14:textId="77777777" w:rsidR="00A655FB" w:rsidRPr="009059A2" w:rsidRDefault="00A655FB" w:rsidP="005605A0">
            <w:pPr>
              <w:pStyle w:val="cuadroCabe"/>
              <w:spacing w:line="240" w:lineRule="auto"/>
              <w:jc w:val="right"/>
              <w:rPr>
                <w:rFonts w:cs="Arial"/>
                <w:sz w:val="16"/>
                <w:szCs w:val="16"/>
              </w:rPr>
            </w:pPr>
            <w:r>
              <w:rPr>
                <w:sz w:val="16"/>
              </w:rPr>
              <w:t>Zenbatekorik gabe</w:t>
            </w:r>
          </w:p>
        </w:tc>
      </w:tr>
      <w:tr w:rsidR="00A655FB" w:rsidRPr="009059A2" w14:paraId="48317051" w14:textId="77777777" w:rsidTr="0004039F">
        <w:trPr>
          <w:trHeight w:val="227"/>
          <w:jc w:val="center"/>
        </w:trPr>
        <w:tc>
          <w:tcPr>
            <w:tcW w:w="3686" w:type="dxa"/>
            <w:vMerge/>
            <w:shd w:val="clear" w:color="auto" w:fill="FABF8F" w:themeFill="accent6" w:themeFillTint="99"/>
            <w:vAlign w:val="center"/>
            <w:hideMark/>
          </w:tcPr>
          <w:p w14:paraId="654A3C15" w14:textId="77777777" w:rsidR="00A655FB" w:rsidRPr="009059A2" w:rsidRDefault="00A655FB" w:rsidP="00A655FB">
            <w:pPr>
              <w:pStyle w:val="cuadroCabe"/>
              <w:spacing w:line="240" w:lineRule="auto"/>
              <w:rPr>
                <w:rFonts w:cs="Arial"/>
                <w:color w:val="000000" w:themeColor="text1"/>
                <w:sz w:val="16"/>
                <w:szCs w:val="16"/>
                <w:lang w:val="es-ES" w:eastAsia="es-ES"/>
              </w:rPr>
            </w:pPr>
          </w:p>
        </w:tc>
        <w:tc>
          <w:tcPr>
            <w:tcW w:w="850" w:type="dxa"/>
            <w:shd w:val="clear" w:color="auto" w:fill="FABF8F" w:themeFill="accent6" w:themeFillTint="99"/>
            <w:noWrap/>
            <w:vAlign w:val="center"/>
          </w:tcPr>
          <w:p w14:paraId="6BEFE730" w14:textId="2ECC61A5"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2020</w:t>
            </w:r>
          </w:p>
        </w:tc>
        <w:tc>
          <w:tcPr>
            <w:tcW w:w="782" w:type="dxa"/>
            <w:shd w:val="clear" w:color="auto" w:fill="FABF8F" w:themeFill="accent6" w:themeFillTint="99"/>
            <w:noWrap/>
            <w:vAlign w:val="center"/>
          </w:tcPr>
          <w:p w14:paraId="6D851C6A" w14:textId="312FA10E"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2021</w:t>
            </w:r>
          </w:p>
        </w:tc>
        <w:tc>
          <w:tcPr>
            <w:tcW w:w="995" w:type="dxa"/>
            <w:shd w:val="clear" w:color="auto" w:fill="FABF8F" w:themeFill="accent6" w:themeFillTint="99"/>
            <w:noWrap/>
            <w:vAlign w:val="center"/>
          </w:tcPr>
          <w:p w14:paraId="269FF1A4" w14:textId="39F21039"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2020</w:t>
            </w:r>
          </w:p>
        </w:tc>
        <w:tc>
          <w:tcPr>
            <w:tcW w:w="1058" w:type="dxa"/>
            <w:shd w:val="clear" w:color="auto" w:fill="FABF8F" w:themeFill="accent6" w:themeFillTint="99"/>
            <w:noWrap/>
            <w:vAlign w:val="center"/>
          </w:tcPr>
          <w:p w14:paraId="6105E00A" w14:textId="54C648B1"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2021</w:t>
            </w:r>
          </w:p>
        </w:tc>
        <w:tc>
          <w:tcPr>
            <w:tcW w:w="720" w:type="dxa"/>
            <w:shd w:val="clear" w:color="auto" w:fill="FABF8F" w:themeFill="accent6" w:themeFillTint="99"/>
            <w:noWrap/>
            <w:vAlign w:val="center"/>
          </w:tcPr>
          <w:p w14:paraId="3970DA11" w14:textId="66321527"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2020</w:t>
            </w:r>
          </w:p>
        </w:tc>
        <w:tc>
          <w:tcPr>
            <w:tcW w:w="505" w:type="dxa"/>
            <w:shd w:val="clear" w:color="auto" w:fill="FABF8F" w:themeFill="accent6" w:themeFillTint="99"/>
            <w:noWrap/>
            <w:vAlign w:val="center"/>
          </w:tcPr>
          <w:p w14:paraId="396A905F" w14:textId="3B92DCD7"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2021</w:t>
            </w:r>
          </w:p>
        </w:tc>
      </w:tr>
      <w:tr w:rsidR="00A655FB" w:rsidRPr="00033257" w14:paraId="27058D24" w14:textId="77777777" w:rsidTr="0004039F">
        <w:trPr>
          <w:trHeight w:val="227"/>
          <w:jc w:val="center"/>
        </w:trPr>
        <w:tc>
          <w:tcPr>
            <w:tcW w:w="3686" w:type="dxa"/>
            <w:tcBorders>
              <w:bottom w:val="single" w:sz="2" w:space="0" w:color="auto"/>
            </w:tcBorders>
            <w:shd w:val="clear" w:color="auto" w:fill="auto"/>
            <w:noWrap/>
            <w:vAlign w:val="center"/>
            <w:hideMark/>
          </w:tcPr>
          <w:p w14:paraId="2BAEAB2B" w14:textId="77777777" w:rsidR="00A655FB" w:rsidRPr="00033257" w:rsidRDefault="00A655FB" w:rsidP="00A655FB">
            <w:pPr>
              <w:spacing w:after="0"/>
              <w:ind w:firstLine="0"/>
              <w:jc w:val="left"/>
              <w:rPr>
                <w:rFonts w:ascii="Arial Narrow" w:hAnsi="Arial Narrow"/>
                <w:color w:val="000000"/>
              </w:rPr>
            </w:pPr>
            <w:r>
              <w:rPr>
                <w:rFonts w:ascii="Arial Narrow" w:hAnsi="Arial Narrow"/>
                <w:color w:val="000000"/>
              </w:rPr>
              <w:t>Kreditu nahikorik eza</w:t>
            </w:r>
          </w:p>
        </w:tc>
        <w:tc>
          <w:tcPr>
            <w:tcW w:w="850" w:type="dxa"/>
            <w:tcBorders>
              <w:bottom w:val="single" w:sz="2" w:space="0" w:color="auto"/>
            </w:tcBorders>
            <w:shd w:val="clear" w:color="auto" w:fill="auto"/>
            <w:noWrap/>
            <w:vAlign w:val="center"/>
          </w:tcPr>
          <w:p w14:paraId="66E95EFE" w14:textId="71CABA60"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29</w:t>
            </w:r>
          </w:p>
        </w:tc>
        <w:tc>
          <w:tcPr>
            <w:tcW w:w="782" w:type="dxa"/>
            <w:tcBorders>
              <w:bottom w:val="single" w:sz="2" w:space="0" w:color="auto"/>
            </w:tcBorders>
            <w:shd w:val="clear" w:color="auto" w:fill="auto"/>
            <w:noWrap/>
            <w:vAlign w:val="center"/>
          </w:tcPr>
          <w:p w14:paraId="21EE3654" w14:textId="0B4259E6"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37</w:t>
            </w:r>
          </w:p>
        </w:tc>
        <w:tc>
          <w:tcPr>
            <w:tcW w:w="995" w:type="dxa"/>
            <w:tcBorders>
              <w:bottom w:val="single" w:sz="2" w:space="0" w:color="auto"/>
            </w:tcBorders>
            <w:shd w:val="clear" w:color="auto" w:fill="auto"/>
            <w:noWrap/>
            <w:vAlign w:val="center"/>
          </w:tcPr>
          <w:p w14:paraId="4AA6F840" w14:textId="16651D2C"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1.257.933 </w:t>
            </w:r>
          </w:p>
        </w:tc>
        <w:tc>
          <w:tcPr>
            <w:tcW w:w="1058" w:type="dxa"/>
            <w:tcBorders>
              <w:bottom w:val="single" w:sz="2" w:space="0" w:color="auto"/>
            </w:tcBorders>
            <w:shd w:val="clear" w:color="auto" w:fill="auto"/>
            <w:noWrap/>
            <w:vAlign w:val="center"/>
          </w:tcPr>
          <w:p w14:paraId="028E90E3" w14:textId="55DF9181"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142.687 </w:t>
            </w:r>
          </w:p>
        </w:tc>
        <w:tc>
          <w:tcPr>
            <w:tcW w:w="720" w:type="dxa"/>
            <w:tcBorders>
              <w:bottom w:val="single" w:sz="2" w:space="0" w:color="auto"/>
            </w:tcBorders>
            <w:shd w:val="clear" w:color="auto" w:fill="auto"/>
            <w:noWrap/>
            <w:vAlign w:val="center"/>
          </w:tcPr>
          <w:p w14:paraId="3258FB94" w14:textId="2A6263A5"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4</w:t>
            </w:r>
          </w:p>
        </w:tc>
        <w:tc>
          <w:tcPr>
            <w:tcW w:w="505" w:type="dxa"/>
            <w:tcBorders>
              <w:bottom w:val="single" w:sz="2" w:space="0" w:color="auto"/>
            </w:tcBorders>
            <w:shd w:val="clear" w:color="auto" w:fill="auto"/>
            <w:noWrap/>
            <w:vAlign w:val="center"/>
          </w:tcPr>
          <w:p w14:paraId="1AB82F91" w14:textId="0C2F048B"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11</w:t>
            </w:r>
          </w:p>
        </w:tc>
      </w:tr>
      <w:tr w:rsidR="00A655FB" w:rsidRPr="00033257" w14:paraId="771B6579"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1B047226" w14:textId="77777777" w:rsidR="00A655FB" w:rsidRPr="00033257" w:rsidRDefault="00A655FB" w:rsidP="00A655FB">
            <w:pPr>
              <w:spacing w:after="0"/>
              <w:ind w:firstLine="0"/>
              <w:jc w:val="left"/>
              <w:rPr>
                <w:rFonts w:ascii="Arial Narrow" w:hAnsi="Arial Narrow"/>
                <w:color w:val="000000"/>
              </w:rPr>
            </w:pPr>
            <w:r>
              <w:rPr>
                <w:rFonts w:ascii="Arial Narrow" w:hAnsi="Arial Narrow"/>
                <w:color w:val="000000"/>
              </w:rPr>
              <w:t>Kreditu ezegokia</w:t>
            </w:r>
          </w:p>
        </w:tc>
        <w:tc>
          <w:tcPr>
            <w:tcW w:w="850" w:type="dxa"/>
            <w:tcBorders>
              <w:top w:val="single" w:sz="2" w:space="0" w:color="auto"/>
              <w:bottom w:val="single" w:sz="2" w:space="0" w:color="auto"/>
            </w:tcBorders>
            <w:shd w:val="clear" w:color="auto" w:fill="auto"/>
            <w:noWrap/>
            <w:vAlign w:val="center"/>
          </w:tcPr>
          <w:p w14:paraId="149BEE01" w14:textId="095CE100"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8</w:t>
            </w:r>
          </w:p>
        </w:tc>
        <w:tc>
          <w:tcPr>
            <w:tcW w:w="782" w:type="dxa"/>
            <w:tcBorders>
              <w:top w:val="single" w:sz="2" w:space="0" w:color="auto"/>
              <w:bottom w:val="single" w:sz="2" w:space="0" w:color="auto"/>
            </w:tcBorders>
            <w:shd w:val="clear" w:color="auto" w:fill="auto"/>
            <w:noWrap/>
            <w:vAlign w:val="center"/>
          </w:tcPr>
          <w:p w14:paraId="3D0659CE" w14:textId="0B7F8ECB"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w:t>
            </w:r>
          </w:p>
        </w:tc>
        <w:tc>
          <w:tcPr>
            <w:tcW w:w="995" w:type="dxa"/>
            <w:tcBorders>
              <w:top w:val="single" w:sz="2" w:space="0" w:color="auto"/>
              <w:bottom w:val="single" w:sz="2" w:space="0" w:color="auto"/>
            </w:tcBorders>
            <w:shd w:val="clear" w:color="auto" w:fill="auto"/>
            <w:noWrap/>
            <w:vAlign w:val="center"/>
          </w:tcPr>
          <w:p w14:paraId="37B00B94" w14:textId="401CD8E2"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162.910 </w:t>
            </w:r>
          </w:p>
        </w:tc>
        <w:tc>
          <w:tcPr>
            <w:tcW w:w="1058" w:type="dxa"/>
            <w:tcBorders>
              <w:top w:val="single" w:sz="2" w:space="0" w:color="auto"/>
              <w:bottom w:val="single" w:sz="2" w:space="0" w:color="auto"/>
            </w:tcBorders>
            <w:shd w:val="clear" w:color="auto" w:fill="auto"/>
            <w:noWrap/>
            <w:vAlign w:val="center"/>
          </w:tcPr>
          <w:p w14:paraId="77B8FB23" w14:textId="7CDDEE95"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47.825 </w:t>
            </w:r>
          </w:p>
        </w:tc>
        <w:tc>
          <w:tcPr>
            <w:tcW w:w="720" w:type="dxa"/>
            <w:tcBorders>
              <w:top w:val="single" w:sz="2" w:space="0" w:color="auto"/>
              <w:bottom w:val="single" w:sz="2" w:space="0" w:color="auto"/>
            </w:tcBorders>
            <w:shd w:val="clear" w:color="auto" w:fill="auto"/>
            <w:noWrap/>
            <w:vAlign w:val="center"/>
          </w:tcPr>
          <w:p w14:paraId="0E876DC5" w14:textId="1B9568B1"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c>
          <w:tcPr>
            <w:tcW w:w="505" w:type="dxa"/>
            <w:tcBorders>
              <w:top w:val="single" w:sz="2" w:space="0" w:color="auto"/>
              <w:bottom w:val="single" w:sz="2" w:space="0" w:color="auto"/>
            </w:tcBorders>
            <w:shd w:val="clear" w:color="auto" w:fill="auto"/>
            <w:noWrap/>
            <w:vAlign w:val="center"/>
          </w:tcPr>
          <w:p w14:paraId="7C8AE260" w14:textId="02CE0A36"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r>
      <w:tr w:rsidR="00A655FB" w:rsidRPr="00033257" w14:paraId="38FD8EBF"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7110C2AC" w14:textId="77777777" w:rsidR="00A655FB" w:rsidRPr="00033257" w:rsidRDefault="00A655FB" w:rsidP="00A655FB">
            <w:pPr>
              <w:spacing w:after="0"/>
              <w:ind w:firstLine="0"/>
              <w:jc w:val="left"/>
              <w:rPr>
                <w:rFonts w:ascii="Arial Narrow" w:hAnsi="Arial Narrow"/>
                <w:color w:val="000000"/>
              </w:rPr>
            </w:pPr>
            <w:r>
              <w:rPr>
                <w:rFonts w:ascii="Arial Narrow" w:hAnsi="Arial Narrow"/>
                <w:color w:val="000000"/>
              </w:rPr>
              <w:t>Fiskalizaziorik eza</w:t>
            </w:r>
          </w:p>
        </w:tc>
        <w:tc>
          <w:tcPr>
            <w:tcW w:w="850" w:type="dxa"/>
            <w:tcBorders>
              <w:top w:val="single" w:sz="2" w:space="0" w:color="auto"/>
              <w:bottom w:val="single" w:sz="2" w:space="0" w:color="auto"/>
            </w:tcBorders>
            <w:shd w:val="clear" w:color="auto" w:fill="auto"/>
            <w:noWrap/>
            <w:vAlign w:val="center"/>
          </w:tcPr>
          <w:p w14:paraId="2B093A18" w14:textId="4B3074AC"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7</w:t>
            </w:r>
          </w:p>
        </w:tc>
        <w:tc>
          <w:tcPr>
            <w:tcW w:w="782" w:type="dxa"/>
            <w:tcBorders>
              <w:top w:val="single" w:sz="2" w:space="0" w:color="auto"/>
              <w:bottom w:val="single" w:sz="2" w:space="0" w:color="auto"/>
            </w:tcBorders>
            <w:shd w:val="clear" w:color="auto" w:fill="auto"/>
            <w:noWrap/>
            <w:vAlign w:val="center"/>
          </w:tcPr>
          <w:p w14:paraId="1C067D11" w14:textId="3795CB1A"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4</w:t>
            </w:r>
          </w:p>
        </w:tc>
        <w:tc>
          <w:tcPr>
            <w:tcW w:w="995" w:type="dxa"/>
            <w:tcBorders>
              <w:top w:val="single" w:sz="2" w:space="0" w:color="auto"/>
              <w:bottom w:val="single" w:sz="2" w:space="0" w:color="auto"/>
            </w:tcBorders>
            <w:shd w:val="clear" w:color="auto" w:fill="auto"/>
            <w:noWrap/>
            <w:vAlign w:val="center"/>
          </w:tcPr>
          <w:p w14:paraId="3FF8C08E" w14:textId="2DB91CE9"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11.983 </w:t>
            </w:r>
          </w:p>
        </w:tc>
        <w:tc>
          <w:tcPr>
            <w:tcW w:w="1058" w:type="dxa"/>
            <w:tcBorders>
              <w:top w:val="single" w:sz="2" w:space="0" w:color="auto"/>
              <w:bottom w:val="single" w:sz="2" w:space="0" w:color="auto"/>
            </w:tcBorders>
            <w:shd w:val="clear" w:color="auto" w:fill="auto"/>
            <w:noWrap/>
            <w:vAlign w:val="center"/>
          </w:tcPr>
          <w:p w14:paraId="44FFD716" w14:textId="6916B978"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25.524 </w:t>
            </w:r>
          </w:p>
        </w:tc>
        <w:tc>
          <w:tcPr>
            <w:tcW w:w="720" w:type="dxa"/>
            <w:tcBorders>
              <w:top w:val="single" w:sz="2" w:space="0" w:color="auto"/>
              <w:bottom w:val="single" w:sz="2" w:space="0" w:color="auto"/>
            </w:tcBorders>
            <w:shd w:val="clear" w:color="auto" w:fill="auto"/>
            <w:noWrap/>
            <w:vAlign w:val="center"/>
          </w:tcPr>
          <w:p w14:paraId="25EB361E" w14:textId="4DDE072C"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4</w:t>
            </w:r>
          </w:p>
        </w:tc>
        <w:tc>
          <w:tcPr>
            <w:tcW w:w="505" w:type="dxa"/>
            <w:tcBorders>
              <w:top w:val="single" w:sz="2" w:space="0" w:color="auto"/>
              <w:bottom w:val="single" w:sz="2" w:space="0" w:color="auto"/>
            </w:tcBorders>
            <w:shd w:val="clear" w:color="auto" w:fill="auto"/>
            <w:noWrap/>
            <w:vAlign w:val="center"/>
          </w:tcPr>
          <w:p w14:paraId="4B87EF8B" w14:textId="356A788F"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w:t>
            </w:r>
          </w:p>
        </w:tc>
      </w:tr>
      <w:tr w:rsidR="00A655FB" w:rsidRPr="00033257" w14:paraId="1B0CF9CE"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725A1AC3" w14:textId="77777777" w:rsidR="00A655FB" w:rsidRPr="00033257" w:rsidRDefault="00A655FB" w:rsidP="00A655FB">
            <w:pPr>
              <w:spacing w:after="0"/>
              <w:ind w:firstLine="0"/>
              <w:jc w:val="left"/>
              <w:rPr>
                <w:rFonts w:ascii="Arial Narrow" w:hAnsi="Arial Narrow"/>
                <w:color w:val="000000"/>
              </w:rPr>
            </w:pPr>
            <w:r>
              <w:rPr>
                <w:rFonts w:ascii="Arial Narrow" w:hAnsi="Arial Narrow"/>
                <w:color w:val="000000"/>
              </w:rPr>
              <w:t>Egiaztagirietan irregulartasunak egotea</w:t>
            </w:r>
          </w:p>
        </w:tc>
        <w:tc>
          <w:tcPr>
            <w:tcW w:w="850" w:type="dxa"/>
            <w:tcBorders>
              <w:top w:val="single" w:sz="2" w:space="0" w:color="auto"/>
              <w:bottom w:val="single" w:sz="2" w:space="0" w:color="auto"/>
            </w:tcBorders>
            <w:shd w:val="clear" w:color="auto" w:fill="auto"/>
            <w:noWrap/>
            <w:vAlign w:val="center"/>
          </w:tcPr>
          <w:p w14:paraId="05C1A1D4" w14:textId="1CF8C2C1"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5</w:t>
            </w:r>
          </w:p>
        </w:tc>
        <w:tc>
          <w:tcPr>
            <w:tcW w:w="782" w:type="dxa"/>
            <w:tcBorders>
              <w:top w:val="single" w:sz="2" w:space="0" w:color="auto"/>
              <w:bottom w:val="single" w:sz="2" w:space="0" w:color="auto"/>
            </w:tcBorders>
            <w:shd w:val="clear" w:color="auto" w:fill="auto"/>
            <w:noWrap/>
            <w:vAlign w:val="center"/>
          </w:tcPr>
          <w:p w14:paraId="706A0693" w14:textId="089D779F"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6</w:t>
            </w:r>
          </w:p>
        </w:tc>
        <w:tc>
          <w:tcPr>
            <w:tcW w:w="995" w:type="dxa"/>
            <w:tcBorders>
              <w:top w:val="single" w:sz="2" w:space="0" w:color="auto"/>
              <w:bottom w:val="single" w:sz="2" w:space="0" w:color="auto"/>
            </w:tcBorders>
            <w:shd w:val="clear" w:color="auto" w:fill="auto"/>
            <w:noWrap/>
            <w:vAlign w:val="center"/>
          </w:tcPr>
          <w:p w14:paraId="2E8B16F6" w14:textId="3196E313"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73.000 </w:t>
            </w:r>
          </w:p>
        </w:tc>
        <w:tc>
          <w:tcPr>
            <w:tcW w:w="1058" w:type="dxa"/>
            <w:tcBorders>
              <w:top w:val="single" w:sz="2" w:space="0" w:color="auto"/>
              <w:bottom w:val="single" w:sz="2" w:space="0" w:color="auto"/>
            </w:tcBorders>
            <w:shd w:val="clear" w:color="auto" w:fill="auto"/>
            <w:noWrap/>
            <w:vAlign w:val="center"/>
          </w:tcPr>
          <w:p w14:paraId="28FCA207" w14:textId="27D62DCD"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29.170 </w:t>
            </w:r>
          </w:p>
        </w:tc>
        <w:tc>
          <w:tcPr>
            <w:tcW w:w="720" w:type="dxa"/>
            <w:tcBorders>
              <w:top w:val="single" w:sz="2" w:space="0" w:color="auto"/>
              <w:bottom w:val="single" w:sz="2" w:space="0" w:color="auto"/>
            </w:tcBorders>
            <w:shd w:val="clear" w:color="auto" w:fill="auto"/>
            <w:noWrap/>
            <w:vAlign w:val="center"/>
          </w:tcPr>
          <w:p w14:paraId="7EE0A508" w14:textId="59C5F7A7"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c>
          <w:tcPr>
            <w:tcW w:w="505" w:type="dxa"/>
            <w:tcBorders>
              <w:top w:val="single" w:sz="2" w:space="0" w:color="auto"/>
              <w:bottom w:val="single" w:sz="2" w:space="0" w:color="auto"/>
            </w:tcBorders>
            <w:shd w:val="clear" w:color="auto" w:fill="auto"/>
            <w:noWrap/>
            <w:vAlign w:val="center"/>
          </w:tcPr>
          <w:p w14:paraId="0B28107B" w14:textId="509FCF9B"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2</w:t>
            </w:r>
          </w:p>
        </w:tc>
      </w:tr>
      <w:tr w:rsidR="00A655FB" w:rsidRPr="00033257" w14:paraId="39C63797"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5BD81360" w14:textId="77777777" w:rsidR="00A655FB" w:rsidRPr="00033257" w:rsidRDefault="00A655FB" w:rsidP="00A655FB">
            <w:pPr>
              <w:spacing w:after="0"/>
              <w:ind w:firstLine="0"/>
              <w:jc w:val="left"/>
              <w:rPr>
                <w:rFonts w:ascii="Arial Narrow" w:hAnsi="Arial Narrow"/>
                <w:color w:val="000000"/>
              </w:rPr>
            </w:pPr>
            <w:r>
              <w:rPr>
                <w:rFonts w:ascii="Arial Narrow" w:hAnsi="Arial Narrow"/>
                <w:color w:val="000000"/>
              </w:rPr>
              <w:t>Funtsezko betekizun edo izapiderik ez</w:t>
            </w:r>
          </w:p>
        </w:tc>
        <w:tc>
          <w:tcPr>
            <w:tcW w:w="850" w:type="dxa"/>
            <w:tcBorders>
              <w:top w:val="single" w:sz="2" w:space="0" w:color="auto"/>
              <w:bottom w:val="single" w:sz="2" w:space="0" w:color="auto"/>
            </w:tcBorders>
            <w:shd w:val="clear" w:color="auto" w:fill="auto"/>
            <w:noWrap/>
            <w:vAlign w:val="center"/>
          </w:tcPr>
          <w:p w14:paraId="0B6C24EB" w14:textId="0E54188B"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122</w:t>
            </w:r>
          </w:p>
        </w:tc>
        <w:tc>
          <w:tcPr>
            <w:tcW w:w="782" w:type="dxa"/>
            <w:tcBorders>
              <w:top w:val="single" w:sz="2" w:space="0" w:color="auto"/>
              <w:bottom w:val="single" w:sz="2" w:space="0" w:color="auto"/>
            </w:tcBorders>
            <w:shd w:val="clear" w:color="auto" w:fill="auto"/>
            <w:noWrap/>
            <w:vAlign w:val="center"/>
          </w:tcPr>
          <w:p w14:paraId="4ED0F315" w14:textId="1C02B3B4"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61</w:t>
            </w:r>
          </w:p>
        </w:tc>
        <w:tc>
          <w:tcPr>
            <w:tcW w:w="995" w:type="dxa"/>
            <w:tcBorders>
              <w:top w:val="single" w:sz="2" w:space="0" w:color="auto"/>
              <w:bottom w:val="single" w:sz="2" w:space="0" w:color="auto"/>
            </w:tcBorders>
            <w:shd w:val="clear" w:color="auto" w:fill="auto"/>
            <w:noWrap/>
            <w:vAlign w:val="center"/>
          </w:tcPr>
          <w:p w14:paraId="410A50CF" w14:textId="04920DDF"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3.201.997 </w:t>
            </w:r>
          </w:p>
        </w:tc>
        <w:tc>
          <w:tcPr>
            <w:tcW w:w="1058" w:type="dxa"/>
            <w:tcBorders>
              <w:top w:val="single" w:sz="2" w:space="0" w:color="auto"/>
              <w:bottom w:val="single" w:sz="2" w:space="0" w:color="auto"/>
            </w:tcBorders>
            <w:shd w:val="clear" w:color="auto" w:fill="auto"/>
            <w:noWrap/>
            <w:vAlign w:val="center"/>
          </w:tcPr>
          <w:p w14:paraId="43CAE96B" w14:textId="5EA7D8F4"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1.892.310 </w:t>
            </w:r>
          </w:p>
        </w:tc>
        <w:tc>
          <w:tcPr>
            <w:tcW w:w="720" w:type="dxa"/>
            <w:tcBorders>
              <w:top w:val="single" w:sz="2" w:space="0" w:color="auto"/>
              <w:bottom w:val="single" w:sz="2" w:space="0" w:color="auto"/>
            </w:tcBorders>
            <w:shd w:val="clear" w:color="auto" w:fill="auto"/>
            <w:noWrap/>
            <w:vAlign w:val="center"/>
          </w:tcPr>
          <w:p w14:paraId="5A698E01" w14:textId="1ABAA540"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5</w:t>
            </w:r>
          </w:p>
        </w:tc>
        <w:tc>
          <w:tcPr>
            <w:tcW w:w="505" w:type="dxa"/>
            <w:tcBorders>
              <w:top w:val="single" w:sz="2" w:space="0" w:color="auto"/>
              <w:bottom w:val="single" w:sz="2" w:space="0" w:color="auto"/>
            </w:tcBorders>
            <w:shd w:val="clear" w:color="auto" w:fill="auto"/>
            <w:noWrap/>
            <w:vAlign w:val="center"/>
          </w:tcPr>
          <w:p w14:paraId="1E7997EE" w14:textId="1DEC4CFF"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3</w:t>
            </w:r>
          </w:p>
        </w:tc>
      </w:tr>
      <w:tr w:rsidR="00A655FB" w:rsidRPr="00033257" w14:paraId="35EB799C"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044F6331" w14:textId="77777777" w:rsidR="00A655FB" w:rsidRPr="00033257" w:rsidRDefault="00A655FB" w:rsidP="00A655FB">
            <w:pPr>
              <w:spacing w:after="0"/>
              <w:ind w:firstLine="0"/>
              <w:jc w:val="left"/>
              <w:rPr>
                <w:rFonts w:ascii="Arial Narrow" w:hAnsi="Arial Narrow"/>
                <w:color w:val="000000"/>
              </w:rPr>
            </w:pPr>
            <w:r>
              <w:rPr>
                <w:rFonts w:ascii="Arial Narrow" w:hAnsi="Arial Narrow"/>
                <w:color w:val="000000"/>
              </w:rPr>
              <w:t>Obra, hornidura, erosketa eta zerbitzuen egiaztapen materiala</w:t>
            </w:r>
          </w:p>
        </w:tc>
        <w:tc>
          <w:tcPr>
            <w:tcW w:w="850" w:type="dxa"/>
            <w:tcBorders>
              <w:top w:val="single" w:sz="2" w:space="0" w:color="auto"/>
              <w:bottom w:val="single" w:sz="2" w:space="0" w:color="auto"/>
            </w:tcBorders>
            <w:shd w:val="clear" w:color="auto" w:fill="auto"/>
            <w:noWrap/>
            <w:vAlign w:val="center"/>
          </w:tcPr>
          <w:p w14:paraId="749CFF47" w14:textId="4B3E4956"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2</w:t>
            </w:r>
          </w:p>
        </w:tc>
        <w:tc>
          <w:tcPr>
            <w:tcW w:w="782" w:type="dxa"/>
            <w:tcBorders>
              <w:top w:val="single" w:sz="2" w:space="0" w:color="auto"/>
              <w:bottom w:val="single" w:sz="2" w:space="0" w:color="auto"/>
            </w:tcBorders>
            <w:shd w:val="clear" w:color="auto" w:fill="auto"/>
            <w:noWrap/>
            <w:vAlign w:val="center"/>
          </w:tcPr>
          <w:p w14:paraId="45FA34A3" w14:textId="2EB4C8EC"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c>
          <w:tcPr>
            <w:tcW w:w="995" w:type="dxa"/>
            <w:tcBorders>
              <w:top w:val="single" w:sz="2" w:space="0" w:color="auto"/>
              <w:bottom w:val="single" w:sz="2" w:space="0" w:color="auto"/>
            </w:tcBorders>
            <w:shd w:val="clear" w:color="auto" w:fill="auto"/>
            <w:noWrap/>
            <w:vAlign w:val="center"/>
          </w:tcPr>
          <w:p w14:paraId="2AC23625" w14:textId="722ADFCD"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6.476 </w:t>
            </w:r>
          </w:p>
        </w:tc>
        <w:tc>
          <w:tcPr>
            <w:tcW w:w="1058" w:type="dxa"/>
            <w:tcBorders>
              <w:top w:val="single" w:sz="2" w:space="0" w:color="auto"/>
              <w:bottom w:val="single" w:sz="2" w:space="0" w:color="auto"/>
            </w:tcBorders>
            <w:shd w:val="clear" w:color="auto" w:fill="auto"/>
            <w:noWrap/>
            <w:vAlign w:val="center"/>
          </w:tcPr>
          <w:p w14:paraId="77A3F69D" w14:textId="683AED6B"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 </w:t>
            </w:r>
          </w:p>
        </w:tc>
        <w:tc>
          <w:tcPr>
            <w:tcW w:w="720" w:type="dxa"/>
            <w:tcBorders>
              <w:top w:val="single" w:sz="2" w:space="0" w:color="auto"/>
              <w:bottom w:val="single" w:sz="2" w:space="0" w:color="auto"/>
            </w:tcBorders>
            <w:shd w:val="clear" w:color="auto" w:fill="auto"/>
            <w:noWrap/>
            <w:vAlign w:val="center"/>
          </w:tcPr>
          <w:p w14:paraId="6838E8AF" w14:textId="05624B17"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c>
          <w:tcPr>
            <w:tcW w:w="505" w:type="dxa"/>
            <w:tcBorders>
              <w:top w:val="single" w:sz="2" w:space="0" w:color="auto"/>
              <w:bottom w:val="single" w:sz="2" w:space="0" w:color="auto"/>
            </w:tcBorders>
            <w:shd w:val="clear" w:color="auto" w:fill="auto"/>
            <w:noWrap/>
            <w:vAlign w:val="center"/>
          </w:tcPr>
          <w:p w14:paraId="6A4360F5" w14:textId="0D528464"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r>
      <w:tr w:rsidR="00A655FB" w:rsidRPr="00033257" w14:paraId="03E0029E" w14:textId="77777777" w:rsidTr="005605A0">
        <w:trPr>
          <w:trHeight w:val="227"/>
          <w:jc w:val="center"/>
        </w:trPr>
        <w:tc>
          <w:tcPr>
            <w:tcW w:w="3686" w:type="dxa"/>
            <w:tcBorders>
              <w:top w:val="single" w:sz="2" w:space="0" w:color="auto"/>
              <w:bottom w:val="single" w:sz="2" w:space="0" w:color="auto"/>
            </w:tcBorders>
            <w:shd w:val="clear" w:color="auto" w:fill="auto"/>
            <w:noWrap/>
            <w:vAlign w:val="center"/>
          </w:tcPr>
          <w:p w14:paraId="25A53103" w14:textId="77777777" w:rsidR="00A655FB" w:rsidRPr="00033257" w:rsidRDefault="00A655FB" w:rsidP="00A655FB">
            <w:pPr>
              <w:spacing w:after="0"/>
              <w:ind w:firstLine="0"/>
              <w:jc w:val="left"/>
              <w:rPr>
                <w:rFonts w:ascii="Arial Narrow" w:hAnsi="Arial Narrow"/>
                <w:color w:val="000000"/>
              </w:rPr>
            </w:pPr>
            <w:r>
              <w:rPr>
                <w:rFonts w:ascii="Arial Narrow" w:hAnsi="Arial Narrow"/>
                <w:color w:val="000000"/>
              </w:rPr>
              <w:t>Ordenamendu juridikoaren aurkako beste ekintza batzuk</w:t>
            </w:r>
          </w:p>
        </w:tc>
        <w:tc>
          <w:tcPr>
            <w:tcW w:w="850" w:type="dxa"/>
            <w:tcBorders>
              <w:top w:val="single" w:sz="2" w:space="0" w:color="auto"/>
              <w:bottom w:val="single" w:sz="2" w:space="0" w:color="auto"/>
            </w:tcBorders>
            <w:shd w:val="clear" w:color="auto" w:fill="auto"/>
            <w:noWrap/>
            <w:vAlign w:val="center"/>
          </w:tcPr>
          <w:p w14:paraId="4D5603AD" w14:textId="2F9054F7"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9</w:t>
            </w:r>
          </w:p>
        </w:tc>
        <w:tc>
          <w:tcPr>
            <w:tcW w:w="782" w:type="dxa"/>
            <w:tcBorders>
              <w:top w:val="single" w:sz="2" w:space="0" w:color="auto"/>
              <w:bottom w:val="single" w:sz="2" w:space="0" w:color="auto"/>
            </w:tcBorders>
            <w:shd w:val="clear" w:color="auto" w:fill="auto"/>
            <w:noWrap/>
            <w:vAlign w:val="center"/>
          </w:tcPr>
          <w:p w14:paraId="77D7D78A" w14:textId="688CD8FA"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18</w:t>
            </w:r>
          </w:p>
        </w:tc>
        <w:tc>
          <w:tcPr>
            <w:tcW w:w="995" w:type="dxa"/>
            <w:tcBorders>
              <w:top w:val="single" w:sz="2" w:space="0" w:color="auto"/>
              <w:bottom w:val="single" w:sz="2" w:space="0" w:color="auto"/>
            </w:tcBorders>
            <w:shd w:val="clear" w:color="auto" w:fill="auto"/>
            <w:noWrap/>
            <w:vAlign w:val="center"/>
          </w:tcPr>
          <w:p w14:paraId="2E74C537" w14:textId="71D8B9B9"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29.093 </w:t>
            </w:r>
          </w:p>
        </w:tc>
        <w:tc>
          <w:tcPr>
            <w:tcW w:w="1058" w:type="dxa"/>
            <w:tcBorders>
              <w:top w:val="single" w:sz="2" w:space="0" w:color="auto"/>
              <w:bottom w:val="single" w:sz="2" w:space="0" w:color="auto"/>
            </w:tcBorders>
            <w:shd w:val="clear" w:color="auto" w:fill="auto"/>
            <w:noWrap/>
            <w:vAlign w:val="center"/>
          </w:tcPr>
          <w:p w14:paraId="50BEA107" w14:textId="37B3077A"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77.653 </w:t>
            </w:r>
          </w:p>
        </w:tc>
        <w:tc>
          <w:tcPr>
            <w:tcW w:w="720" w:type="dxa"/>
            <w:tcBorders>
              <w:top w:val="single" w:sz="2" w:space="0" w:color="auto"/>
              <w:bottom w:val="single" w:sz="2" w:space="0" w:color="auto"/>
            </w:tcBorders>
            <w:shd w:val="clear" w:color="auto" w:fill="auto"/>
            <w:noWrap/>
            <w:vAlign w:val="center"/>
          </w:tcPr>
          <w:p w14:paraId="3C345F69" w14:textId="26E765BB"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3</w:t>
            </w:r>
          </w:p>
        </w:tc>
        <w:tc>
          <w:tcPr>
            <w:tcW w:w="505" w:type="dxa"/>
            <w:tcBorders>
              <w:top w:val="single" w:sz="2" w:space="0" w:color="auto"/>
              <w:bottom w:val="single" w:sz="2" w:space="0" w:color="auto"/>
            </w:tcBorders>
            <w:shd w:val="clear" w:color="auto" w:fill="auto"/>
            <w:noWrap/>
            <w:vAlign w:val="center"/>
          </w:tcPr>
          <w:p w14:paraId="403D1F21" w14:textId="31ADBB2F"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6</w:t>
            </w:r>
          </w:p>
        </w:tc>
      </w:tr>
      <w:tr w:rsidR="00A655FB" w:rsidRPr="00033257" w14:paraId="3B04A6B5" w14:textId="77777777" w:rsidTr="00A655FB">
        <w:trPr>
          <w:trHeight w:val="227"/>
          <w:jc w:val="center"/>
        </w:trPr>
        <w:tc>
          <w:tcPr>
            <w:tcW w:w="3686" w:type="dxa"/>
            <w:tcBorders>
              <w:top w:val="single" w:sz="2" w:space="0" w:color="auto"/>
            </w:tcBorders>
            <w:shd w:val="clear" w:color="auto" w:fill="auto"/>
            <w:noWrap/>
            <w:vAlign w:val="center"/>
            <w:hideMark/>
          </w:tcPr>
          <w:p w14:paraId="43D121C5" w14:textId="77777777" w:rsidR="00A655FB" w:rsidRPr="00033257" w:rsidRDefault="00A655FB" w:rsidP="00A655FB">
            <w:pPr>
              <w:spacing w:after="0"/>
              <w:ind w:firstLine="0"/>
              <w:jc w:val="left"/>
              <w:rPr>
                <w:rFonts w:ascii="Arial Narrow" w:hAnsi="Arial Narrow"/>
                <w:color w:val="000000"/>
              </w:rPr>
            </w:pPr>
            <w:r>
              <w:rPr>
                <w:rFonts w:ascii="Arial Narrow" w:hAnsi="Arial Narrow"/>
                <w:color w:val="000000"/>
              </w:rPr>
              <w:t>Gastua onesteko eskumenik gabeko organoa</w:t>
            </w:r>
          </w:p>
        </w:tc>
        <w:tc>
          <w:tcPr>
            <w:tcW w:w="850" w:type="dxa"/>
            <w:tcBorders>
              <w:top w:val="single" w:sz="2" w:space="0" w:color="auto"/>
            </w:tcBorders>
            <w:shd w:val="clear" w:color="auto" w:fill="auto"/>
            <w:noWrap/>
            <w:vAlign w:val="center"/>
          </w:tcPr>
          <w:p w14:paraId="49094926" w14:textId="4F1850B6"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6</w:t>
            </w:r>
          </w:p>
        </w:tc>
        <w:tc>
          <w:tcPr>
            <w:tcW w:w="782" w:type="dxa"/>
            <w:tcBorders>
              <w:top w:val="single" w:sz="2" w:space="0" w:color="auto"/>
            </w:tcBorders>
            <w:shd w:val="clear" w:color="auto" w:fill="auto"/>
            <w:noWrap/>
            <w:vAlign w:val="center"/>
          </w:tcPr>
          <w:p w14:paraId="044814B2" w14:textId="7E6CE774"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c>
          <w:tcPr>
            <w:tcW w:w="995" w:type="dxa"/>
            <w:tcBorders>
              <w:top w:val="single" w:sz="2" w:space="0" w:color="auto"/>
            </w:tcBorders>
            <w:shd w:val="clear" w:color="auto" w:fill="auto"/>
            <w:noWrap/>
            <w:vAlign w:val="center"/>
          </w:tcPr>
          <w:p w14:paraId="5C4E94A1" w14:textId="2259F0F6"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316.074 </w:t>
            </w:r>
          </w:p>
        </w:tc>
        <w:tc>
          <w:tcPr>
            <w:tcW w:w="1058" w:type="dxa"/>
            <w:tcBorders>
              <w:top w:val="single" w:sz="2" w:space="0" w:color="auto"/>
            </w:tcBorders>
            <w:shd w:val="clear" w:color="auto" w:fill="auto"/>
            <w:noWrap/>
            <w:vAlign w:val="center"/>
          </w:tcPr>
          <w:p w14:paraId="4DA8C585" w14:textId="6A32927C"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 xml:space="preserve"> - </w:t>
            </w:r>
          </w:p>
        </w:tc>
        <w:tc>
          <w:tcPr>
            <w:tcW w:w="720" w:type="dxa"/>
            <w:tcBorders>
              <w:top w:val="single" w:sz="2" w:space="0" w:color="auto"/>
            </w:tcBorders>
            <w:shd w:val="clear" w:color="auto" w:fill="auto"/>
            <w:noWrap/>
            <w:vAlign w:val="center"/>
          </w:tcPr>
          <w:p w14:paraId="5EAE61C5" w14:textId="16368F80"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c>
          <w:tcPr>
            <w:tcW w:w="505" w:type="dxa"/>
            <w:tcBorders>
              <w:top w:val="single" w:sz="2" w:space="0" w:color="auto"/>
            </w:tcBorders>
            <w:shd w:val="clear" w:color="auto" w:fill="auto"/>
            <w:noWrap/>
            <w:vAlign w:val="center"/>
          </w:tcPr>
          <w:p w14:paraId="62E9B654" w14:textId="70F2BF28" w:rsidR="00A655FB" w:rsidRPr="00033257" w:rsidRDefault="00A655FB" w:rsidP="00A655FB">
            <w:pPr>
              <w:spacing w:after="0"/>
              <w:ind w:firstLine="0"/>
              <w:jc w:val="right"/>
              <w:rPr>
                <w:rFonts w:ascii="Arial Narrow" w:hAnsi="Arial Narrow"/>
                <w:color w:val="000000"/>
              </w:rPr>
            </w:pPr>
            <w:r>
              <w:rPr>
                <w:rFonts w:ascii="Arial Narrow" w:hAnsi="Arial Narrow"/>
                <w:color w:val="000000"/>
              </w:rPr>
              <w:t>0</w:t>
            </w:r>
          </w:p>
        </w:tc>
      </w:tr>
      <w:tr w:rsidR="00A655FB" w:rsidRPr="009059A2" w14:paraId="5497CFF3" w14:textId="77777777" w:rsidTr="00A655FB">
        <w:trPr>
          <w:trHeight w:val="284"/>
          <w:jc w:val="center"/>
        </w:trPr>
        <w:tc>
          <w:tcPr>
            <w:tcW w:w="3686" w:type="dxa"/>
            <w:shd w:val="clear" w:color="auto" w:fill="FABF8F" w:themeFill="accent6" w:themeFillTint="99"/>
            <w:noWrap/>
            <w:vAlign w:val="center"/>
            <w:hideMark/>
          </w:tcPr>
          <w:p w14:paraId="3C7C40B3" w14:textId="77777777" w:rsidR="00A655FB" w:rsidRPr="009059A2" w:rsidRDefault="00A655FB" w:rsidP="00A655FB">
            <w:pPr>
              <w:spacing w:after="0"/>
              <w:ind w:firstLine="0"/>
              <w:jc w:val="left"/>
              <w:rPr>
                <w:rFonts w:ascii="Arial" w:hAnsi="Arial" w:cs="Arial"/>
                <w:color w:val="000000"/>
                <w:sz w:val="16"/>
                <w:szCs w:val="16"/>
              </w:rPr>
            </w:pPr>
            <w:r>
              <w:rPr>
                <w:rFonts w:ascii="Arial" w:hAnsi="Arial"/>
                <w:color w:val="000000"/>
                <w:sz w:val="16"/>
              </w:rPr>
              <w:t>Guztira</w:t>
            </w:r>
          </w:p>
        </w:tc>
        <w:tc>
          <w:tcPr>
            <w:tcW w:w="850" w:type="dxa"/>
            <w:shd w:val="clear" w:color="auto" w:fill="FABF8F" w:themeFill="accent6" w:themeFillTint="99"/>
            <w:noWrap/>
            <w:vAlign w:val="center"/>
          </w:tcPr>
          <w:p w14:paraId="05CAEFCB" w14:textId="72DD2CCE"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188</w:t>
            </w:r>
          </w:p>
        </w:tc>
        <w:tc>
          <w:tcPr>
            <w:tcW w:w="782" w:type="dxa"/>
            <w:shd w:val="clear" w:color="auto" w:fill="FABF8F" w:themeFill="accent6" w:themeFillTint="99"/>
            <w:noWrap/>
            <w:vAlign w:val="center"/>
          </w:tcPr>
          <w:p w14:paraId="555DED47" w14:textId="32F837EA"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127</w:t>
            </w:r>
          </w:p>
        </w:tc>
        <w:tc>
          <w:tcPr>
            <w:tcW w:w="995" w:type="dxa"/>
            <w:shd w:val="clear" w:color="auto" w:fill="FABF8F" w:themeFill="accent6" w:themeFillTint="99"/>
            <w:noWrap/>
            <w:vAlign w:val="center"/>
          </w:tcPr>
          <w:p w14:paraId="0F648EEB" w14:textId="6F7DBF7E"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 xml:space="preserve"> 5.059.465 </w:t>
            </w:r>
          </w:p>
        </w:tc>
        <w:tc>
          <w:tcPr>
            <w:tcW w:w="1058" w:type="dxa"/>
            <w:shd w:val="clear" w:color="auto" w:fill="FABF8F" w:themeFill="accent6" w:themeFillTint="99"/>
            <w:noWrap/>
            <w:vAlign w:val="center"/>
          </w:tcPr>
          <w:p w14:paraId="1FCB83D9" w14:textId="312A7D9C"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 xml:space="preserve"> 2.215.170 </w:t>
            </w:r>
          </w:p>
        </w:tc>
        <w:tc>
          <w:tcPr>
            <w:tcW w:w="720" w:type="dxa"/>
            <w:shd w:val="clear" w:color="auto" w:fill="FABF8F" w:themeFill="accent6" w:themeFillTint="99"/>
            <w:noWrap/>
            <w:vAlign w:val="center"/>
          </w:tcPr>
          <w:p w14:paraId="5D8DD154" w14:textId="462BEFCD"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16</w:t>
            </w:r>
          </w:p>
        </w:tc>
        <w:tc>
          <w:tcPr>
            <w:tcW w:w="505" w:type="dxa"/>
            <w:shd w:val="clear" w:color="auto" w:fill="FABF8F" w:themeFill="accent6" w:themeFillTint="99"/>
            <w:noWrap/>
            <w:vAlign w:val="center"/>
          </w:tcPr>
          <w:p w14:paraId="24A477E2" w14:textId="2B9C4D81" w:rsidR="00A655FB" w:rsidRPr="009059A2" w:rsidRDefault="00A655FB" w:rsidP="00A655FB">
            <w:pPr>
              <w:spacing w:after="0"/>
              <w:ind w:firstLine="0"/>
              <w:jc w:val="right"/>
              <w:rPr>
                <w:rFonts w:ascii="Arial" w:hAnsi="Arial" w:cs="Arial"/>
                <w:color w:val="000000"/>
                <w:sz w:val="16"/>
                <w:szCs w:val="16"/>
              </w:rPr>
            </w:pPr>
            <w:r>
              <w:rPr>
                <w:rFonts w:ascii="Arial" w:hAnsi="Arial"/>
                <w:color w:val="000000"/>
                <w:sz w:val="16"/>
              </w:rPr>
              <w:t>23</w:t>
            </w:r>
          </w:p>
        </w:tc>
      </w:tr>
    </w:tbl>
    <w:p w14:paraId="3A72F757" w14:textId="0E8EBE77" w:rsidR="00A655FB" w:rsidRDefault="00A655FB" w:rsidP="00EC4C05">
      <w:pPr>
        <w:tabs>
          <w:tab w:val="left" w:pos="1630"/>
          <w:tab w:val="left" w:pos="2480"/>
          <w:tab w:val="left" w:pos="3189"/>
          <w:tab w:val="left" w:pos="4039"/>
          <w:tab w:val="left" w:pos="4748"/>
          <w:tab w:val="left" w:pos="5740"/>
          <w:tab w:val="left" w:pos="6733"/>
          <w:tab w:val="left" w:pos="7725"/>
        </w:tabs>
        <w:spacing w:after="0"/>
        <w:ind w:left="68" w:firstLine="215"/>
        <w:rPr>
          <w:rFonts w:cs="Arial"/>
          <w:color w:val="000000" w:themeColor="text1"/>
          <w:spacing w:val="6"/>
          <w:sz w:val="26"/>
          <w:szCs w:val="24"/>
          <w:lang w:val="es-ES"/>
        </w:rPr>
      </w:pPr>
    </w:p>
    <w:p w14:paraId="1587AC63" w14:textId="5828BD25" w:rsidR="007C6CA5" w:rsidRPr="00033257" w:rsidRDefault="79B4F94C" w:rsidP="007C6CA5">
      <w:pPr>
        <w:tabs>
          <w:tab w:val="left" w:pos="1630"/>
          <w:tab w:val="left" w:pos="2480"/>
          <w:tab w:val="left" w:pos="3189"/>
          <w:tab w:val="left" w:pos="4039"/>
          <w:tab w:val="left" w:pos="4748"/>
          <w:tab w:val="left" w:pos="5740"/>
          <w:tab w:val="left" w:pos="6733"/>
          <w:tab w:val="left" w:pos="7725"/>
        </w:tabs>
        <w:spacing w:after="120"/>
        <w:ind w:left="68" w:firstLine="215"/>
        <w:rPr>
          <w:rFonts w:cs="Arial"/>
          <w:color w:val="000000" w:themeColor="text1"/>
          <w:spacing w:val="6"/>
          <w:sz w:val="26"/>
          <w:szCs w:val="26"/>
        </w:rPr>
      </w:pPr>
      <w:r>
        <w:rPr>
          <w:color w:val="000000" w:themeColor="text1"/>
          <w:sz w:val="26"/>
        </w:rPr>
        <w:t>Kontratazio publikoaren arloan biltzen dira eragozpen oharren ehuneko 68 eta ukitutako zenbatekoaren ehuneko 98. Bestalde, eragozpen oharren arrazoi ohikoenak dira funtsezko betekizunak edo izapideak falta izatea (ehuneko 48) eta aurrekontu-kreditu nahikorik ez egotea (ehuneko 29).</w:t>
      </w:r>
    </w:p>
    <w:p w14:paraId="458B2A1D" w14:textId="77777777" w:rsidR="000E3227" w:rsidRPr="00033257" w:rsidRDefault="000E3227" w:rsidP="00EC4C05">
      <w:pPr>
        <w:tabs>
          <w:tab w:val="left" w:pos="1630"/>
          <w:tab w:val="left" w:pos="2480"/>
          <w:tab w:val="left" w:pos="3189"/>
          <w:tab w:val="left" w:pos="4039"/>
          <w:tab w:val="left" w:pos="4748"/>
          <w:tab w:val="left" w:pos="5740"/>
          <w:tab w:val="left" w:pos="6733"/>
          <w:tab w:val="left" w:pos="7725"/>
        </w:tabs>
        <w:spacing w:after="0"/>
        <w:ind w:left="68" w:firstLine="215"/>
        <w:rPr>
          <w:rFonts w:cs="Arial"/>
          <w:color w:val="000000" w:themeColor="text1"/>
          <w:spacing w:val="6"/>
          <w:sz w:val="26"/>
          <w:szCs w:val="24"/>
        </w:rPr>
      </w:pPr>
      <w:r>
        <w:rPr>
          <w:color w:val="000000" w:themeColor="text1"/>
          <w:sz w:val="26"/>
        </w:rPr>
        <w:t>Hurrengo taulan, azkenik, ukitutako zenbatekoaren arabera sailkatu ditugu 2021eko eragozpen oharrak:</w:t>
      </w:r>
    </w:p>
    <w:p w14:paraId="0C7EE34B" w14:textId="1F8FE806" w:rsidR="000E3227" w:rsidRPr="00033257" w:rsidRDefault="009059A2" w:rsidP="000E3227">
      <w:pPr>
        <w:pStyle w:val="texto"/>
        <w:spacing w:after="40"/>
        <w:jc w:val="right"/>
        <w:rPr>
          <w:rFonts w:ascii="Arial Narrow" w:hAnsi="Arial Narrow"/>
          <w:color w:val="000000" w:themeColor="text1"/>
          <w:sz w:val="18"/>
          <w:szCs w:val="18"/>
        </w:rPr>
      </w:pPr>
      <w:r>
        <w:rPr>
          <w:rFonts w:ascii="Arial Narrow" w:hAnsi="Arial Narrow"/>
          <w:color w:val="000000" w:themeColor="text1"/>
          <w:sz w:val="18"/>
        </w:rPr>
        <w:t>(euroak)</w:t>
      </w:r>
    </w:p>
    <w:tbl>
      <w:tblPr>
        <w:tblW w:w="8804" w:type="dxa"/>
        <w:tblBorders>
          <w:top w:val="single" w:sz="4" w:space="0" w:color="auto"/>
          <w:bottom w:val="single" w:sz="4" w:space="0" w:color="auto"/>
          <w:insideH w:val="single" w:sz="2" w:space="0" w:color="auto"/>
        </w:tblBorders>
        <w:tblLayout w:type="fixed"/>
        <w:tblCellMar>
          <w:left w:w="0" w:type="dxa"/>
          <w:right w:w="0" w:type="dxa"/>
        </w:tblCellMar>
        <w:tblLook w:val="04A0" w:firstRow="1" w:lastRow="0" w:firstColumn="1" w:lastColumn="0" w:noHBand="0" w:noVBand="1"/>
      </w:tblPr>
      <w:tblGrid>
        <w:gridCol w:w="2835"/>
        <w:gridCol w:w="1560"/>
        <w:gridCol w:w="2286"/>
        <w:gridCol w:w="2123"/>
      </w:tblGrid>
      <w:tr w:rsidR="000E3227" w:rsidRPr="009059A2" w14:paraId="0C589713" w14:textId="77777777" w:rsidTr="009059A2">
        <w:trPr>
          <w:trHeight w:val="227"/>
        </w:trPr>
        <w:tc>
          <w:tcPr>
            <w:tcW w:w="2835" w:type="dxa"/>
            <w:shd w:val="clear" w:color="auto" w:fill="FABF8F" w:themeFill="accent6" w:themeFillTint="99"/>
            <w:noWrap/>
            <w:tcMar>
              <w:top w:w="0" w:type="dxa"/>
              <w:left w:w="70" w:type="dxa"/>
              <w:bottom w:w="0" w:type="dxa"/>
              <w:right w:w="70" w:type="dxa"/>
            </w:tcMar>
            <w:vAlign w:val="center"/>
            <w:hideMark/>
          </w:tcPr>
          <w:p w14:paraId="6EFAD506" w14:textId="77777777" w:rsidR="000E3227" w:rsidRPr="009059A2" w:rsidRDefault="000E3227" w:rsidP="009059A2">
            <w:pPr>
              <w:pStyle w:val="cuadroCabe"/>
              <w:spacing w:line="240" w:lineRule="auto"/>
              <w:rPr>
                <w:rFonts w:cs="Arial"/>
                <w:color w:val="000000" w:themeColor="text1"/>
                <w:sz w:val="16"/>
                <w:szCs w:val="16"/>
              </w:rPr>
            </w:pPr>
            <w:r>
              <w:rPr>
                <w:color w:val="000000" w:themeColor="text1"/>
                <w:sz w:val="16"/>
              </w:rPr>
              <w:t>Diru-zenb. tartea</w:t>
            </w:r>
          </w:p>
        </w:tc>
        <w:tc>
          <w:tcPr>
            <w:tcW w:w="1560" w:type="dxa"/>
            <w:shd w:val="clear" w:color="auto" w:fill="FABF8F" w:themeFill="accent6" w:themeFillTint="99"/>
            <w:noWrap/>
            <w:tcMar>
              <w:top w:w="0" w:type="dxa"/>
              <w:left w:w="70" w:type="dxa"/>
              <w:bottom w:w="0" w:type="dxa"/>
              <w:right w:w="70" w:type="dxa"/>
            </w:tcMar>
            <w:vAlign w:val="center"/>
            <w:hideMark/>
          </w:tcPr>
          <w:p w14:paraId="182B0BB2" w14:textId="77777777" w:rsidR="000E3227" w:rsidRPr="009059A2" w:rsidRDefault="000E3227" w:rsidP="009059A2">
            <w:pPr>
              <w:pStyle w:val="cuadroCabe"/>
              <w:spacing w:line="240" w:lineRule="auto"/>
              <w:jc w:val="right"/>
              <w:rPr>
                <w:rFonts w:cs="Arial"/>
                <w:sz w:val="16"/>
                <w:szCs w:val="16"/>
              </w:rPr>
            </w:pPr>
            <w:r>
              <w:rPr>
                <w:sz w:val="16"/>
              </w:rPr>
              <w:t>Erag. oh. kopurua</w:t>
            </w:r>
          </w:p>
        </w:tc>
        <w:tc>
          <w:tcPr>
            <w:tcW w:w="2286" w:type="dxa"/>
            <w:shd w:val="clear" w:color="auto" w:fill="FABF8F" w:themeFill="accent6" w:themeFillTint="99"/>
            <w:noWrap/>
            <w:tcMar>
              <w:top w:w="0" w:type="dxa"/>
              <w:left w:w="70" w:type="dxa"/>
              <w:bottom w:w="0" w:type="dxa"/>
              <w:right w:w="70" w:type="dxa"/>
            </w:tcMar>
            <w:vAlign w:val="center"/>
            <w:hideMark/>
          </w:tcPr>
          <w:p w14:paraId="7BEDF433" w14:textId="77777777" w:rsidR="000E3227" w:rsidRPr="009059A2" w:rsidRDefault="000E3227" w:rsidP="009059A2">
            <w:pPr>
              <w:pStyle w:val="cuadroCabe"/>
              <w:spacing w:line="240" w:lineRule="auto"/>
              <w:jc w:val="right"/>
              <w:rPr>
                <w:rFonts w:cs="Arial"/>
                <w:sz w:val="16"/>
                <w:szCs w:val="16"/>
              </w:rPr>
            </w:pPr>
            <w:r>
              <w:rPr>
                <w:sz w:val="16"/>
              </w:rPr>
              <w:t>Zenbatetsi den dirua, guztira</w:t>
            </w:r>
          </w:p>
        </w:tc>
        <w:tc>
          <w:tcPr>
            <w:tcW w:w="2123" w:type="dxa"/>
            <w:shd w:val="clear" w:color="auto" w:fill="FABF8F" w:themeFill="accent6" w:themeFillTint="99"/>
            <w:noWrap/>
            <w:tcMar>
              <w:top w:w="0" w:type="dxa"/>
              <w:left w:w="70" w:type="dxa"/>
              <w:bottom w:w="0" w:type="dxa"/>
              <w:right w:w="70" w:type="dxa"/>
            </w:tcMar>
            <w:vAlign w:val="center"/>
            <w:hideMark/>
          </w:tcPr>
          <w:p w14:paraId="3C23424A" w14:textId="77777777" w:rsidR="000E3227" w:rsidRPr="009059A2" w:rsidRDefault="000E3227" w:rsidP="009059A2">
            <w:pPr>
              <w:pStyle w:val="cuadroCabe"/>
              <w:spacing w:line="240" w:lineRule="auto"/>
              <w:jc w:val="right"/>
              <w:rPr>
                <w:rFonts w:cs="Arial"/>
                <w:sz w:val="16"/>
                <w:szCs w:val="16"/>
              </w:rPr>
            </w:pPr>
            <w:r>
              <w:rPr>
                <w:sz w:val="16"/>
              </w:rPr>
              <w:t>B.b. zenbatekoa</w:t>
            </w:r>
          </w:p>
        </w:tc>
      </w:tr>
      <w:tr w:rsidR="000E3227" w:rsidRPr="00033257" w14:paraId="7737ADF4" w14:textId="77777777" w:rsidTr="009059A2">
        <w:trPr>
          <w:trHeight w:val="227"/>
        </w:trPr>
        <w:tc>
          <w:tcPr>
            <w:tcW w:w="2835" w:type="dxa"/>
            <w:noWrap/>
            <w:tcMar>
              <w:top w:w="0" w:type="dxa"/>
              <w:left w:w="70" w:type="dxa"/>
              <w:bottom w:w="0" w:type="dxa"/>
              <w:right w:w="70" w:type="dxa"/>
            </w:tcMar>
            <w:vAlign w:val="center"/>
            <w:hideMark/>
          </w:tcPr>
          <w:p w14:paraId="14D46DFC" w14:textId="77777777" w:rsidR="000E3227" w:rsidRPr="00033257" w:rsidRDefault="000E3227" w:rsidP="009059A2">
            <w:pPr>
              <w:pStyle w:val="cuatexto"/>
              <w:spacing w:line="240" w:lineRule="auto"/>
              <w:rPr>
                <w:color w:val="000000" w:themeColor="text1"/>
                <w:szCs w:val="20"/>
              </w:rPr>
            </w:pPr>
            <w:r>
              <w:rPr>
                <w:color w:val="000000" w:themeColor="text1"/>
              </w:rPr>
              <w:t>1.000 euro bitarte</w:t>
            </w:r>
          </w:p>
        </w:tc>
        <w:tc>
          <w:tcPr>
            <w:tcW w:w="1560" w:type="dxa"/>
            <w:noWrap/>
            <w:tcMar>
              <w:top w:w="0" w:type="dxa"/>
              <w:left w:w="70" w:type="dxa"/>
              <w:bottom w:w="0" w:type="dxa"/>
              <w:right w:w="70" w:type="dxa"/>
            </w:tcMar>
            <w:vAlign w:val="center"/>
            <w:hideMark/>
          </w:tcPr>
          <w:p w14:paraId="779B2FCD" w14:textId="77777777" w:rsidR="000E3227" w:rsidRPr="00033257" w:rsidRDefault="000E3227" w:rsidP="009059A2">
            <w:pPr>
              <w:spacing w:after="0"/>
              <w:ind w:firstLine="0"/>
              <w:jc w:val="right"/>
              <w:rPr>
                <w:rFonts w:ascii="Arial Narrow" w:hAnsi="Arial Narrow"/>
                <w:color w:val="000000"/>
              </w:rPr>
            </w:pPr>
            <w:r>
              <w:rPr>
                <w:rFonts w:ascii="Arial Narrow" w:hAnsi="Arial Narrow"/>
                <w:color w:val="000000"/>
              </w:rPr>
              <w:t>18</w:t>
            </w:r>
          </w:p>
        </w:tc>
        <w:tc>
          <w:tcPr>
            <w:tcW w:w="2286" w:type="dxa"/>
            <w:noWrap/>
            <w:tcMar>
              <w:top w:w="0" w:type="dxa"/>
              <w:left w:w="70" w:type="dxa"/>
              <w:bottom w:w="0" w:type="dxa"/>
              <w:right w:w="70" w:type="dxa"/>
            </w:tcMar>
            <w:vAlign w:val="center"/>
            <w:hideMark/>
          </w:tcPr>
          <w:p w14:paraId="526610DE"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6.120 </w:t>
            </w:r>
          </w:p>
        </w:tc>
        <w:tc>
          <w:tcPr>
            <w:tcW w:w="2123" w:type="dxa"/>
            <w:noWrap/>
            <w:tcMar>
              <w:top w:w="0" w:type="dxa"/>
              <w:left w:w="70" w:type="dxa"/>
              <w:bottom w:w="0" w:type="dxa"/>
              <w:right w:w="70" w:type="dxa"/>
            </w:tcMar>
            <w:vAlign w:val="center"/>
            <w:hideMark/>
          </w:tcPr>
          <w:p w14:paraId="61C275EF"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340 </w:t>
            </w:r>
          </w:p>
        </w:tc>
      </w:tr>
      <w:tr w:rsidR="000E3227" w:rsidRPr="00033257" w14:paraId="16AB99FC" w14:textId="77777777" w:rsidTr="009059A2">
        <w:trPr>
          <w:trHeight w:val="227"/>
        </w:trPr>
        <w:tc>
          <w:tcPr>
            <w:tcW w:w="2835" w:type="dxa"/>
            <w:noWrap/>
            <w:tcMar>
              <w:top w:w="0" w:type="dxa"/>
              <w:left w:w="70" w:type="dxa"/>
              <w:bottom w:w="0" w:type="dxa"/>
              <w:right w:w="70" w:type="dxa"/>
            </w:tcMar>
            <w:vAlign w:val="center"/>
            <w:hideMark/>
          </w:tcPr>
          <w:p w14:paraId="778BC1B1" w14:textId="77777777" w:rsidR="000E3227" w:rsidRPr="00033257" w:rsidRDefault="000E3227" w:rsidP="009059A2">
            <w:pPr>
              <w:pStyle w:val="cuatexto"/>
              <w:spacing w:line="240" w:lineRule="auto"/>
              <w:rPr>
                <w:color w:val="000000" w:themeColor="text1"/>
                <w:szCs w:val="20"/>
              </w:rPr>
            </w:pPr>
            <w:r>
              <w:rPr>
                <w:color w:val="000000" w:themeColor="text1"/>
              </w:rPr>
              <w:t>1.001-5.000 euro</w:t>
            </w:r>
          </w:p>
        </w:tc>
        <w:tc>
          <w:tcPr>
            <w:tcW w:w="1560" w:type="dxa"/>
            <w:noWrap/>
            <w:tcMar>
              <w:top w:w="0" w:type="dxa"/>
              <w:left w:w="70" w:type="dxa"/>
              <w:bottom w:w="0" w:type="dxa"/>
              <w:right w:w="70" w:type="dxa"/>
            </w:tcMar>
            <w:vAlign w:val="center"/>
            <w:hideMark/>
          </w:tcPr>
          <w:p w14:paraId="36334656"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26</w:t>
            </w:r>
          </w:p>
        </w:tc>
        <w:tc>
          <w:tcPr>
            <w:tcW w:w="2286" w:type="dxa"/>
            <w:noWrap/>
            <w:tcMar>
              <w:top w:w="0" w:type="dxa"/>
              <w:left w:w="70" w:type="dxa"/>
              <w:bottom w:w="0" w:type="dxa"/>
              <w:right w:w="70" w:type="dxa"/>
            </w:tcMar>
            <w:vAlign w:val="center"/>
            <w:hideMark/>
          </w:tcPr>
          <w:p w14:paraId="0C26AD9C"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62.137 </w:t>
            </w:r>
          </w:p>
        </w:tc>
        <w:tc>
          <w:tcPr>
            <w:tcW w:w="2123" w:type="dxa"/>
            <w:noWrap/>
            <w:tcMar>
              <w:top w:w="0" w:type="dxa"/>
              <w:left w:w="70" w:type="dxa"/>
              <w:bottom w:w="0" w:type="dxa"/>
              <w:right w:w="70" w:type="dxa"/>
            </w:tcMar>
            <w:vAlign w:val="center"/>
            <w:hideMark/>
          </w:tcPr>
          <w:p w14:paraId="04A8752B"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2.390 </w:t>
            </w:r>
          </w:p>
        </w:tc>
      </w:tr>
      <w:tr w:rsidR="000E3227" w:rsidRPr="00033257" w14:paraId="1D91D1F3" w14:textId="77777777" w:rsidTr="009059A2">
        <w:trPr>
          <w:trHeight w:val="227"/>
        </w:trPr>
        <w:tc>
          <w:tcPr>
            <w:tcW w:w="2835" w:type="dxa"/>
            <w:noWrap/>
            <w:tcMar>
              <w:top w:w="0" w:type="dxa"/>
              <w:left w:w="70" w:type="dxa"/>
              <w:bottom w:w="0" w:type="dxa"/>
              <w:right w:w="70" w:type="dxa"/>
            </w:tcMar>
            <w:vAlign w:val="center"/>
            <w:hideMark/>
          </w:tcPr>
          <w:p w14:paraId="100103C1" w14:textId="77777777" w:rsidR="000E3227" w:rsidRPr="00033257" w:rsidRDefault="000E3227" w:rsidP="009059A2">
            <w:pPr>
              <w:pStyle w:val="cuatexto"/>
              <w:spacing w:line="240" w:lineRule="auto"/>
              <w:rPr>
                <w:szCs w:val="20"/>
              </w:rPr>
            </w:pPr>
            <w:r>
              <w:t>5.001-10.000 euro</w:t>
            </w:r>
          </w:p>
        </w:tc>
        <w:tc>
          <w:tcPr>
            <w:tcW w:w="1560" w:type="dxa"/>
            <w:noWrap/>
            <w:tcMar>
              <w:top w:w="0" w:type="dxa"/>
              <w:left w:w="70" w:type="dxa"/>
              <w:bottom w:w="0" w:type="dxa"/>
              <w:right w:w="70" w:type="dxa"/>
            </w:tcMar>
            <w:vAlign w:val="center"/>
            <w:hideMark/>
          </w:tcPr>
          <w:p w14:paraId="26C32AC6"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8</w:t>
            </w:r>
          </w:p>
        </w:tc>
        <w:tc>
          <w:tcPr>
            <w:tcW w:w="2286" w:type="dxa"/>
            <w:noWrap/>
            <w:tcMar>
              <w:top w:w="0" w:type="dxa"/>
              <w:left w:w="70" w:type="dxa"/>
              <w:bottom w:w="0" w:type="dxa"/>
              <w:right w:w="70" w:type="dxa"/>
            </w:tcMar>
            <w:vAlign w:val="center"/>
            <w:hideMark/>
          </w:tcPr>
          <w:p w14:paraId="4D1F6D2F"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46.817 </w:t>
            </w:r>
          </w:p>
        </w:tc>
        <w:tc>
          <w:tcPr>
            <w:tcW w:w="2123" w:type="dxa"/>
            <w:noWrap/>
            <w:tcMar>
              <w:top w:w="0" w:type="dxa"/>
              <w:left w:w="70" w:type="dxa"/>
              <w:bottom w:w="0" w:type="dxa"/>
              <w:right w:w="70" w:type="dxa"/>
            </w:tcMar>
            <w:vAlign w:val="center"/>
            <w:hideMark/>
          </w:tcPr>
          <w:p w14:paraId="5AE7F927"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5.852 </w:t>
            </w:r>
          </w:p>
        </w:tc>
      </w:tr>
      <w:tr w:rsidR="000E3227" w:rsidRPr="00033257" w14:paraId="39492135" w14:textId="77777777" w:rsidTr="009059A2">
        <w:trPr>
          <w:trHeight w:val="227"/>
        </w:trPr>
        <w:tc>
          <w:tcPr>
            <w:tcW w:w="2835" w:type="dxa"/>
            <w:noWrap/>
            <w:tcMar>
              <w:top w:w="0" w:type="dxa"/>
              <w:left w:w="70" w:type="dxa"/>
              <w:bottom w:w="0" w:type="dxa"/>
              <w:right w:w="70" w:type="dxa"/>
            </w:tcMar>
            <w:vAlign w:val="center"/>
            <w:hideMark/>
          </w:tcPr>
          <w:p w14:paraId="6986078E" w14:textId="77777777" w:rsidR="000E3227" w:rsidRPr="00033257" w:rsidRDefault="000E3227" w:rsidP="009059A2">
            <w:pPr>
              <w:pStyle w:val="cuatexto"/>
              <w:spacing w:line="240" w:lineRule="auto"/>
              <w:rPr>
                <w:szCs w:val="20"/>
              </w:rPr>
            </w:pPr>
            <w:r>
              <w:t>10.001-20.000 euro</w:t>
            </w:r>
          </w:p>
        </w:tc>
        <w:tc>
          <w:tcPr>
            <w:tcW w:w="1560" w:type="dxa"/>
            <w:noWrap/>
            <w:tcMar>
              <w:top w:w="0" w:type="dxa"/>
              <w:left w:w="70" w:type="dxa"/>
              <w:bottom w:w="0" w:type="dxa"/>
              <w:right w:w="70" w:type="dxa"/>
            </w:tcMar>
            <w:vAlign w:val="center"/>
            <w:hideMark/>
          </w:tcPr>
          <w:p w14:paraId="693CE488"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17</w:t>
            </w:r>
          </w:p>
        </w:tc>
        <w:tc>
          <w:tcPr>
            <w:tcW w:w="2286" w:type="dxa"/>
            <w:noWrap/>
            <w:tcMar>
              <w:top w:w="0" w:type="dxa"/>
              <w:left w:w="70" w:type="dxa"/>
              <w:bottom w:w="0" w:type="dxa"/>
              <w:right w:w="70" w:type="dxa"/>
            </w:tcMar>
            <w:vAlign w:val="center"/>
            <w:hideMark/>
          </w:tcPr>
          <w:p w14:paraId="63696B13"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239.844 </w:t>
            </w:r>
          </w:p>
        </w:tc>
        <w:tc>
          <w:tcPr>
            <w:tcW w:w="2123" w:type="dxa"/>
            <w:noWrap/>
            <w:tcMar>
              <w:top w:w="0" w:type="dxa"/>
              <w:left w:w="70" w:type="dxa"/>
              <w:bottom w:w="0" w:type="dxa"/>
              <w:right w:w="70" w:type="dxa"/>
            </w:tcMar>
            <w:vAlign w:val="center"/>
            <w:hideMark/>
          </w:tcPr>
          <w:p w14:paraId="0F2E9099"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14.108 </w:t>
            </w:r>
          </w:p>
        </w:tc>
      </w:tr>
      <w:tr w:rsidR="000E3227" w:rsidRPr="00033257" w14:paraId="4119BE68" w14:textId="77777777" w:rsidTr="009059A2">
        <w:trPr>
          <w:trHeight w:val="227"/>
        </w:trPr>
        <w:tc>
          <w:tcPr>
            <w:tcW w:w="2835" w:type="dxa"/>
            <w:noWrap/>
            <w:tcMar>
              <w:top w:w="0" w:type="dxa"/>
              <w:left w:w="70" w:type="dxa"/>
              <w:bottom w:w="0" w:type="dxa"/>
              <w:right w:w="70" w:type="dxa"/>
            </w:tcMar>
            <w:vAlign w:val="center"/>
            <w:hideMark/>
          </w:tcPr>
          <w:p w14:paraId="41E3999A" w14:textId="77777777" w:rsidR="000E3227" w:rsidRPr="00033257" w:rsidRDefault="000E3227" w:rsidP="009059A2">
            <w:pPr>
              <w:pStyle w:val="cuatexto"/>
              <w:spacing w:line="240" w:lineRule="auto"/>
              <w:rPr>
                <w:szCs w:val="20"/>
              </w:rPr>
            </w:pPr>
            <w:r>
              <w:t>20.000 eurotik gora</w:t>
            </w:r>
          </w:p>
        </w:tc>
        <w:tc>
          <w:tcPr>
            <w:tcW w:w="1560" w:type="dxa"/>
            <w:noWrap/>
            <w:tcMar>
              <w:top w:w="0" w:type="dxa"/>
              <w:left w:w="70" w:type="dxa"/>
              <w:bottom w:w="0" w:type="dxa"/>
              <w:right w:w="70" w:type="dxa"/>
            </w:tcMar>
            <w:vAlign w:val="center"/>
            <w:hideMark/>
          </w:tcPr>
          <w:p w14:paraId="491C6846"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35</w:t>
            </w:r>
          </w:p>
        </w:tc>
        <w:tc>
          <w:tcPr>
            <w:tcW w:w="2286" w:type="dxa"/>
            <w:noWrap/>
            <w:tcMar>
              <w:top w:w="0" w:type="dxa"/>
              <w:left w:w="70" w:type="dxa"/>
              <w:bottom w:w="0" w:type="dxa"/>
              <w:right w:w="70" w:type="dxa"/>
            </w:tcMar>
            <w:vAlign w:val="center"/>
            <w:hideMark/>
          </w:tcPr>
          <w:p w14:paraId="395626A2"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1.860.251 </w:t>
            </w:r>
          </w:p>
        </w:tc>
        <w:tc>
          <w:tcPr>
            <w:tcW w:w="2123" w:type="dxa"/>
            <w:noWrap/>
            <w:tcMar>
              <w:top w:w="0" w:type="dxa"/>
              <w:left w:w="70" w:type="dxa"/>
              <w:bottom w:w="0" w:type="dxa"/>
              <w:right w:w="70" w:type="dxa"/>
            </w:tcMar>
            <w:vAlign w:val="center"/>
            <w:hideMark/>
          </w:tcPr>
          <w:p w14:paraId="4B8F218C" w14:textId="77777777" w:rsidR="000E3227" w:rsidRPr="00033257" w:rsidRDefault="000E3227" w:rsidP="009059A2">
            <w:pPr>
              <w:spacing w:after="0"/>
              <w:jc w:val="right"/>
              <w:rPr>
                <w:rFonts w:ascii="Arial Narrow" w:hAnsi="Arial Narrow"/>
                <w:color w:val="000000"/>
              </w:rPr>
            </w:pPr>
            <w:r>
              <w:rPr>
                <w:rFonts w:ascii="Arial Narrow" w:hAnsi="Arial Narrow"/>
                <w:color w:val="000000"/>
              </w:rPr>
              <w:t xml:space="preserve"> 53.150 </w:t>
            </w:r>
          </w:p>
        </w:tc>
      </w:tr>
      <w:tr w:rsidR="000E3227" w:rsidRPr="009059A2" w14:paraId="218D30C6" w14:textId="77777777" w:rsidTr="009059A2">
        <w:trPr>
          <w:trHeight w:val="227"/>
        </w:trPr>
        <w:tc>
          <w:tcPr>
            <w:tcW w:w="2835" w:type="dxa"/>
            <w:shd w:val="clear" w:color="auto" w:fill="FABF8F" w:themeFill="accent6" w:themeFillTint="99"/>
            <w:noWrap/>
            <w:tcMar>
              <w:top w:w="0" w:type="dxa"/>
              <w:left w:w="70" w:type="dxa"/>
              <w:bottom w:w="0" w:type="dxa"/>
              <w:right w:w="70" w:type="dxa"/>
            </w:tcMar>
            <w:vAlign w:val="center"/>
            <w:hideMark/>
          </w:tcPr>
          <w:p w14:paraId="6FB74E35" w14:textId="77777777" w:rsidR="000E3227" w:rsidRPr="009059A2" w:rsidRDefault="000E3227" w:rsidP="009059A2">
            <w:pPr>
              <w:pStyle w:val="cuadroCabe"/>
              <w:spacing w:line="240" w:lineRule="auto"/>
              <w:rPr>
                <w:rFonts w:cs="Arial"/>
                <w:sz w:val="16"/>
                <w:szCs w:val="16"/>
              </w:rPr>
            </w:pPr>
            <w:r>
              <w:rPr>
                <w:sz w:val="16"/>
              </w:rPr>
              <w:t>Guztira</w:t>
            </w:r>
          </w:p>
        </w:tc>
        <w:tc>
          <w:tcPr>
            <w:tcW w:w="1560" w:type="dxa"/>
            <w:shd w:val="clear" w:color="auto" w:fill="FABF8F" w:themeFill="accent6" w:themeFillTint="99"/>
            <w:noWrap/>
            <w:tcMar>
              <w:top w:w="0" w:type="dxa"/>
              <w:left w:w="70" w:type="dxa"/>
              <w:bottom w:w="0" w:type="dxa"/>
              <w:right w:w="70" w:type="dxa"/>
            </w:tcMar>
            <w:vAlign w:val="center"/>
            <w:hideMark/>
          </w:tcPr>
          <w:p w14:paraId="63456FA9" w14:textId="77777777" w:rsidR="000E3227" w:rsidRPr="009059A2" w:rsidRDefault="000E3227" w:rsidP="009059A2">
            <w:pPr>
              <w:spacing w:after="0"/>
              <w:jc w:val="right"/>
              <w:rPr>
                <w:rFonts w:ascii="Arial" w:hAnsi="Arial" w:cs="Arial"/>
                <w:color w:val="000000"/>
                <w:sz w:val="16"/>
                <w:szCs w:val="16"/>
              </w:rPr>
            </w:pPr>
            <w:r>
              <w:rPr>
                <w:rFonts w:ascii="Arial" w:hAnsi="Arial"/>
                <w:color w:val="000000"/>
                <w:sz w:val="16"/>
              </w:rPr>
              <w:t>104</w:t>
            </w:r>
          </w:p>
        </w:tc>
        <w:tc>
          <w:tcPr>
            <w:tcW w:w="2286" w:type="dxa"/>
            <w:shd w:val="clear" w:color="auto" w:fill="FABF8F" w:themeFill="accent6" w:themeFillTint="99"/>
            <w:noWrap/>
            <w:tcMar>
              <w:top w:w="0" w:type="dxa"/>
              <w:left w:w="70" w:type="dxa"/>
              <w:bottom w:w="0" w:type="dxa"/>
              <w:right w:w="70" w:type="dxa"/>
            </w:tcMar>
            <w:vAlign w:val="center"/>
            <w:hideMark/>
          </w:tcPr>
          <w:p w14:paraId="0E036BEF" w14:textId="77777777" w:rsidR="000E3227" w:rsidRPr="009059A2" w:rsidRDefault="000E3227" w:rsidP="009059A2">
            <w:pPr>
              <w:spacing w:after="0"/>
              <w:jc w:val="right"/>
              <w:rPr>
                <w:rFonts w:ascii="Arial" w:hAnsi="Arial" w:cs="Arial"/>
                <w:color w:val="000000"/>
                <w:sz w:val="16"/>
                <w:szCs w:val="16"/>
              </w:rPr>
            </w:pPr>
            <w:r>
              <w:rPr>
                <w:rFonts w:ascii="Arial" w:hAnsi="Arial"/>
                <w:color w:val="000000"/>
                <w:sz w:val="16"/>
              </w:rPr>
              <w:t xml:space="preserve"> 2.215.170 </w:t>
            </w:r>
          </w:p>
        </w:tc>
        <w:tc>
          <w:tcPr>
            <w:tcW w:w="2123" w:type="dxa"/>
            <w:shd w:val="clear" w:color="auto" w:fill="FABF8F" w:themeFill="accent6" w:themeFillTint="99"/>
            <w:noWrap/>
            <w:tcMar>
              <w:top w:w="0" w:type="dxa"/>
              <w:left w:w="70" w:type="dxa"/>
              <w:bottom w:w="0" w:type="dxa"/>
              <w:right w:w="70" w:type="dxa"/>
            </w:tcMar>
            <w:vAlign w:val="center"/>
            <w:hideMark/>
          </w:tcPr>
          <w:p w14:paraId="6C7B8507" w14:textId="77777777" w:rsidR="000E3227" w:rsidRPr="009059A2" w:rsidRDefault="000E3227" w:rsidP="009059A2">
            <w:pPr>
              <w:spacing w:after="0"/>
              <w:jc w:val="right"/>
              <w:rPr>
                <w:rFonts w:ascii="Arial" w:hAnsi="Arial" w:cs="Arial"/>
                <w:color w:val="000000"/>
                <w:sz w:val="16"/>
                <w:szCs w:val="16"/>
              </w:rPr>
            </w:pPr>
            <w:r>
              <w:rPr>
                <w:rFonts w:ascii="Arial" w:hAnsi="Arial"/>
                <w:color w:val="000000"/>
                <w:sz w:val="16"/>
              </w:rPr>
              <w:t xml:space="preserve"> 21.300 </w:t>
            </w:r>
          </w:p>
        </w:tc>
      </w:tr>
    </w:tbl>
    <w:p w14:paraId="7D3BA938" w14:textId="69D74C6A" w:rsidR="000E3227" w:rsidRPr="00033257" w:rsidRDefault="000E3227" w:rsidP="005605A0">
      <w:pPr>
        <w:pStyle w:val="Ttulo2"/>
        <w:spacing w:before="480" w:after="240"/>
        <w:ind w:firstLine="0"/>
        <w:rPr>
          <w:b w:val="0"/>
          <w:i w:val="0"/>
          <w:sz w:val="25"/>
          <w:szCs w:val="25"/>
        </w:rPr>
      </w:pPr>
      <w:bookmarkStart w:id="98" w:name="_Toc123547418"/>
      <w:bookmarkStart w:id="99" w:name="_Toc151635611"/>
      <w:r>
        <w:rPr>
          <w:b w:val="0"/>
          <w:i w:val="0"/>
          <w:sz w:val="25"/>
        </w:rPr>
        <w:t>IX.4 Diru-sarreren arloko anomalia nagusiak</w:t>
      </w:r>
      <w:bookmarkEnd w:id="98"/>
      <w:bookmarkEnd w:id="99"/>
    </w:p>
    <w:p w14:paraId="285DC177" w14:textId="77777777" w:rsidR="009059A2" w:rsidRDefault="79B4F94C" w:rsidP="00EC4C05">
      <w:pPr>
        <w:tabs>
          <w:tab w:val="left" w:pos="1630"/>
          <w:tab w:val="left" w:pos="2480"/>
          <w:tab w:val="left" w:pos="3189"/>
          <w:tab w:val="left" w:pos="4039"/>
          <w:tab w:val="left" w:pos="4748"/>
          <w:tab w:val="left" w:pos="5740"/>
          <w:tab w:val="left" w:pos="6733"/>
          <w:tab w:val="left" w:pos="7725"/>
        </w:tabs>
        <w:spacing w:after="240"/>
        <w:ind w:left="68" w:firstLine="216"/>
        <w:rPr>
          <w:color w:val="000000" w:themeColor="text1"/>
          <w:sz w:val="26"/>
          <w:szCs w:val="26"/>
        </w:rPr>
      </w:pPr>
      <w:r>
        <w:rPr>
          <w:color w:val="000000" w:themeColor="text1"/>
          <w:sz w:val="26"/>
        </w:rPr>
        <w:t>Diru-sarreren arloko zazpi anomaliaren berri eman da, guztira 67.974 eurori eragiten dietenak. Zenbateko hori 2020koa baino askoz txikiagoa da. Ekitaldi horretan ere zazpi anomalia jakinarazi ziren, baina 353.631 eurori eragiten zieten guztira.</w:t>
      </w:r>
    </w:p>
    <w:p w14:paraId="2F275774" w14:textId="54C51905" w:rsidR="001B2567" w:rsidRPr="00033257" w:rsidRDefault="79B4F94C" w:rsidP="00EC4C05">
      <w:pPr>
        <w:tabs>
          <w:tab w:val="left" w:pos="1630"/>
          <w:tab w:val="left" w:pos="2480"/>
          <w:tab w:val="left" w:pos="3189"/>
          <w:tab w:val="left" w:pos="4039"/>
          <w:tab w:val="left" w:pos="4748"/>
          <w:tab w:val="left" w:pos="5740"/>
          <w:tab w:val="left" w:pos="6733"/>
          <w:tab w:val="left" w:pos="7725"/>
        </w:tabs>
        <w:spacing w:after="240"/>
        <w:ind w:left="68" w:firstLine="216"/>
        <w:rPr>
          <w:color w:val="000000" w:themeColor="text1"/>
        </w:rPr>
      </w:pPr>
      <w:r>
        <w:rPr>
          <w:color w:val="000000" w:themeColor="text1"/>
          <w:sz w:val="26"/>
        </w:rPr>
        <w:t xml:space="preserve"> </w:t>
      </w:r>
      <w:r>
        <w:rPr>
          <w:color w:val="000000" w:themeColor="text1"/>
        </w:rPr>
        <w:br w:type="page"/>
      </w:r>
    </w:p>
    <w:p w14:paraId="78363260" w14:textId="77777777" w:rsidR="00683931" w:rsidRPr="00033257" w:rsidRDefault="00683931" w:rsidP="00345C6C">
      <w:pPr>
        <w:pStyle w:val="atitulo1"/>
        <w:rPr>
          <w:color w:val="000000" w:themeColor="text1"/>
        </w:rPr>
      </w:pPr>
      <w:bookmarkStart w:id="100" w:name="_Toc151635612"/>
      <w:r>
        <w:rPr>
          <w:color w:val="000000" w:themeColor="text1"/>
        </w:rPr>
        <w:lastRenderedPageBreak/>
        <w:t>X. Konparazio azterketa</w:t>
      </w:r>
      <w:bookmarkEnd w:id="100"/>
      <w:r>
        <w:rPr>
          <w:color w:val="000000" w:themeColor="text1"/>
        </w:rPr>
        <w:t xml:space="preserve"> </w:t>
      </w:r>
    </w:p>
    <w:p w14:paraId="2CA60ACD" w14:textId="0D50D374" w:rsidR="00A4051C" w:rsidRPr="00033257" w:rsidRDefault="00A4051C" w:rsidP="00A4051C">
      <w:pPr>
        <w:pStyle w:val="Ttulo2"/>
        <w:ind w:firstLine="0"/>
        <w:rPr>
          <w:b w:val="0"/>
          <w:i w:val="0"/>
          <w:sz w:val="25"/>
          <w:szCs w:val="25"/>
        </w:rPr>
      </w:pPr>
      <w:bookmarkStart w:id="101" w:name="_Toc123547420"/>
      <w:bookmarkStart w:id="102" w:name="_Toc151635613"/>
      <w:bookmarkEnd w:id="87"/>
      <w:r>
        <w:rPr>
          <w:b w:val="0"/>
          <w:i w:val="0"/>
          <w:sz w:val="25"/>
        </w:rPr>
        <w:t>X.1 Nafarroako udalen arteko konparazioa biztanleria tarteen arabera</w:t>
      </w:r>
      <w:bookmarkEnd w:id="101"/>
      <w:bookmarkEnd w:id="102"/>
    </w:p>
    <w:p w14:paraId="68E0066B" w14:textId="5899E8F2" w:rsidR="00FB4B12" w:rsidRPr="00033257" w:rsidRDefault="00956B58" w:rsidP="009059A2">
      <w:pPr>
        <w:pStyle w:val="texto"/>
        <w:spacing w:before="120"/>
      </w:pPr>
      <w:r>
        <w:t>Hurrengo taulan, Nafarroako udalen</w:t>
      </w:r>
      <w:r w:rsidR="00EC4C05" w:rsidRPr="00033257">
        <w:rPr>
          <w:rStyle w:val="Refdenotaalpie"/>
        </w:rPr>
        <w:footnoteReference w:id="5"/>
      </w:r>
      <w:r>
        <w:t xml:space="preserve"> adierazle multzo bat alderatzen da, biztanleria tarteen arabera.</w:t>
      </w:r>
    </w:p>
    <w:p w14:paraId="3324016F" w14:textId="3A7B3811" w:rsidR="00A4051C" w:rsidRPr="00033257" w:rsidRDefault="009059A2" w:rsidP="00FA2E05">
      <w:pPr>
        <w:spacing w:after="0"/>
        <w:ind w:right="-1" w:firstLine="284"/>
        <w:jc w:val="right"/>
        <w:rPr>
          <w:rStyle w:val="textoCar"/>
          <w:rFonts w:ascii="Arial Narrow" w:hAnsi="Arial Narrow"/>
          <w:sz w:val="18"/>
          <w:szCs w:val="18"/>
        </w:rPr>
      </w:pPr>
      <w:r>
        <w:rPr>
          <w:rStyle w:val="textoCar"/>
          <w:rFonts w:ascii="Arial Narrow" w:hAnsi="Arial Narrow"/>
          <w:sz w:val="18"/>
        </w:rPr>
        <w:t>(euroak)</w:t>
      </w:r>
    </w:p>
    <w:tbl>
      <w:tblPr>
        <w:tblW w:w="8789" w:type="dxa"/>
        <w:jc w:val="center"/>
        <w:tblLayout w:type="fixed"/>
        <w:tblCellMar>
          <w:left w:w="70" w:type="dxa"/>
          <w:right w:w="70" w:type="dxa"/>
        </w:tblCellMar>
        <w:tblLook w:val="04A0" w:firstRow="1" w:lastRow="0" w:firstColumn="1" w:lastColumn="0" w:noHBand="0" w:noVBand="1"/>
      </w:tblPr>
      <w:tblGrid>
        <w:gridCol w:w="3119"/>
        <w:gridCol w:w="1276"/>
        <w:gridCol w:w="992"/>
        <w:gridCol w:w="1134"/>
        <w:gridCol w:w="1134"/>
        <w:gridCol w:w="1134"/>
      </w:tblGrid>
      <w:tr w:rsidR="00A4051C" w:rsidRPr="009059A2" w14:paraId="12509A1D" w14:textId="77777777" w:rsidTr="00FA2E05">
        <w:trPr>
          <w:trHeight w:val="255"/>
          <w:jc w:val="center"/>
        </w:trPr>
        <w:tc>
          <w:tcPr>
            <w:tcW w:w="3119" w:type="dxa"/>
            <w:tcBorders>
              <w:top w:val="single" w:sz="4" w:space="0" w:color="auto"/>
              <w:left w:val="nil"/>
              <w:bottom w:val="single" w:sz="4" w:space="0" w:color="auto"/>
              <w:right w:val="nil"/>
            </w:tcBorders>
            <w:shd w:val="clear" w:color="auto" w:fill="FABF8F" w:themeFill="accent6" w:themeFillTint="99"/>
            <w:noWrap/>
            <w:vAlign w:val="center"/>
            <w:hideMark/>
          </w:tcPr>
          <w:p w14:paraId="41004F19" w14:textId="77777777" w:rsidR="00A4051C" w:rsidRPr="009059A2" w:rsidRDefault="00A4051C" w:rsidP="009059A2">
            <w:pPr>
              <w:pStyle w:val="cuadroCabe"/>
              <w:rPr>
                <w:sz w:val="16"/>
                <w:szCs w:val="16"/>
                <w:lang w:val="es-ES" w:eastAsia="es-ES"/>
              </w:rPr>
            </w:pP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14:paraId="3B884AA6" w14:textId="711CE9F4" w:rsidR="00A4051C" w:rsidRPr="009059A2" w:rsidRDefault="2D2C31AC" w:rsidP="00FA2E05">
            <w:pPr>
              <w:pStyle w:val="cuadroCabe"/>
              <w:jc w:val="right"/>
              <w:rPr>
                <w:sz w:val="16"/>
                <w:szCs w:val="16"/>
              </w:rPr>
            </w:pPr>
            <w:r>
              <w:rPr>
                <w:color w:val="000000" w:themeColor="text1"/>
                <w:sz w:val="16"/>
              </w:rPr>
              <w:t>1.000 euro bitarte</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23D8BE4D" w14:textId="17691ECD" w:rsidR="00A4051C" w:rsidRPr="009059A2" w:rsidRDefault="35FD34EA" w:rsidP="00FA2E05">
            <w:pPr>
              <w:pStyle w:val="cuadroCabe"/>
              <w:jc w:val="right"/>
              <w:rPr>
                <w:sz w:val="16"/>
                <w:szCs w:val="16"/>
              </w:rPr>
            </w:pPr>
            <w:r>
              <w:rPr>
                <w:color w:val="000000" w:themeColor="text1"/>
                <w:sz w:val="16"/>
              </w:rPr>
              <w:t>1.001-5.000 euro</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2A91EE56" w14:textId="4094502E" w:rsidR="00A4051C" w:rsidRPr="009059A2" w:rsidRDefault="35FD34EA" w:rsidP="00FA2E05">
            <w:pPr>
              <w:pStyle w:val="cuadroCabe"/>
              <w:jc w:val="right"/>
              <w:rPr>
                <w:sz w:val="16"/>
                <w:szCs w:val="16"/>
              </w:rPr>
            </w:pPr>
            <w:r>
              <w:rPr>
                <w:color w:val="000000" w:themeColor="text1"/>
                <w:sz w:val="16"/>
              </w:rPr>
              <w:t>5.001-10.000 euro</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2A8D5B1B" w14:textId="6BE35A63" w:rsidR="00A4051C" w:rsidRPr="009059A2" w:rsidRDefault="35FD34EA" w:rsidP="00FA2E05">
            <w:pPr>
              <w:pStyle w:val="cuadroCabe"/>
              <w:jc w:val="right"/>
              <w:rPr>
                <w:sz w:val="16"/>
                <w:szCs w:val="16"/>
              </w:rPr>
            </w:pPr>
            <w:r>
              <w:rPr>
                <w:color w:val="000000" w:themeColor="text1"/>
                <w:sz w:val="16"/>
              </w:rPr>
              <w:t>10.001-40.000 euro</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3AAA4D3B" w14:textId="0892297D" w:rsidR="00A4051C" w:rsidRPr="009059A2" w:rsidRDefault="00B320FA" w:rsidP="00B320FA">
            <w:pPr>
              <w:pStyle w:val="cuadroCabe"/>
              <w:jc w:val="right"/>
              <w:rPr>
                <w:sz w:val="16"/>
                <w:szCs w:val="16"/>
              </w:rPr>
            </w:pPr>
            <w:r>
              <w:rPr>
                <w:sz w:val="16"/>
              </w:rPr>
              <w:t xml:space="preserve">40.000 baino gehiago </w:t>
            </w:r>
          </w:p>
        </w:tc>
      </w:tr>
      <w:tr w:rsidR="00A4051C" w:rsidRPr="00033257" w14:paraId="281908E5" w14:textId="77777777" w:rsidTr="00FA2E05">
        <w:trPr>
          <w:trHeight w:val="255"/>
          <w:jc w:val="center"/>
        </w:trPr>
        <w:tc>
          <w:tcPr>
            <w:tcW w:w="3119" w:type="dxa"/>
            <w:tcBorders>
              <w:top w:val="nil"/>
              <w:left w:val="nil"/>
              <w:bottom w:val="single" w:sz="2" w:space="0" w:color="auto"/>
              <w:right w:val="nil"/>
            </w:tcBorders>
            <w:shd w:val="clear" w:color="auto" w:fill="auto"/>
            <w:noWrap/>
            <w:vAlign w:val="center"/>
          </w:tcPr>
          <w:p w14:paraId="7455F170" w14:textId="77777777" w:rsidR="00A4051C" w:rsidRPr="00033257" w:rsidRDefault="00A4051C" w:rsidP="00A4051C">
            <w:pPr>
              <w:spacing w:after="0"/>
              <w:ind w:firstLine="0"/>
              <w:jc w:val="left"/>
              <w:rPr>
                <w:rFonts w:ascii="Arial Narrow" w:hAnsi="Arial Narrow" w:cs="Calibri"/>
                <w:color w:val="000000"/>
              </w:rPr>
            </w:pPr>
            <w:r>
              <w:rPr>
                <w:rFonts w:ascii="Arial Narrow" w:hAnsi="Arial Narrow"/>
                <w:color w:val="000000"/>
              </w:rPr>
              <w:t>Udalen kopurua</w:t>
            </w:r>
          </w:p>
        </w:tc>
        <w:tc>
          <w:tcPr>
            <w:tcW w:w="1276" w:type="dxa"/>
            <w:tcBorders>
              <w:top w:val="nil"/>
              <w:left w:val="nil"/>
              <w:bottom w:val="single" w:sz="2" w:space="0" w:color="auto"/>
              <w:right w:val="nil"/>
            </w:tcBorders>
            <w:shd w:val="clear" w:color="auto" w:fill="auto"/>
            <w:vAlign w:val="center"/>
          </w:tcPr>
          <w:p w14:paraId="11F852C4"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170</w:t>
            </w:r>
          </w:p>
        </w:tc>
        <w:tc>
          <w:tcPr>
            <w:tcW w:w="992" w:type="dxa"/>
            <w:tcBorders>
              <w:top w:val="nil"/>
              <w:left w:val="nil"/>
              <w:bottom w:val="single" w:sz="2" w:space="0" w:color="auto"/>
              <w:right w:val="nil"/>
            </w:tcBorders>
            <w:shd w:val="clear" w:color="auto" w:fill="auto"/>
            <w:vAlign w:val="center"/>
          </w:tcPr>
          <w:p w14:paraId="737D437A"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58</w:t>
            </w:r>
          </w:p>
        </w:tc>
        <w:tc>
          <w:tcPr>
            <w:tcW w:w="1134" w:type="dxa"/>
            <w:tcBorders>
              <w:top w:val="nil"/>
              <w:left w:val="nil"/>
              <w:bottom w:val="single" w:sz="2" w:space="0" w:color="auto"/>
              <w:right w:val="nil"/>
            </w:tcBorders>
            <w:shd w:val="clear" w:color="auto" w:fill="auto"/>
            <w:vAlign w:val="center"/>
          </w:tcPr>
          <w:p w14:paraId="185567A1"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9</w:t>
            </w:r>
          </w:p>
        </w:tc>
        <w:tc>
          <w:tcPr>
            <w:tcW w:w="1134" w:type="dxa"/>
            <w:tcBorders>
              <w:top w:val="nil"/>
              <w:left w:val="nil"/>
              <w:bottom w:val="single" w:sz="2" w:space="0" w:color="auto"/>
              <w:right w:val="nil"/>
            </w:tcBorders>
            <w:shd w:val="clear" w:color="auto" w:fill="auto"/>
            <w:vAlign w:val="center"/>
          </w:tcPr>
          <w:p w14:paraId="0FF44876"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11</w:t>
            </w:r>
          </w:p>
        </w:tc>
        <w:tc>
          <w:tcPr>
            <w:tcW w:w="1134" w:type="dxa"/>
            <w:tcBorders>
              <w:top w:val="nil"/>
              <w:left w:val="nil"/>
              <w:bottom w:val="single" w:sz="2" w:space="0" w:color="auto"/>
              <w:right w:val="nil"/>
            </w:tcBorders>
            <w:shd w:val="clear" w:color="auto" w:fill="auto"/>
            <w:vAlign w:val="center"/>
          </w:tcPr>
          <w:p w14:paraId="48A99A3C"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w:t>
            </w:r>
          </w:p>
        </w:tc>
      </w:tr>
      <w:tr w:rsidR="00A4051C" w:rsidRPr="00033257" w14:paraId="74A96440"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7D92540C" w14:textId="77777777" w:rsidR="00A4051C" w:rsidRPr="00033257" w:rsidRDefault="00A4051C" w:rsidP="00A4051C">
            <w:pPr>
              <w:spacing w:after="0"/>
              <w:ind w:firstLine="0"/>
              <w:jc w:val="left"/>
              <w:rPr>
                <w:rFonts w:ascii="Arial Narrow" w:hAnsi="Arial Narrow" w:cs="Calibri"/>
                <w:color w:val="000000"/>
              </w:rPr>
            </w:pPr>
            <w:r>
              <w:rPr>
                <w:rFonts w:ascii="Arial Narrow" w:hAnsi="Arial Narrow"/>
                <w:color w:val="000000"/>
              </w:rPr>
              <w:t>Biztanleria osoa</w:t>
            </w:r>
          </w:p>
        </w:tc>
        <w:tc>
          <w:tcPr>
            <w:tcW w:w="1276" w:type="dxa"/>
            <w:tcBorders>
              <w:top w:val="single" w:sz="2" w:space="0" w:color="auto"/>
              <w:left w:val="nil"/>
              <w:bottom w:val="single" w:sz="2" w:space="0" w:color="auto"/>
              <w:right w:val="nil"/>
            </w:tcBorders>
            <w:shd w:val="clear" w:color="auto" w:fill="auto"/>
            <w:vAlign w:val="center"/>
            <w:hideMark/>
          </w:tcPr>
          <w:p w14:paraId="067B297A"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50.634</w:t>
            </w:r>
          </w:p>
        </w:tc>
        <w:tc>
          <w:tcPr>
            <w:tcW w:w="992" w:type="dxa"/>
            <w:tcBorders>
              <w:top w:val="single" w:sz="2" w:space="0" w:color="auto"/>
              <w:left w:val="nil"/>
              <w:bottom w:val="single" w:sz="2" w:space="0" w:color="auto"/>
              <w:right w:val="nil"/>
            </w:tcBorders>
            <w:shd w:val="clear" w:color="auto" w:fill="auto"/>
            <w:vAlign w:val="center"/>
            <w:hideMark/>
          </w:tcPr>
          <w:p w14:paraId="05C17F1F"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146.166</w:t>
            </w:r>
          </w:p>
        </w:tc>
        <w:tc>
          <w:tcPr>
            <w:tcW w:w="1134" w:type="dxa"/>
            <w:tcBorders>
              <w:top w:val="single" w:sz="2" w:space="0" w:color="auto"/>
              <w:left w:val="nil"/>
              <w:bottom w:val="single" w:sz="2" w:space="0" w:color="auto"/>
              <w:right w:val="nil"/>
            </w:tcBorders>
            <w:shd w:val="clear" w:color="auto" w:fill="auto"/>
            <w:vAlign w:val="center"/>
            <w:hideMark/>
          </w:tcPr>
          <w:p w14:paraId="777E40A8"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67.017</w:t>
            </w:r>
          </w:p>
        </w:tc>
        <w:tc>
          <w:tcPr>
            <w:tcW w:w="1134" w:type="dxa"/>
            <w:tcBorders>
              <w:top w:val="single" w:sz="2" w:space="0" w:color="auto"/>
              <w:left w:val="nil"/>
              <w:bottom w:val="single" w:sz="2" w:space="0" w:color="auto"/>
              <w:right w:val="nil"/>
            </w:tcBorders>
            <w:shd w:val="clear" w:color="auto" w:fill="auto"/>
            <w:vAlign w:val="center"/>
            <w:hideMark/>
          </w:tcPr>
          <w:p w14:paraId="293AFC29"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181.143</w:t>
            </w:r>
          </w:p>
        </w:tc>
        <w:tc>
          <w:tcPr>
            <w:tcW w:w="1134" w:type="dxa"/>
            <w:tcBorders>
              <w:top w:val="single" w:sz="2" w:space="0" w:color="auto"/>
              <w:left w:val="nil"/>
              <w:bottom w:val="single" w:sz="2" w:space="0" w:color="auto"/>
              <w:right w:val="nil"/>
            </w:tcBorders>
            <w:shd w:val="clear" w:color="auto" w:fill="auto"/>
            <w:vAlign w:val="center"/>
            <w:hideMark/>
          </w:tcPr>
          <w:p w14:paraId="4D39DF74"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203.081</w:t>
            </w:r>
          </w:p>
        </w:tc>
      </w:tr>
      <w:tr w:rsidR="00EC4C05" w:rsidRPr="00033257" w14:paraId="72A32746"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tcPr>
          <w:p w14:paraId="7768D688" w14:textId="77777777" w:rsidR="00EC4C05" w:rsidRPr="00033257" w:rsidRDefault="00EC4C05" w:rsidP="00A4051C">
            <w:pPr>
              <w:spacing w:after="0"/>
              <w:ind w:firstLine="0"/>
              <w:jc w:val="left"/>
              <w:rPr>
                <w:rFonts w:ascii="Arial Narrow" w:hAnsi="Arial Narrow" w:cs="Calibri"/>
                <w:color w:val="000000"/>
              </w:rPr>
            </w:pPr>
            <w:r>
              <w:rPr>
                <w:rFonts w:ascii="Arial Narrow" w:hAnsi="Arial Narrow"/>
                <w:color w:val="000000"/>
              </w:rPr>
              <w:t>Diru-sarrerak, guztira</w:t>
            </w:r>
          </w:p>
        </w:tc>
        <w:tc>
          <w:tcPr>
            <w:tcW w:w="1276" w:type="dxa"/>
            <w:tcBorders>
              <w:top w:val="single" w:sz="2" w:space="0" w:color="auto"/>
              <w:left w:val="nil"/>
              <w:bottom w:val="single" w:sz="2" w:space="0" w:color="auto"/>
              <w:right w:val="nil"/>
            </w:tcBorders>
            <w:shd w:val="clear" w:color="auto" w:fill="auto"/>
            <w:vAlign w:val="center"/>
          </w:tcPr>
          <w:p w14:paraId="205FF6DA"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1.454</w:t>
            </w:r>
          </w:p>
        </w:tc>
        <w:tc>
          <w:tcPr>
            <w:tcW w:w="992" w:type="dxa"/>
            <w:tcBorders>
              <w:top w:val="single" w:sz="2" w:space="0" w:color="auto"/>
              <w:left w:val="nil"/>
              <w:bottom w:val="single" w:sz="2" w:space="0" w:color="auto"/>
              <w:right w:val="nil"/>
            </w:tcBorders>
            <w:shd w:val="clear" w:color="auto" w:fill="auto"/>
            <w:vAlign w:val="center"/>
          </w:tcPr>
          <w:p w14:paraId="537E7134"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1.251</w:t>
            </w:r>
          </w:p>
        </w:tc>
        <w:tc>
          <w:tcPr>
            <w:tcW w:w="1134" w:type="dxa"/>
            <w:tcBorders>
              <w:top w:val="single" w:sz="2" w:space="0" w:color="auto"/>
              <w:left w:val="nil"/>
              <w:bottom w:val="single" w:sz="2" w:space="0" w:color="auto"/>
              <w:right w:val="nil"/>
            </w:tcBorders>
            <w:shd w:val="clear" w:color="auto" w:fill="auto"/>
            <w:vAlign w:val="center"/>
          </w:tcPr>
          <w:p w14:paraId="16B3689E"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1.072</w:t>
            </w:r>
          </w:p>
        </w:tc>
        <w:tc>
          <w:tcPr>
            <w:tcW w:w="1134" w:type="dxa"/>
            <w:tcBorders>
              <w:top w:val="single" w:sz="2" w:space="0" w:color="auto"/>
              <w:left w:val="nil"/>
              <w:bottom w:val="single" w:sz="2" w:space="0" w:color="auto"/>
              <w:right w:val="nil"/>
            </w:tcBorders>
            <w:shd w:val="clear" w:color="auto" w:fill="auto"/>
            <w:vAlign w:val="center"/>
          </w:tcPr>
          <w:p w14:paraId="1AD5F80A"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950</w:t>
            </w:r>
          </w:p>
        </w:tc>
        <w:tc>
          <w:tcPr>
            <w:tcW w:w="1134" w:type="dxa"/>
            <w:tcBorders>
              <w:top w:val="single" w:sz="2" w:space="0" w:color="auto"/>
              <w:left w:val="nil"/>
              <w:bottom w:val="single" w:sz="2" w:space="0" w:color="auto"/>
              <w:right w:val="nil"/>
            </w:tcBorders>
            <w:shd w:val="clear" w:color="auto" w:fill="auto"/>
            <w:vAlign w:val="center"/>
          </w:tcPr>
          <w:p w14:paraId="4F8DFFBF"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1.195</w:t>
            </w:r>
          </w:p>
        </w:tc>
      </w:tr>
      <w:tr w:rsidR="00A4051C" w:rsidRPr="00033257" w14:paraId="010FAA9D"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14A09C43" w14:textId="77777777" w:rsidR="00A4051C" w:rsidRPr="00033257" w:rsidRDefault="00A4051C" w:rsidP="00EC4C05">
            <w:pPr>
              <w:spacing w:after="0"/>
              <w:ind w:firstLine="0"/>
              <w:jc w:val="left"/>
              <w:rPr>
                <w:rFonts w:ascii="Arial Narrow" w:hAnsi="Arial Narrow" w:cs="Calibri"/>
                <w:color w:val="000000"/>
              </w:rPr>
            </w:pPr>
            <w:r>
              <w:rPr>
                <w:rFonts w:ascii="Arial Narrow" w:hAnsi="Arial Narrow"/>
                <w:color w:val="000000"/>
              </w:rPr>
              <w:t xml:space="preserve">Diru-sarrera arruntak </w:t>
            </w:r>
          </w:p>
        </w:tc>
        <w:tc>
          <w:tcPr>
            <w:tcW w:w="1276" w:type="dxa"/>
            <w:tcBorders>
              <w:top w:val="single" w:sz="2" w:space="0" w:color="auto"/>
              <w:left w:val="nil"/>
              <w:bottom w:val="single" w:sz="2" w:space="0" w:color="auto"/>
              <w:right w:val="nil"/>
            </w:tcBorders>
            <w:shd w:val="clear" w:color="auto" w:fill="auto"/>
            <w:noWrap/>
            <w:vAlign w:val="center"/>
            <w:hideMark/>
          </w:tcPr>
          <w:p w14:paraId="58BE1A77"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1.265</w:t>
            </w:r>
          </w:p>
        </w:tc>
        <w:tc>
          <w:tcPr>
            <w:tcW w:w="992" w:type="dxa"/>
            <w:tcBorders>
              <w:top w:val="single" w:sz="2" w:space="0" w:color="auto"/>
              <w:left w:val="nil"/>
              <w:bottom w:val="single" w:sz="2" w:space="0" w:color="auto"/>
              <w:right w:val="nil"/>
            </w:tcBorders>
            <w:shd w:val="clear" w:color="auto" w:fill="auto"/>
            <w:noWrap/>
            <w:vAlign w:val="center"/>
            <w:hideMark/>
          </w:tcPr>
          <w:p w14:paraId="42CC61A6"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1.140</w:t>
            </w:r>
          </w:p>
        </w:tc>
        <w:tc>
          <w:tcPr>
            <w:tcW w:w="1134" w:type="dxa"/>
            <w:tcBorders>
              <w:top w:val="single" w:sz="2" w:space="0" w:color="auto"/>
              <w:left w:val="nil"/>
              <w:bottom w:val="single" w:sz="2" w:space="0" w:color="auto"/>
              <w:right w:val="nil"/>
            </w:tcBorders>
            <w:shd w:val="clear" w:color="auto" w:fill="auto"/>
            <w:noWrap/>
            <w:vAlign w:val="center"/>
            <w:hideMark/>
          </w:tcPr>
          <w:p w14:paraId="5CB4A3EC"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995</w:t>
            </w:r>
          </w:p>
        </w:tc>
        <w:tc>
          <w:tcPr>
            <w:tcW w:w="1134" w:type="dxa"/>
            <w:tcBorders>
              <w:top w:val="single" w:sz="2" w:space="0" w:color="auto"/>
              <w:left w:val="nil"/>
              <w:bottom w:val="single" w:sz="2" w:space="0" w:color="auto"/>
              <w:right w:val="nil"/>
            </w:tcBorders>
            <w:shd w:val="clear" w:color="auto" w:fill="auto"/>
            <w:noWrap/>
            <w:vAlign w:val="center"/>
            <w:hideMark/>
          </w:tcPr>
          <w:p w14:paraId="3F07BAB7"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914</w:t>
            </w:r>
          </w:p>
        </w:tc>
        <w:tc>
          <w:tcPr>
            <w:tcW w:w="1134" w:type="dxa"/>
            <w:tcBorders>
              <w:top w:val="single" w:sz="2" w:space="0" w:color="auto"/>
              <w:left w:val="nil"/>
              <w:bottom w:val="single" w:sz="2" w:space="0" w:color="auto"/>
              <w:right w:val="nil"/>
            </w:tcBorders>
            <w:shd w:val="clear" w:color="auto" w:fill="auto"/>
            <w:noWrap/>
            <w:vAlign w:val="center"/>
            <w:hideMark/>
          </w:tcPr>
          <w:p w14:paraId="6ED4B362"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1.096</w:t>
            </w:r>
          </w:p>
        </w:tc>
      </w:tr>
      <w:tr w:rsidR="00EC4C05" w:rsidRPr="00033257" w14:paraId="5265C3EE"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tcPr>
          <w:p w14:paraId="3E78D5EE" w14:textId="77777777" w:rsidR="00EC4C05" w:rsidRPr="00033257" w:rsidRDefault="00EC4C05" w:rsidP="00A4051C">
            <w:pPr>
              <w:spacing w:after="0"/>
              <w:ind w:firstLine="0"/>
              <w:jc w:val="left"/>
              <w:rPr>
                <w:rFonts w:ascii="Arial Narrow" w:hAnsi="Arial Narrow" w:cs="Calibri"/>
                <w:color w:val="000000"/>
              </w:rPr>
            </w:pPr>
            <w:r>
              <w:rPr>
                <w:rFonts w:ascii="Arial Narrow" w:hAnsi="Arial Narrow"/>
                <w:color w:val="000000"/>
              </w:rPr>
              <w:t>Kapitaleko diru-sarrerak</w:t>
            </w:r>
          </w:p>
        </w:tc>
        <w:tc>
          <w:tcPr>
            <w:tcW w:w="1276" w:type="dxa"/>
            <w:tcBorders>
              <w:top w:val="single" w:sz="2" w:space="0" w:color="auto"/>
              <w:left w:val="nil"/>
              <w:bottom w:val="single" w:sz="2" w:space="0" w:color="auto"/>
              <w:right w:val="nil"/>
            </w:tcBorders>
            <w:shd w:val="clear" w:color="auto" w:fill="auto"/>
            <w:noWrap/>
            <w:vAlign w:val="center"/>
          </w:tcPr>
          <w:p w14:paraId="63E8C4AE"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189</w:t>
            </w:r>
          </w:p>
        </w:tc>
        <w:tc>
          <w:tcPr>
            <w:tcW w:w="992" w:type="dxa"/>
            <w:tcBorders>
              <w:top w:val="single" w:sz="2" w:space="0" w:color="auto"/>
              <w:left w:val="nil"/>
              <w:bottom w:val="single" w:sz="2" w:space="0" w:color="auto"/>
              <w:right w:val="nil"/>
            </w:tcBorders>
            <w:shd w:val="clear" w:color="auto" w:fill="auto"/>
            <w:noWrap/>
            <w:vAlign w:val="center"/>
          </w:tcPr>
          <w:p w14:paraId="5F0CA593"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112</w:t>
            </w:r>
          </w:p>
        </w:tc>
        <w:tc>
          <w:tcPr>
            <w:tcW w:w="1134" w:type="dxa"/>
            <w:tcBorders>
              <w:top w:val="single" w:sz="2" w:space="0" w:color="auto"/>
              <w:left w:val="nil"/>
              <w:bottom w:val="single" w:sz="2" w:space="0" w:color="auto"/>
              <w:right w:val="nil"/>
            </w:tcBorders>
            <w:shd w:val="clear" w:color="auto" w:fill="auto"/>
            <w:noWrap/>
            <w:vAlign w:val="center"/>
          </w:tcPr>
          <w:p w14:paraId="06961506"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77</w:t>
            </w:r>
          </w:p>
        </w:tc>
        <w:tc>
          <w:tcPr>
            <w:tcW w:w="1134" w:type="dxa"/>
            <w:tcBorders>
              <w:top w:val="single" w:sz="2" w:space="0" w:color="auto"/>
              <w:left w:val="nil"/>
              <w:bottom w:val="single" w:sz="2" w:space="0" w:color="auto"/>
              <w:right w:val="nil"/>
            </w:tcBorders>
            <w:shd w:val="clear" w:color="auto" w:fill="auto"/>
            <w:noWrap/>
            <w:vAlign w:val="center"/>
          </w:tcPr>
          <w:p w14:paraId="27635376"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36</w:t>
            </w:r>
          </w:p>
        </w:tc>
        <w:tc>
          <w:tcPr>
            <w:tcW w:w="1134" w:type="dxa"/>
            <w:tcBorders>
              <w:top w:val="single" w:sz="2" w:space="0" w:color="auto"/>
              <w:left w:val="nil"/>
              <w:bottom w:val="single" w:sz="2" w:space="0" w:color="auto"/>
              <w:right w:val="nil"/>
            </w:tcBorders>
            <w:shd w:val="clear" w:color="auto" w:fill="auto"/>
            <w:noWrap/>
            <w:vAlign w:val="center"/>
          </w:tcPr>
          <w:p w14:paraId="3320B7DC"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99</w:t>
            </w:r>
          </w:p>
        </w:tc>
      </w:tr>
      <w:tr w:rsidR="00A4051C" w:rsidRPr="00033257" w14:paraId="109EE2DB"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35065EE5" w14:textId="77777777" w:rsidR="00A4051C" w:rsidRPr="00033257" w:rsidRDefault="00EC4C05" w:rsidP="00EC4C05">
            <w:pPr>
              <w:spacing w:after="0"/>
              <w:ind w:firstLine="0"/>
              <w:jc w:val="left"/>
              <w:rPr>
                <w:rFonts w:ascii="Arial Narrow" w:hAnsi="Arial Narrow" w:cs="Calibri"/>
                <w:color w:val="000000"/>
              </w:rPr>
            </w:pPr>
            <w:r>
              <w:rPr>
                <w:rFonts w:ascii="Arial Narrow" w:hAnsi="Arial Narrow"/>
                <w:color w:val="000000"/>
              </w:rPr>
              <w:t>Funtzionamendu gastuak</w:t>
            </w:r>
          </w:p>
        </w:tc>
        <w:tc>
          <w:tcPr>
            <w:tcW w:w="1276" w:type="dxa"/>
            <w:tcBorders>
              <w:top w:val="single" w:sz="2" w:space="0" w:color="auto"/>
              <w:left w:val="nil"/>
              <w:bottom w:val="single" w:sz="2" w:space="0" w:color="auto"/>
              <w:right w:val="nil"/>
            </w:tcBorders>
            <w:shd w:val="clear" w:color="auto" w:fill="auto"/>
            <w:noWrap/>
            <w:vAlign w:val="center"/>
            <w:hideMark/>
          </w:tcPr>
          <w:p w14:paraId="271D4C7F"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931</w:t>
            </w:r>
          </w:p>
        </w:tc>
        <w:tc>
          <w:tcPr>
            <w:tcW w:w="992" w:type="dxa"/>
            <w:tcBorders>
              <w:top w:val="single" w:sz="2" w:space="0" w:color="auto"/>
              <w:left w:val="nil"/>
              <w:bottom w:val="single" w:sz="2" w:space="0" w:color="auto"/>
              <w:right w:val="nil"/>
            </w:tcBorders>
            <w:shd w:val="clear" w:color="auto" w:fill="auto"/>
            <w:noWrap/>
            <w:vAlign w:val="center"/>
            <w:hideMark/>
          </w:tcPr>
          <w:p w14:paraId="16B3A444"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899</w:t>
            </w:r>
          </w:p>
        </w:tc>
        <w:tc>
          <w:tcPr>
            <w:tcW w:w="1134" w:type="dxa"/>
            <w:tcBorders>
              <w:top w:val="single" w:sz="2" w:space="0" w:color="auto"/>
              <w:left w:val="nil"/>
              <w:bottom w:val="single" w:sz="2" w:space="0" w:color="auto"/>
              <w:right w:val="nil"/>
            </w:tcBorders>
            <w:shd w:val="clear" w:color="auto" w:fill="auto"/>
            <w:noWrap/>
            <w:vAlign w:val="center"/>
            <w:hideMark/>
          </w:tcPr>
          <w:p w14:paraId="249D3B3F"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871</w:t>
            </w:r>
          </w:p>
        </w:tc>
        <w:tc>
          <w:tcPr>
            <w:tcW w:w="1134" w:type="dxa"/>
            <w:tcBorders>
              <w:top w:val="single" w:sz="2" w:space="0" w:color="auto"/>
              <w:left w:val="nil"/>
              <w:bottom w:val="single" w:sz="2" w:space="0" w:color="auto"/>
              <w:right w:val="nil"/>
            </w:tcBorders>
            <w:shd w:val="clear" w:color="auto" w:fill="auto"/>
            <w:noWrap/>
            <w:vAlign w:val="center"/>
            <w:hideMark/>
          </w:tcPr>
          <w:p w14:paraId="7C708699"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798</w:t>
            </w:r>
          </w:p>
        </w:tc>
        <w:tc>
          <w:tcPr>
            <w:tcW w:w="1134" w:type="dxa"/>
            <w:tcBorders>
              <w:top w:val="single" w:sz="2" w:space="0" w:color="auto"/>
              <w:left w:val="nil"/>
              <w:bottom w:val="single" w:sz="2" w:space="0" w:color="auto"/>
              <w:right w:val="nil"/>
            </w:tcBorders>
            <w:shd w:val="clear" w:color="auto" w:fill="auto"/>
            <w:noWrap/>
            <w:vAlign w:val="center"/>
            <w:hideMark/>
          </w:tcPr>
          <w:p w14:paraId="3142F0F1"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952</w:t>
            </w:r>
          </w:p>
        </w:tc>
      </w:tr>
      <w:tr w:rsidR="00EC4C05" w:rsidRPr="00033257" w14:paraId="4689BED8"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tcPr>
          <w:p w14:paraId="49D0628D" w14:textId="77777777" w:rsidR="00EC4C05" w:rsidRPr="00033257" w:rsidRDefault="00EC4C05" w:rsidP="00A4051C">
            <w:pPr>
              <w:spacing w:after="0"/>
              <w:ind w:firstLine="0"/>
              <w:jc w:val="left"/>
              <w:rPr>
                <w:rFonts w:ascii="Arial Narrow" w:hAnsi="Arial Narrow" w:cs="Calibri"/>
                <w:color w:val="000000"/>
              </w:rPr>
            </w:pPr>
            <w:r>
              <w:rPr>
                <w:rFonts w:ascii="Arial Narrow" w:hAnsi="Arial Narrow"/>
                <w:color w:val="000000"/>
              </w:rPr>
              <w:t>Kapital-gastua</w:t>
            </w:r>
          </w:p>
        </w:tc>
        <w:tc>
          <w:tcPr>
            <w:tcW w:w="1276" w:type="dxa"/>
            <w:tcBorders>
              <w:top w:val="single" w:sz="2" w:space="0" w:color="auto"/>
              <w:left w:val="nil"/>
              <w:bottom w:val="single" w:sz="2" w:space="0" w:color="auto"/>
              <w:right w:val="nil"/>
            </w:tcBorders>
            <w:shd w:val="clear" w:color="auto" w:fill="auto"/>
            <w:noWrap/>
            <w:vAlign w:val="center"/>
          </w:tcPr>
          <w:p w14:paraId="611E64A3"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470</w:t>
            </w:r>
          </w:p>
        </w:tc>
        <w:tc>
          <w:tcPr>
            <w:tcW w:w="992" w:type="dxa"/>
            <w:tcBorders>
              <w:top w:val="single" w:sz="2" w:space="0" w:color="auto"/>
              <w:left w:val="nil"/>
              <w:bottom w:val="single" w:sz="2" w:space="0" w:color="auto"/>
              <w:right w:val="nil"/>
            </w:tcBorders>
            <w:shd w:val="clear" w:color="auto" w:fill="auto"/>
            <w:noWrap/>
            <w:vAlign w:val="center"/>
          </w:tcPr>
          <w:p w14:paraId="2EF6C577"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341</w:t>
            </w:r>
          </w:p>
        </w:tc>
        <w:tc>
          <w:tcPr>
            <w:tcW w:w="1134" w:type="dxa"/>
            <w:tcBorders>
              <w:top w:val="single" w:sz="2" w:space="0" w:color="auto"/>
              <w:left w:val="nil"/>
              <w:bottom w:val="single" w:sz="2" w:space="0" w:color="auto"/>
              <w:right w:val="nil"/>
            </w:tcBorders>
            <w:shd w:val="clear" w:color="auto" w:fill="auto"/>
            <w:noWrap/>
            <w:vAlign w:val="center"/>
          </w:tcPr>
          <w:p w14:paraId="66710ED8"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190</w:t>
            </w:r>
          </w:p>
        </w:tc>
        <w:tc>
          <w:tcPr>
            <w:tcW w:w="1134" w:type="dxa"/>
            <w:tcBorders>
              <w:top w:val="single" w:sz="2" w:space="0" w:color="auto"/>
              <w:left w:val="nil"/>
              <w:bottom w:val="single" w:sz="2" w:space="0" w:color="auto"/>
              <w:right w:val="nil"/>
            </w:tcBorders>
            <w:shd w:val="clear" w:color="auto" w:fill="auto"/>
            <w:noWrap/>
            <w:vAlign w:val="center"/>
          </w:tcPr>
          <w:p w14:paraId="4301A520"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148</w:t>
            </w:r>
          </w:p>
        </w:tc>
        <w:tc>
          <w:tcPr>
            <w:tcW w:w="1134" w:type="dxa"/>
            <w:tcBorders>
              <w:top w:val="single" w:sz="2" w:space="0" w:color="auto"/>
              <w:left w:val="nil"/>
              <w:bottom w:val="single" w:sz="2" w:space="0" w:color="auto"/>
              <w:right w:val="nil"/>
            </w:tcBorders>
            <w:shd w:val="clear" w:color="auto" w:fill="auto"/>
            <w:noWrap/>
            <w:vAlign w:val="center"/>
          </w:tcPr>
          <w:p w14:paraId="28853779" w14:textId="77777777" w:rsidR="00EC4C05" w:rsidRPr="00033257" w:rsidRDefault="00EC4C05" w:rsidP="00FA2E05">
            <w:pPr>
              <w:spacing w:after="0"/>
              <w:ind w:firstLine="0"/>
              <w:jc w:val="right"/>
              <w:rPr>
                <w:rFonts w:ascii="Arial Narrow" w:hAnsi="Arial Narrow"/>
                <w:color w:val="000000"/>
              </w:rPr>
            </w:pPr>
            <w:r>
              <w:rPr>
                <w:rFonts w:ascii="Arial Narrow" w:hAnsi="Arial Narrow"/>
                <w:color w:val="000000"/>
              </w:rPr>
              <w:t>307</w:t>
            </w:r>
          </w:p>
        </w:tc>
      </w:tr>
      <w:tr w:rsidR="00A4051C" w:rsidRPr="00033257" w14:paraId="434D280A"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4B8ECA0B" w14:textId="77777777" w:rsidR="00A4051C" w:rsidRPr="00033257" w:rsidRDefault="00A4051C" w:rsidP="00A4051C">
            <w:pPr>
              <w:spacing w:after="0"/>
              <w:ind w:firstLine="0"/>
              <w:jc w:val="left"/>
              <w:rPr>
                <w:rFonts w:ascii="Arial Narrow" w:hAnsi="Arial Narrow" w:cs="Calibri"/>
                <w:color w:val="000000"/>
              </w:rPr>
            </w:pPr>
            <w:r>
              <w:rPr>
                <w:rFonts w:ascii="Arial Narrow" w:hAnsi="Arial Narrow"/>
                <w:color w:val="000000"/>
              </w:rPr>
              <w:t>Finantza-zama (biztanleko)</w:t>
            </w:r>
          </w:p>
        </w:tc>
        <w:tc>
          <w:tcPr>
            <w:tcW w:w="1276" w:type="dxa"/>
            <w:tcBorders>
              <w:top w:val="single" w:sz="2" w:space="0" w:color="auto"/>
              <w:left w:val="nil"/>
              <w:bottom w:val="single" w:sz="2" w:space="0" w:color="auto"/>
              <w:right w:val="nil"/>
            </w:tcBorders>
            <w:shd w:val="clear" w:color="auto" w:fill="auto"/>
            <w:noWrap/>
            <w:vAlign w:val="center"/>
            <w:hideMark/>
          </w:tcPr>
          <w:p w14:paraId="161DD4BB"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49</w:t>
            </w:r>
          </w:p>
        </w:tc>
        <w:tc>
          <w:tcPr>
            <w:tcW w:w="992" w:type="dxa"/>
            <w:tcBorders>
              <w:top w:val="single" w:sz="2" w:space="0" w:color="auto"/>
              <w:left w:val="nil"/>
              <w:bottom w:val="single" w:sz="2" w:space="0" w:color="auto"/>
              <w:right w:val="nil"/>
            </w:tcBorders>
            <w:shd w:val="clear" w:color="auto" w:fill="auto"/>
            <w:noWrap/>
            <w:vAlign w:val="center"/>
            <w:hideMark/>
          </w:tcPr>
          <w:p w14:paraId="55739EF0"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43</w:t>
            </w:r>
          </w:p>
        </w:tc>
        <w:tc>
          <w:tcPr>
            <w:tcW w:w="1134" w:type="dxa"/>
            <w:tcBorders>
              <w:top w:val="single" w:sz="2" w:space="0" w:color="auto"/>
              <w:left w:val="nil"/>
              <w:bottom w:val="single" w:sz="2" w:space="0" w:color="auto"/>
              <w:right w:val="nil"/>
            </w:tcBorders>
            <w:shd w:val="clear" w:color="auto" w:fill="auto"/>
            <w:noWrap/>
            <w:vAlign w:val="center"/>
            <w:hideMark/>
          </w:tcPr>
          <w:p w14:paraId="448F8575"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34</w:t>
            </w:r>
          </w:p>
        </w:tc>
        <w:tc>
          <w:tcPr>
            <w:tcW w:w="1134" w:type="dxa"/>
            <w:tcBorders>
              <w:top w:val="single" w:sz="2" w:space="0" w:color="auto"/>
              <w:left w:val="nil"/>
              <w:bottom w:val="single" w:sz="2" w:space="0" w:color="auto"/>
              <w:right w:val="nil"/>
            </w:tcBorders>
            <w:shd w:val="clear" w:color="auto" w:fill="auto"/>
            <w:noWrap/>
            <w:vAlign w:val="center"/>
            <w:hideMark/>
          </w:tcPr>
          <w:p w14:paraId="4052EA3A"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18</w:t>
            </w:r>
          </w:p>
        </w:tc>
        <w:tc>
          <w:tcPr>
            <w:tcW w:w="1134" w:type="dxa"/>
            <w:tcBorders>
              <w:top w:val="single" w:sz="2" w:space="0" w:color="auto"/>
              <w:left w:val="nil"/>
              <w:bottom w:val="single" w:sz="2" w:space="0" w:color="auto"/>
              <w:right w:val="nil"/>
            </w:tcBorders>
            <w:shd w:val="clear" w:color="auto" w:fill="auto"/>
            <w:noWrap/>
            <w:vAlign w:val="center"/>
            <w:hideMark/>
          </w:tcPr>
          <w:p w14:paraId="2EC8893D"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50</w:t>
            </w:r>
          </w:p>
        </w:tc>
      </w:tr>
      <w:tr w:rsidR="00A4051C" w:rsidRPr="00033257" w14:paraId="2A3998A9"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2F54B5D2" w14:textId="77777777" w:rsidR="00A4051C" w:rsidRPr="00033257" w:rsidRDefault="00A4051C" w:rsidP="00A4051C">
            <w:pPr>
              <w:spacing w:after="0"/>
              <w:ind w:firstLine="0"/>
              <w:jc w:val="left"/>
              <w:rPr>
                <w:rFonts w:ascii="Arial Narrow" w:hAnsi="Arial Narrow" w:cs="Calibri"/>
                <w:color w:val="000000"/>
              </w:rPr>
            </w:pPr>
            <w:r>
              <w:rPr>
                <w:rFonts w:ascii="Arial Narrow" w:hAnsi="Arial Narrow"/>
                <w:color w:val="000000"/>
              </w:rPr>
              <w:t>Aurrezki gordina (biztanleko)</w:t>
            </w:r>
          </w:p>
        </w:tc>
        <w:tc>
          <w:tcPr>
            <w:tcW w:w="1276" w:type="dxa"/>
            <w:tcBorders>
              <w:top w:val="single" w:sz="2" w:space="0" w:color="auto"/>
              <w:left w:val="nil"/>
              <w:bottom w:val="single" w:sz="2" w:space="0" w:color="auto"/>
              <w:right w:val="nil"/>
            </w:tcBorders>
            <w:shd w:val="clear" w:color="auto" w:fill="auto"/>
            <w:noWrap/>
            <w:vAlign w:val="center"/>
            <w:hideMark/>
          </w:tcPr>
          <w:p w14:paraId="46117FEC"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334</w:t>
            </w:r>
          </w:p>
        </w:tc>
        <w:tc>
          <w:tcPr>
            <w:tcW w:w="992" w:type="dxa"/>
            <w:tcBorders>
              <w:top w:val="single" w:sz="2" w:space="0" w:color="auto"/>
              <w:left w:val="nil"/>
              <w:bottom w:val="single" w:sz="2" w:space="0" w:color="auto"/>
              <w:right w:val="nil"/>
            </w:tcBorders>
            <w:shd w:val="clear" w:color="auto" w:fill="auto"/>
            <w:noWrap/>
            <w:vAlign w:val="center"/>
            <w:hideMark/>
          </w:tcPr>
          <w:p w14:paraId="1F5BD02E"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241</w:t>
            </w:r>
          </w:p>
        </w:tc>
        <w:tc>
          <w:tcPr>
            <w:tcW w:w="1134" w:type="dxa"/>
            <w:tcBorders>
              <w:top w:val="single" w:sz="2" w:space="0" w:color="auto"/>
              <w:left w:val="nil"/>
              <w:bottom w:val="single" w:sz="2" w:space="0" w:color="auto"/>
              <w:right w:val="nil"/>
            </w:tcBorders>
            <w:shd w:val="clear" w:color="auto" w:fill="auto"/>
            <w:noWrap/>
            <w:vAlign w:val="center"/>
            <w:hideMark/>
          </w:tcPr>
          <w:p w14:paraId="307C2F63"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124</w:t>
            </w:r>
          </w:p>
        </w:tc>
        <w:tc>
          <w:tcPr>
            <w:tcW w:w="1134" w:type="dxa"/>
            <w:tcBorders>
              <w:top w:val="single" w:sz="2" w:space="0" w:color="auto"/>
              <w:left w:val="nil"/>
              <w:bottom w:val="single" w:sz="2" w:space="0" w:color="auto"/>
              <w:right w:val="nil"/>
            </w:tcBorders>
            <w:shd w:val="clear" w:color="auto" w:fill="auto"/>
            <w:noWrap/>
            <w:vAlign w:val="center"/>
            <w:hideMark/>
          </w:tcPr>
          <w:p w14:paraId="2B511AAB"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116</w:t>
            </w:r>
          </w:p>
        </w:tc>
        <w:tc>
          <w:tcPr>
            <w:tcW w:w="1134" w:type="dxa"/>
            <w:tcBorders>
              <w:top w:val="single" w:sz="2" w:space="0" w:color="auto"/>
              <w:left w:val="nil"/>
              <w:bottom w:val="single" w:sz="2" w:space="0" w:color="auto"/>
              <w:right w:val="nil"/>
            </w:tcBorders>
            <w:shd w:val="clear" w:color="auto" w:fill="auto"/>
            <w:noWrap/>
            <w:vAlign w:val="center"/>
            <w:hideMark/>
          </w:tcPr>
          <w:p w14:paraId="730C6128"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144</w:t>
            </w:r>
          </w:p>
        </w:tc>
      </w:tr>
      <w:tr w:rsidR="00A4051C" w:rsidRPr="00033257" w14:paraId="16A78F68"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0B7A52FC" w14:textId="77777777" w:rsidR="00A4051C" w:rsidRPr="00033257" w:rsidRDefault="00A4051C" w:rsidP="00A4051C">
            <w:pPr>
              <w:spacing w:after="0"/>
              <w:ind w:firstLine="0"/>
              <w:jc w:val="left"/>
              <w:rPr>
                <w:rFonts w:ascii="Arial Narrow" w:hAnsi="Arial Narrow" w:cs="Calibri"/>
                <w:color w:val="000000"/>
              </w:rPr>
            </w:pPr>
            <w:r>
              <w:rPr>
                <w:rFonts w:ascii="Arial Narrow" w:hAnsi="Arial Narrow"/>
                <w:color w:val="000000"/>
              </w:rPr>
              <w:t>Aurrezki garbia (biztanleko)</w:t>
            </w:r>
          </w:p>
        </w:tc>
        <w:tc>
          <w:tcPr>
            <w:tcW w:w="1276" w:type="dxa"/>
            <w:tcBorders>
              <w:top w:val="single" w:sz="2" w:space="0" w:color="auto"/>
              <w:left w:val="nil"/>
              <w:bottom w:val="single" w:sz="2" w:space="0" w:color="auto"/>
              <w:right w:val="nil"/>
            </w:tcBorders>
            <w:shd w:val="clear" w:color="auto" w:fill="auto"/>
            <w:noWrap/>
            <w:vAlign w:val="center"/>
            <w:hideMark/>
          </w:tcPr>
          <w:p w14:paraId="2AA34C96"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285</w:t>
            </w:r>
          </w:p>
        </w:tc>
        <w:tc>
          <w:tcPr>
            <w:tcW w:w="992" w:type="dxa"/>
            <w:tcBorders>
              <w:top w:val="single" w:sz="2" w:space="0" w:color="auto"/>
              <w:left w:val="nil"/>
              <w:bottom w:val="single" w:sz="2" w:space="0" w:color="auto"/>
              <w:right w:val="nil"/>
            </w:tcBorders>
            <w:shd w:val="clear" w:color="auto" w:fill="auto"/>
            <w:noWrap/>
            <w:vAlign w:val="center"/>
            <w:hideMark/>
          </w:tcPr>
          <w:p w14:paraId="61297EE0"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198</w:t>
            </w:r>
          </w:p>
        </w:tc>
        <w:tc>
          <w:tcPr>
            <w:tcW w:w="1134" w:type="dxa"/>
            <w:tcBorders>
              <w:top w:val="single" w:sz="2" w:space="0" w:color="auto"/>
              <w:left w:val="nil"/>
              <w:bottom w:val="single" w:sz="2" w:space="0" w:color="auto"/>
              <w:right w:val="nil"/>
            </w:tcBorders>
            <w:shd w:val="clear" w:color="auto" w:fill="auto"/>
            <w:noWrap/>
            <w:vAlign w:val="center"/>
            <w:hideMark/>
          </w:tcPr>
          <w:p w14:paraId="4EF93A77"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89</w:t>
            </w:r>
          </w:p>
        </w:tc>
        <w:tc>
          <w:tcPr>
            <w:tcW w:w="1134" w:type="dxa"/>
            <w:tcBorders>
              <w:top w:val="single" w:sz="2" w:space="0" w:color="auto"/>
              <w:left w:val="nil"/>
              <w:bottom w:val="single" w:sz="2" w:space="0" w:color="auto"/>
              <w:right w:val="nil"/>
            </w:tcBorders>
            <w:shd w:val="clear" w:color="auto" w:fill="auto"/>
            <w:noWrap/>
            <w:vAlign w:val="center"/>
            <w:hideMark/>
          </w:tcPr>
          <w:p w14:paraId="1D3E6FDD"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98</w:t>
            </w:r>
          </w:p>
        </w:tc>
        <w:tc>
          <w:tcPr>
            <w:tcW w:w="1134" w:type="dxa"/>
            <w:tcBorders>
              <w:top w:val="single" w:sz="2" w:space="0" w:color="auto"/>
              <w:left w:val="nil"/>
              <w:bottom w:val="single" w:sz="2" w:space="0" w:color="auto"/>
              <w:right w:val="nil"/>
            </w:tcBorders>
            <w:shd w:val="clear" w:color="auto" w:fill="auto"/>
            <w:noWrap/>
            <w:vAlign w:val="center"/>
            <w:hideMark/>
          </w:tcPr>
          <w:p w14:paraId="246A7C2B"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93</w:t>
            </w:r>
          </w:p>
        </w:tc>
      </w:tr>
      <w:tr w:rsidR="00A4051C" w:rsidRPr="00033257" w14:paraId="798E07A8"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38869379" w14:textId="77777777" w:rsidR="00A4051C" w:rsidRPr="00033257" w:rsidRDefault="00A4051C" w:rsidP="00EC4C05">
            <w:pPr>
              <w:spacing w:after="0"/>
              <w:ind w:firstLine="0"/>
              <w:jc w:val="left"/>
              <w:rPr>
                <w:rFonts w:ascii="Arial Narrow" w:hAnsi="Arial Narrow" w:cs="Calibri"/>
                <w:color w:val="000000"/>
              </w:rPr>
            </w:pPr>
            <w:r>
              <w:rPr>
                <w:rFonts w:ascii="Arial Narrow" w:hAnsi="Arial Narrow"/>
                <w:color w:val="000000"/>
              </w:rPr>
              <w:t>Finantza-zamaren adierazlea (3. eta 9. kap. sarr. arr. gabe)</w:t>
            </w:r>
          </w:p>
        </w:tc>
        <w:tc>
          <w:tcPr>
            <w:tcW w:w="1276" w:type="dxa"/>
            <w:tcBorders>
              <w:top w:val="single" w:sz="2" w:space="0" w:color="auto"/>
              <w:left w:val="nil"/>
              <w:bottom w:val="single" w:sz="2" w:space="0" w:color="auto"/>
              <w:right w:val="nil"/>
            </w:tcBorders>
            <w:shd w:val="clear" w:color="auto" w:fill="auto"/>
            <w:noWrap/>
            <w:vAlign w:val="center"/>
            <w:hideMark/>
          </w:tcPr>
          <w:p w14:paraId="3D62A9F8"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4</w:t>
            </w:r>
          </w:p>
        </w:tc>
        <w:tc>
          <w:tcPr>
            <w:tcW w:w="992" w:type="dxa"/>
            <w:tcBorders>
              <w:top w:val="single" w:sz="2" w:space="0" w:color="auto"/>
              <w:left w:val="nil"/>
              <w:bottom w:val="single" w:sz="2" w:space="0" w:color="auto"/>
              <w:right w:val="nil"/>
            </w:tcBorders>
            <w:shd w:val="clear" w:color="auto" w:fill="auto"/>
            <w:noWrap/>
            <w:vAlign w:val="center"/>
            <w:hideMark/>
          </w:tcPr>
          <w:p w14:paraId="71AFCBA0"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4</w:t>
            </w:r>
          </w:p>
        </w:tc>
        <w:tc>
          <w:tcPr>
            <w:tcW w:w="1134" w:type="dxa"/>
            <w:tcBorders>
              <w:top w:val="single" w:sz="2" w:space="0" w:color="auto"/>
              <w:left w:val="nil"/>
              <w:bottom w:val="single" w:sz="2" w:space="0" w:color="auto"/>
              <w:right w:val="nil"/>
            </w:tcBorders>
            <w:shd w:val="clear" w:color="auto" w:fill="auto"/>
            <w:noWrap/>
            <w:vAlign w:val="center"/>
            <w:hideMark/>
          </w:tcPr>
          <w:p w14:paraId="28F3F337"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3</w:t>
            </w:r>
          </w:p>
        </w:tc>
        <w:tc>
          <w:tcPr>
            <w:tcW w:w="1134" w:type="dxa"/>
            <w:tcBorders>
              <w:top w:val="single" w:sz="2" w:space="0" w:color="auto"/>
              <w:left w:val="nil"/>
              <w:bottom w:val="single" w:sz="2" w:space="0" w:color="auto"/>
              <w:right w:val="nil"/>
            </w:tcBorders>
            <w:shd w:val="clear" w:color="auto" w:fill="auto"/>
            <w:noWrap/>
            <w:vAlign w:val="center"/>
            <w:hideMark/>
          </w:tcPr>
          <w:p w14:paraId="4FD71FBC"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2</w:t>
            </w:r>
          </w:p>
        </w:tc>
        <w:tc>
          <w:tcPr>
            <w:tcW w:w="1134" w:type="dxa"/>
            <w:tcBorders>
              <w:top w:val="single" w:sz="2" w:space="0" w:color="auto"/>
              <w:left w:val="nil"/>
              <w:bottom w:val="single" w:sz="2" w:space="0" w:color="auto"/>
              <w:right w:val="nil"/>
            </w:tcBorders>
            <w:shd w:val="clear" w:color="auto" w:fill="auto"/>
            <w:noWrap/>
            <w:vAlign w:val="center"/>
            <w:hideMark/>
          </w:tcPr>
          <w:p w14:paraId="4ACB8EB6"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5</w:t>
            </w:r>
          </w:p>
        </w:tc>
      </w:tr>
      <w:tr w:rsidR="00A4051C" w:rsidRPr="00033257" w14:paraId="72A21B82"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783B2E08" w14:textId="77777777" w:rsidR="00A4051C" w:rsidRPr="00033257" w:rsidRDefault="00A4051C" w:rsidP="00A4051C">
            <w:pPr>
              <w:spacing w:after="0"/>
              <w:ind w:firstLine="0"/>
              <w:jc w:val="left"/>
              <w:rPr>
                <w:rFonts w:ascii="Arial Narrow" w:hAnsi="Arial Narrow" w:cs="Calibri"/>
                <w:color w:val="000000"/>
              </w:rPr>
            </w:pPr>
            <w:r>
              <w:rPr>
                <w:rFonts w:ascii="Arial Narrow" w:hAnsi="Arial Narrow"/>
                <w:color w:val="000000"/>
              </w:rPr>
              <w:t>Aurrez. gord. % diru-sarr. arr. gabe (d.s. arr. - funtz. gast. / d.s. arr.)</w:t>
            </w:r>
          </w:p>
        </w:tc>
        <w:tc>
          <w:tcPr>
            <w:tcW w:w="1276" w:type="dxa"/>
            <w:tcBorders>
              <w:top w:val="single" w:sz="2" w:space="0" w:color="auto"/>
              <w:left w:val="nil"/>
              <w:bottom w:val="single" w:sz="2" w:space="0" w:color="auto"/>
              <w:right w:val="nil"/>
            </w:tcBorders>
            <w:shd w:val="clear" w:color="auto" w:fill="auto"/>
            <w:noWrap/>
            <w:vAlign w:val="center"/>
            <w:hideMark/>
          </w:tcPr>
          <w:p w14:paraId="5D8ECBF0"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26</w:t>
            </w:r>
          </w:p>
        </w:tc>
        <w:tc>
          <w:tcPr>
            <w:tcW w:w="992" w:type="dxa"/>
            <w:tcBorders>
              <w:top w:val="single" w:sz="2" w:space="0" w:color="auto"/>
              <w:left w:val="nil"/>
              <w:bottom w:val="single" w:sz="2" w:space="0" w:color="auto"/>
              <w:right w:val="nil"/>
            </w:tcBorders>
            <w:shd w:val="clear" w:color="auto" w:fill="auto"/>
            <w:noWrap/>
            <w:vAlign w:val="center"/>
            <w:hideMark/>
          </w:tcPr>
          <w:p w14:paraId="0D36FB98"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21</w:t>
            </w:r>
          </w:p>
        </w:tc>
        <w:tc>
          <w:tcPr>
            <w:tcW w:w="1134" w:type="dxa"/>
            <w:tcBorders>
              <w:top w:val="single" w:sz="2" w:space="0" w:color="auto"/>
              <w:left w:val="nil"/>
              <w:bottom w:val="single" w:sz="2" w:space="0" w:color="auto"/>
              <w:right w:val="nil"/>
            </w:tcBorders>
            <w:shd w:val="clear" w:color="auto" w:fill="auto"/>
            <w:noWrap/>
            <w:vAlign w:val="center"/>
            <w:hideMark/>
          </w:tcPr>
          <w:p w14:paraId="75974B23"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12</w:t>
            </w:r>
          </w:p>
        </w:tc>
        <w:tc>
          <w:tcPr>
            <w:tcW w:w="1134" w:type="dxa"/>
            <w:tcBorders>
              <w:top w:val="single" w:sz="2" w:space="0" w:color="auto"/>
              <w:left w:val="nil"/>
              <w:bottom w:val="single" w:sz="2" w:space="0" w:color="auto"/>
              <w:right w:val="nil"/>
            </w:tcBorders>
            <w:shd w:val="clear" w:color="auto" w:fill="auto"/>
            <w:noWrap/>
            <w:vAlign w:val="center"/>
            <w:hideMark/>
          </w:tcPr>
          <w:p w14:paraId="2FFC5AE4"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13</w:t>
            </w:r>
          </w:p>
        </w:tc>
        <w:tc>
          <w:tcPr>
            <w:tcW w:w="1134" w:type="dxa"/>
            <w:tcBorders>
              <w:top w:val="single" w:sz="2" w:space="0" w:color="auto"/>
              <w:left w:val="nil"/>
              <w:bottom w:val="single" w:sz="2" w:space="0" w:color="auto"/>
              <w:right w:val="nil"/>
            </w:tcBorders>
            <w:shd w:val="clear" w:color="auto" w:fill="auto"/>
            <w:noWrap/>
            <w:vAlign w:val="center"/>
            <w:hideMark/>
          </w:tcPr>
          <w:p w14:paraId="030CC565"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13</w:t>
            </w:r>
          </w:p>
        </w:tc>
      </w:tr>
      <w:tr w:rsidR="00A4051C" w:rsidRPr="00033257" w14:paraId="30ABA6DF" w14:textId="77777777" w:rsidTr="00587A64">
        <w:trPr>
          <w:trHeight w:val="255"/>
          <w:jc w:val="center"/>
        </w:trPr>
        <w:tc>
          <w:tcPr>
            <w:tcW w:w="3119" w:type="dxa"/>
            <w:tcBorders>
              <w:top w:val="single" w:sz="2" w:space="0" w:color="auto"/>
              <w:left w:val="nil"/>
              <w:bottom w:val="single" w:sz="4" w:space="0" w:color="auto"/>
              <w:right w:val="nil"/>
            </w:tcBorders>
            <w:shd w:val="clear" w:color="auto" w:fill="auto"/>
            <w:noWrap/>
            <w:vAlign w:val="center"/>
          </w:tcPr>
          <w:p w14:paraId="2AF66AEB" w14:textId="77777777" w:rsidR="00A4051C" w:rsidRPr="00033257" w:rsidRDefault="00A4051C" w:rsidP="00A4051C">
            <w:pPr>
              <w:spacing w:after="0"/>
              <w:ind w:firstLine="0"/>
              <w:jc w:val="left"/>
              <w:rPr>
                <w:rFonts w:ascii="Arial Narrow" w:hAnsi="Arial Narrow" w:cs="Calibri"/>
                <w:color w:val="000000"/>
              </w:rPr>
            </w:pPr>
            <w:r>
              <w:rPr>
                <w:rFonts w:ascii="Arial Narrow" w:hAnsi="Arial Narrow"/>
                <w:color w:val="000000"/>
              </w:rPr>
              <w:t>Transferentzia arruntak (biztanleko)</w:t>
            </w:r>
          </w:p>
        </w:tc>
        <w:tc>
          <w:tcPr>
            <w:tcW w:w="1276" w:type="dxa"/>
            <w:tcBorders>
              <w:top w:val="single" w:sz="2" w:space="0" w:color="auto"/>
              <w:left w:val="nil"/>
              <w:bottom w:val="single" w:sz="4" w:space="0" w:color="auto"/>
              <w:right w:val="nil"/>
            </w:tcBorders>
            <w:shd w:val="clear" w:color="auto" w:fill="auto"/>
            <w:noWrap/>
            <w:vAlign w:val="center"/>
          </w:tcPr>
          <w:p w14:paraId="02170CFE" w14:textId="77777777" w:rsidR="00A4051C" w:rsidRPr="00033257" w:rsidRDefault="00EC4C05" w:rsidP="00FA2E05">
            <w:pPr>
              <w:spacing w:after="0"/>
              <w:ind w:firstLine="0"/>
              <w:jc w:val="right"/>
              <w:rPr>
                <w:rFonts w:ascii="Arial Narrow" w:hAnsi="Arial Narrow"/>
                <w:color w:val="000000"/>
              </w:rPr>
            </w:pPr>
            <w:r>
              <w:rPr>
                <w:rFonts w:ascii="Arial Narrow" w:hAnsi="Arial Narrow"/>
                <w:color w:val="000000"/>
              </w:rPr>
              <w:t>518</w:t>
            </w:r>
          </w:p>
        </w:tc>
        <w:tc>
          <w:tcPr>
            <w:tcW w:w="992" w:type="dxa"/>
            <w:tcBorders>
              <w:top w:val="single" w:sz="2" w:space="0" w:color="auto"/>
              <w:left w:val="nil"/>
              <w:bottom w:val="single" w:sz="4" w:space="0" w:color="auto"/>
              <w:right w:val="nil"/>
            </w:tcBorders>
            <w:shd w:val="clear" w:color="auto" w:fill="auto"/>
            <w:noWrap/>
            <w:vAlign w:val="center"/>
          </w:tcPr>
          <w:p w14:paraId="17C7279A" w14:textId="77777777" w:rsidR="00A4051C" w:rsidRPr="00033257" w:rsidRDefault="00EC4C05" w:rsidP="00FA2E05">
            <w:pPr>
              <w:spacing w:after="0"/>
              <w:ind w:firstLine="0"/>
              <w:jc w:val="right"/>
              <w:rPr>
                <w:rFonts w:ascii="Arial Narrow" w:hAnsi="Arial Narrow"/>
                <w:color w:val="000000"/>
              </w:rPr>
            </w:pPr>
            <w:r>
              <w:rPr>
                <w:rFonts w:ascii="Arial Narrow" w:hAnsi="Arial Narrow"/>
                <w:color w:val="000000"/>
              </w:rPr>
              <w:t>489</w:t>
            </w:r>
          </w:p>
        </w:tc>
        <w:tc>
          <w:tcPr>
            <w:tcW w:w="1134" w:type="dxa"/>
            <w:tcBorders>
              <w:top w:val="single" w:sz="2" w:space="0" w:color="auto"/>
              <w:left w:val="nil"/>
              <w:bottom w:val="single" w:sz="4" w:space="0" w:color="auto"/>
              <w:right w:val="nil"/>
            </w:tcBorders>
            <w:shd w:val="clear" w:color="auto" w:fill="auto"/>
            <w:noWrap/>
            <w:vAlign w:val="center"/>
          </w:tcPr>
          <w:p w14:paraId="2BCD7C6A" w14:textId="77777777" w:rsidR="00A4051C" w:rsidRPr="00033257" w:rsidRDefault="00EC4C05" w:rsidP="00FA2E05">
            <w:pPr>
              <w:spacing w:after="0"/>
              <w:ind w:firstLine="0"/>
              <w:jc w:val="right"/>
              <w:rPr>
                <w:rFonts w:ascii="Arial Narrow" w:hAnsi="Arial Narrow"/>
                <w:color w:val="000000"/>
              </w:rPr>
            </w:pPr>
            <w:r>
              <w:rPr>
                <w:rFonts w:ascii="Arial Narrow" w:hAnsi="Arial Narrow"/>
                <w:color w:val="000000"/>
              </w:rPr>
              <w:t>430</w:t>
            </w:r>
          </w:p>
        </w:tc>
        <w:tc>
          <w:tcPr>
            <w:tcW w:w="1134" w:type="dxa"/>
            <w:tcBorders>
              <w:top w:val="single" w:sz="2" w:space="0" w:color="auto"/>
              <w:left w:val="nil"/>
              <w:bottom w:val="single" w:sz="4" w:space="0" w:color="auto"/>
              <w:right w:val="nil"/>
            </w:tcBorders>
            <w:shd w:val="clear" w:color="auto" w:fill="auto"/>
            <w:noWrap/>
            <w:vAlign w:val="center"/>
          </w:tcPr>
          <w:p w14:paraId="1E78E075" w14:textId="77777777" w:rsidR="00A4051C" w:rsidRPr="00033257" w:rsidRDefault="00EC4C05" w:rsidP="00FA2E05">
            <w:pPr>
              <w:spacing w:after="0"/>
              <w:ind w:firstLine="0"/>
              <w:jc w:val="right"/>
              <w:rPr>
                <w:rFonts w:ascii="Arial Narrow" w:hAnsi="Arial Narrow"/>
                <w:color w:val="000000"/>
              </w:rPr>
            </w:pPr>
            <w:r>
              <w:rPr>
                <w:rFonts w:ascii="Arial Narrow" w:hAnsi="Arial Narrow"/>
                <w:color w:val="000000"/>
              </w:rPr>
              <w:t>411</w:t>
            </w:r>
          </w:p>
        </w:tc>
        <w:tc>
          <w:tcPr>
            <w:tcW w:w="1134" w:type="dxa"/>
            <w:tcBorders>
              <w:top w:val="single" w:sz="2" w:space="0" w:color="auto"/>
              <w:left w:val="nil"/>
              <w:bottom w:val="single" w:sz="4" w:space="0" w:color="auto"/>
              <w:right w:val="nil"/>
            </w:tcBorders>
            <w:shd w:val="clear" w:color="auto" w:fill="auto"/>
            <w:noWrap/>
            <w:vAlign w:val="center"/>
          </w:tcPr>
          <w:p w14:paraId="5034AFA0" w14:textId="77777777" w:rsidR="00A4051C" w:rsidRPr="00033257" w:rsidRDefault="00EC4C05" w:rsidP="00FA2E05">
            <w:pPr>
              <w:spacing w:after="0"/>
              <w:ind w:firstLine="0"/>
              <w:jc w:val="right"/>
              <w:rPr>
                <w:rFonts w:ascii="Arial Narrow" w:hAnsi="Arial Narrow"/>
                <w:color w:val="000000"/>
              </w:rPr>
            </w:pPr>
            <w:r>
              <w:rPr>
                <w:rFonts w:ascii="Arial Narrow" w:hAnsi="Arial Narrow"/>
                <w:color w:val="000000"/>
              </w:rPr>
              <w:t>545</w:t>
            </w:r>
          </w:p>
        </w:tc>
      </w:tr>
      <w:tr w:rsidR="00A4051C" w:rsidRPr="00033257" w14:paraId="07009C55" w14:textId="77777777" w:rsidTr="00587A64">
        <w:trPr>
          <w:trHeight w:val="255"/>
          <w:jc w:val="center"/>
        </w:trPr>
        <w:tc>
          <w:tcPr>
            <w:tcW w:w="3119" w:type="dxa"/>
            <w:tcBorders>
              <w:top w:val="single" w:sz="4" w:space="0" w:color="auto"/>
              <w:left w:val="nil"/>
              <w:bottom w:val="single" w:sz="4" w:space="0" w:color="auto"/>
              <w:right w:val="nil"/>
            </w:tcBorders>
            <w:shd w:val="clear" w:color="auto" w:fill="auto"/>
            <w:noWrap/>
            <w:vAlign w:val="center"/>
            <w:hideMark/>
          </w:tcPr>
          <w:p w14:paraId="6EEAF103" w14:textId="77777777" w:rsidR="00A4051C" w:rsidRPr="00033257" w:rsidRDefault="00A4051C" w:rsidP="00A4051C">
            <w:pPr>
              <w:spacing w:after="0"/>
              <w:ind w:firstLine="0"/>
              <w:jc w:val="left"/>
              <w:rPr>
                <w:rFonts w:ascii="Arial Narrow" w:hAnsi="Arial Narrow" w:cs="Calibri"/>
                <w:color w:val="000000"/>
              </w:rPr>
            </w:pPr>
            <w:r>
              <w:rPr>
                <w:rFonts w:ascii="Arial Narrow" w:hAnsi="Arial Narrow"/>
                <w:color w:val="000000"/>
              </w:rPr>
              <w:t>Transferentzia arruntez finantzatutako gastu arrunten ehunekoa</w:t>
            </w:r>
          </w:p>
        </w:tc>
        <w:tc>
          <w:tcPr>
            <w:tcW w:w="1276" w:type="dxa"/>
            <w:tcBorders>
              <w:top w:val="single" w:sz="4" w:space="0" w:color="auto"/>
              <w:left w:val="nil"/>
              <w:bottom w:val="single" w:sz="4" w:space="0" w:color="auto"/>
              <w:right w:val="nil"/>
            </w:tcBorders>
            <w:shd w:val="clear" w:color="auto" w:fill="auto"/>
            <w:noWrap/>
            <w:vAlign w:val="center"/>
            <w:hideMark/>
          </w:tcPr>
          <w:p w14:paraId="262EE23F"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56</w:t>
            </w:r>
          </w:p>
        </w:tc>
        <w:tc>
          <w:tcPr>
            <w:tcW w:w="992" w:type="dxa"/>
            <w:tcBorders>
              <w:top w:val="single" w:sz="4" w:space="0" w:color="auto"/>
              <w:left w:val="nil"/>
              <w:bottom w:val="single" w:sz="4" w:space="0" w:color="auto"/>
              <w:right w:val="nil"/>
            </w:tcBorders>
            <w:shd w:val="clear" w:color="auto" w:fill="auto"/>
            <w:noWrap/>
            <w:vAlign w:val="center"/>
            <w:hideMark/>
          </w:tcPr>
          <w:p w14:paraId="37B1E73D"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54</w:t>
            </w:r>
          </w:p>
        </w:tc>
        <w:tc>
          <w:tcPr>
            <w:tcW w:w="1134" w:type="dxa"/>
            <w:tcBorders>
              <w:top w:val="single" w:sz="4" w:space="0" w:color="auto"/>
              <w:left w:val="nil"/>
              <w:bottom w:val="single" w:sz="4" w:space="0" w:color="auto"/>
              <w:right w:val="nil"/>
            </w:tcBorders>
            <w:shd w:val="clear" w:color="auto" w:fill="auto"/>
            <w:noWrap/>
            <w:vAlign w:val="center"/>
            <w:hideMark/>
          </w:tcPr>
          <w:p w14:paraId="61E08561"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49</w:t>
            </w:r>
          </w:p>
        </w:tc>
        <w:tc>
          <w:tcPr>
            <w:tcW w:w="1134" w:type="dxa"/>
            <w:tcBorders>
              <w:top w:val="single" w:sz="4" w:space="0" w:color="auto"/>
              <w:left w:val="nil"/>
              <w:bottom w:val="single" w:sz="4" w:space="0" w:color="auto"/>
              <w:right w:val="nil"/>
            </w:tcBorders>
            <w:shd w:val="clear" w:color="auto" w:fill="auto"/>
            <w:noWrap/>
            <w:vAlign w:val="center"/>
            <w:hideMark/>
          </w:tcPr>
          <w:p w14:paraId="5BFBC899"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52</w:t>
            </w:r>
          </w:p>
        </w:tc>
        <w:tc>
          <w:tcPr>
            <w:tcW w:w="1134" w:type="dxa"/>
            <w:tcBorders>
              <w:top w:val="single" w:sz="4" w:space="0" w:color="auto"/>
              <w:left w:val="nil"/>
              <w:bottom w:val="single" w:sz="4" w:space="0" w:color="auto"/>
              <w:right w:val="nil"/>
            </w:tcBorders>
            <w:shd w:val="clear" w:color="auto" w:fill="auto"/>
            <w:noWrap/>
            <w:vAlign w:val="center"/>
            <w:hideMark/>
          </w:tcPr>
          <w:p w14:paraId="45D4189B" w14:textId="77777777" w:rsidR="00A4051C" w:rsidRPr="00033257" w:rsidRDefault="00A4051C" w:rsidP="00FA2E05">
            <w:pPr>
              <w:spacing w:after="0"/>
              <w:ind w:firstLine="0"/>
              <w:jc w:val="right"/>
              <w:rPr>
                <w:rFonts w:ascii="Arial Narrow" w:hAnsi="Arial Narrow"/>
                <w:color w:val="000000"/>
              </w:rPr>
            </w:pPr>
            <w:r>
              <w:rPr>
                <w:rFonts w:ascii="Arial Narrow" w:hAnsi="Arial Narrow"/>
                <w:color w:val="000000"/>
              </w:rPr>
              <w:t>% 57</w:t>
            </w:r>
          </w:p>
        </w:tc>
      </w:tr>
    </w:tbl>
    <w:p w14:paraId="19E3868A" w14:textId="13F6E09F" w:rsidR="00A4051C" w:rsidRPr="00033257" w:rsidRDefault="00FB4B12" w:rsidP="00FA2E05">
      <w:pPr>
        <w:pStyle w:val="texto"/>
        <w:spacing w:before="240" w:after="360"/>
      </w:pPr>
      <w:r>
        <w:t>Iruñean izan ezik, bera baita 40.000 biztanletik gorako udalerri bakarra, udalerria zenbat eta handiagoa izan orduan eta txikiagoak dira guztizko diru-sarrerak, diru-sarrera arruntak eta kapitalekoak, bai eta funtzionamendu eta kapitaleko gastuak eta biztanleko aurrezki gordina ere.</w:t>
      </w:r>
    </w:p>
    <w:p w14:paraId="242F97E2" w14:textId="681A22E5" w:rsidR="00A4051C" w:rsidRPr="00033257" w:rsidRDefault="00A4051C" w:rsidP="00FB4B12">
      <w:pPr>
        <w:pStyle w:val="Ttulo2"/>
        <w:spacing w:before="0" w:after="240"/>
        <w:ind w:firstLine="0"/>
        <w:rPr>
          <w:b w:val="0"/>
          <w:i w:val="0"/>
          <w:sz w:val="25"/>
          <w:szCs w:val="25"/>
        </w:rPr>
      </w:pPr>
      <w:bookmarkStart w:id="103" w:name="_Toc123547421"/>
      <w:bookmarkStart w:id="104" w:name="_Toc151635614"/>
      <w:r>
        <w:rPr>
          <w:b w:val="0"/>
          <w:i w:val="0"/>
          <w:sz w:val="25"/>
        </w:rPr>
        <w:t>X.2 Nafarroako udalen, EAEkoen eta Estatukoen arteko konparazioa</w:t>
      </w:r>
      <w:bookmarkStart w:id="105" w:name="_Toc52348297"/>
      <w:bookmarkEnd w:id="103"/>
      <w:bookmarkEnd w:id="104"/>
    </w:p>
    <w:bookmarkEnd w:id="105"/>
    <w:p w14:paraId="51053F42" w14:textId="0C6D8341" w:rsidR="00EC4C05" w:rsidRPr="00033257" w:rsidRDefault="00EC4C05" w:rsidP="00EC4C05">
      <w:pPr>
        <w:ind w:firstLine="284"/>
        <w:rPr>
          <w:rStyle w:val="textoCar"/>
          <w:color w:val="000000" w:themeColor="text1"/>
          <w:szCs w:val="26"/>
        </w:rPr>
      </w:pPr>
      <w:r>
        <w:rPr>
          <w:rStyle w:val="textoCar"/>
          <w:color w:val="000000" w:themeColor="text1"/>
        </w:rPr>
        <w:t>Atal honetan, adierazle ekonomiko-finantzarioen multzo bat erabiliz, Nafarroako udalak alderatu ditugu Euskal Autonomia Erkidegokoekin eta Estatuko gainerakoekin, zeinek finantzaketa sistema desberdinak baitituzte. Horretarako oinarritzat hartzen da toki sektore publikoaren 2021eko finantza egoerari buruz Toki Administrazioaren eta Despopulazioaren Zuzendaritza Nagusiak egindako txosteneko informazioa.</w:t>
      </w:r>
    </w:p>
    <w:p w14:paraId="1E1013AF" w14:textId="51A0917F" w:rsidR="00E75228" w:rsidRDefault="00EC4C05" w:rsidP="00D71C47">
      <w:pPr>
        <w:spacing w:after="240"/>
        <w:ind w:firstLine="284"/>
        <w:rPr>
          <w:rStyle w:val="textoCar"/>
          <w:color w:val="000000" w:themeColor="text1"/>
          <w:szCs w:val="26"/>
        </w:rPr>
      </w:pPr>
      <w:r>
        <w:rPr>
          <w:rStyle w:val="textoCar"/>
          <w:color w:val="000000" w:themeColor="text1"/>
        </w:rPr>
        <w:t xml:space="preserve">Nafarroako udalerriak txikiak direnez, konparazioa homogeneoagoa izan dadin, 40.000 biztanle baino gutxiago dituzten eta probintziako hiriburu ez diren </w:t>
      </w:r>
      <w:r>
        <w:rPr>
          <w:rStyle w:val="textoCar"/>
          <w:color w:val="000000" w:themeColor="text1"/>
        </w:rPr>
        <w:lastRenderedPageBreak/>
        <w:t>udalak bakarrik hartu dira (Nafarroan denak, Iruña izan ezik). Hurrengo taulan, konparazioan sartutako udalerrien datuak ageri dira:</w:t>
      </w:r>
    </w:p>
    <w:tbl>
      <w:tblPr>
        <w:tblW w:w="874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52"/>
        <w:gridCol w:w="1300"/>
        <w:gridCol w:w="1536"/>
        <w:gridCol w:w="1830"/>
        <w:gridCol w:w="1528"/>
      </w:tblGrid>
      <w:tr w:rsidR="00EC4C05" w:rsidRPr="009059A2" w14:paraId="78525D91" w14:textId="77777777" w:rsidTr="00587A64">
        <w:trPr>
          <w:trHeight w:val="227"/>
        </w:trPr>
        <w:tc>
          <w:tcPr>
            <w:tcW w:w="2552" w:type="dxa"/>
            <w:shd w:val="clear" w:color="auto" w:fill="FABF8F" w:themeFill="accent6" w:themeFillTint="99"/>
            <w:noWrap/>
            <w:vAlign w:val="center"/>
            <w:hideMark/>
          </w:tcPr>
          <w:p w14:paraId="602E67DE" w14:textId="44AE5BFA" w:rsidR="00EC4C05" w:rsidRPr="009059A2" w:rsidRDefault="00EC4C05" w:rsidP="00D71C47">
            <w:pPr>
              <w:pStyle w:val="cuadroCabe"/>
              <w:spacing w:line="240" w:lineRule="auto"/>
            </w:pPr>
            <w:r>
              <w:t>Adierazlea</w:t>
            </w:r>
          </w:p>
        </w:tc>
        <w:tc>
          <w:tcPr>
            <w:tcW w:w="1300" w:type="dxa"/>
            <w:shd w:val="clear" w:color="auto" w:fill="FABF8F" w:themeFill="accent6" w:themeFillTint="99"/>
            <w:noWrap/>
            <w:vAlign w:val="center"/>
            <w:hideMark/>
          </w:tcPr>
          <w:p w14:paraId="54923CFE" w14:textId="77777777" w:rsidR="00EC4C05" w:rsidRPr="009059A2" w:rsidRDefault="00EC4C05" w:rsidP="00D71C47">
            <w:pPr>
              <w:pStyle w:val="cuadroCabe"/>
              <w:spacing w:line="240" w:lineRule="auto"/>
              <w:jc w:val="right"/>
            </w:pPr>
            <w:r>
              <w:t>Nafarroa</w:t>
            </w:r>
          </w:p>
        </w:tc>
        <w:tc>
          <w:tcPr>
            <w:tcW w:w="1536" w:type="dxa"/>
            <w:shd w:val="clear" w:color="auto" w:fill="FABF8F" w:themeFill="accent6" w:themeFillTint="99"/>
            <w:noWrap/>
            <w:vAlign w:val="center"/>
            <w:hideMark/>
          </w:tcPr>
          <w:p w14:paraId="5229FF11" w14:textId="77777777" w:rsidR="00EC4C05" w:rsidRPr="009059A2" w:rsidRDefault="00EC4C05" w:rsidP="00D71C47">
            <w:pPr>
              <w:pStyle w:val="cuadroCabe"/>
              <w:spacing w:line="240" w:lineRule="auto"/>
              <w:jc w:val="right"/>
            </w:pPr>
            <w:r>
              <w:t>EAE*</w:t>
            </w:r>
          </w:p>
        </w:tc>
        <w:tc>
          <w:tcPr>
            <w:tcW w:w="1830" w:type="dxa"/>
            <w:shd w:val="clear" w:color="auto" w:fill="FABF8F" w:themeFill="accent6" w:themeFillTint="99"/>
            <w:vAlign w:val="center"/>
            <w:hideMark/>
          </w:tcPr>
          <w:p w14:paraId="7B5BFE0A" w14:textId="77777777" w:rsidR="00EC4C05" w:rsidRPr="009059A2" w:rsidRDefault="00EC4C05" w:rsidP="00D71C47">
            <w:pPr>
              <w:pStyle w:val="cuadroCabe"/>
              <w:spacing w:line="240" w:lineRule="auto"/>
              <w:jc w:val="right"/>
            </w:pPr>
            <w:r>
              <w:t>Estatuko gainerakoak*</w:t>
            </w:r>
          </w:p>
        </w:tc>
        <w:tc>
          <w:tcPr>
            <w:tcW w:w="1528" w:type="dxa"/>
            <w:shd w:val="clear" w:color="auto" w:fill="FABF8F" w:themeFill="accent6" w:themeFillTint="99"/>
            <w:vAlign w:val="center"/>
            <w:hideMark/>
          </w:tcPr>
          <w:p w14:paraId="7C450976" w14:textId="77777777" w:rsidR="00EC4C05" w:rsidRPr="009059A2" w:rsidRDefault="00EC4C05" w:rsidP="00D71C47">
            <w:pPr>
              <w:pStyle w:val="cuadroCabe"/>
              <w:spacing w:line="240" w:lineRule="auto"/>
              <w:jc w:val="right"/>
            </w:pPr>
            <w:r>
              <w:t>Guztira</w:t>
            </w:r>
          </w:p>
        </w:tc>
      </w:tr>
      <w:tr w:rsidR="00EC4C05" w:rsidRPr="00033257" w14:paraId="756679EA" w14:textId="77777777" w:rsidTr="00587A64">
        <w:trPr>
          <w:trHeight w:val="227"/>
        </w:trPr>
        <w:tc>
          <w:tcPr>
            <w:tcW w:w="2552" w:type="dxa"/>
            <w:tcBorders>
              <w:bottom w:val="single" w:sz="2" w:space="0" w:color="auto"/>
            </w:tcBorders>
            <w:shd w:val="clear" w:color="auto" w:fill="auto"/>
            <w:vAlign w:val="center"/>
            <w:hideMark/>
          </w:tcPr>
          <w:p w14:paraId="75CA0993" w14:textId="77777777" w:rsidR="00EC4C05" w:rsidRPr="00033257" w:rsidRDefault="00EC4C05" w:rsidP="00D71C47">
            <w:pPr>
              <w:pStyle w:val="cuatexto"/>
              <w:spacing w:line="240" w:lineRule="auto"/>
              <w:rPr>
                <w:szCs w:val="20"/>
              </w:rPr>
            </w:pPr>
            <w:r>
              <w:t xml:space="preserve">Udalerrien kopurua </w:t>
            </w:r>
          </w:p>
          <w:p w14:paraId="4E288AFA" w14:textId="77777777" w:rsidR="00EC4C05" w:rsidRPr="00033257" w:rsidRDefault="00EC4C05" w:rsidP="00D71C47">
            <w:pPr>
              <w:pStyle w:val="cuatexto"/>
              <w:spacing w:line="240" w:lineRule="auto"/>
              <w:rPr>
                <w:szCs w:val="20"/>
              </w:rPr>
            </w:pPr>
            <w:r>
              <w:t>&lt; 40.000 biztanle</w:t>
            </w:r>
          </w:p>
        </w:tc>
        <w:tc>
          <w:tcPr>
            <w:tcW w:w="1300" w:type="dxa"/>
            <w:tcBorders>
              <w:bottom w:val="single" w:sz="2" w:space="0" w:color="auto"/>
            </w:tcBorders>
            <w:shd w:val="clear" w:color="auto" w:fill="auto"/>
            <w:noWrap/>
            <w:vAlign w:val="center"/>
            <w:hideMark/>
          </w:tcPr>
          <w:p w14:paraId="394B9A4F" w14:textId="77777777" w:rsidR="00EC4C05" w:rsidRPr="00033257" w:rsidRDefault="00EC4C05" w:rsidP="00D71C47">
            <w:pPr>
              <w:spacing w:after="0"/>
              <w:ind w:firstLine="0"/>
              <w:jc w:val="right"/>
              <w:rPr>
                <w:rFonts w:ascii="Arial Narrow" w:hAnsi="Arial Narrow" w:cs="Calibri"/>
                <w:color w:val="000000"/>
              </w:rPr>
            </w:pPr>
            <w:r>
              <w:rPr>
                <w:rFonts w:ascii="Arial Narrow" w:hAnsi="Arial Narrow"/>
                <w:color w:val="000000"/>
              </w:rPr>
              <w:t>248</w:t>
            </w:r>
          </w:p>
        </w:tc>
        <w:tc>
          <w:tcPr>
            <w:tcW w:w="1536" w:type="dxa"/>
            <w:tcBorders>
              <w:bottom w:val="single" w:sz="2" w:space="0" w:color="auto"/>
            </w:tcBorders>
            <w:shd w:val="clear" w:color="auto" w:fill="auto"/>
            <w:noWrap/>
            <w:vAlign w:val="center"/>
            <w:hideMark/>
          </w:tcPr>
          <w:p w14:paraId="16559417"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160</w:t>
            </w:r>
          </w:p>
        </w:tc>
        <w:tc>
          <w:tcPr>
            <w:tcW w:w="1830" w:type="dxa"/>
            <w:tcBorders>
              <w:bottom w:val="single" w:sz="2" w:space="0" w:color="auto"/>
            </w:tcBorders>
            <w:shd w:val="clear" w:color="auto" w:fill="auto"/>
            <w:noWrap/>
            <w:vAlign w:val="center"/>
            <w:hideMark/>
          </w:tcPr>
          <w:p w14:paraId="5FC050E4"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6.398</w:t>
            </w:r>
          </w:p>
        </w:tc>
        <w:tc>
          <w:tcPr>
            <w:tcW w:w="1528" w:type="dxa"/>
            <w:tcBorders>
              <w:bottom w:val="single" w:sz="2" w:space="0" w:color="auto"/>
            </w:tcBorders>
            <w:shd w:val="clear" w:color="auto" w:fill="auto"/>
            <w:noWrap/>
            <w:vAlign w:val="center"/>
            <w:hideMark/>
          </w:tcPr>
          <w:p w14:paraId="54CF1D29"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6.806</w:t>
            </w:r>
          </w:p>
        </w:tc>
      </w:tr>
      <w:tr w:rsidR="00EC4C05" w:rsidRPr="00033257" w14:paraId="19CAF7E3" w14:textId="77777777" w:rsidTr="00587A64">
        <w:trPr>
          <w:trHeight w:val="227"/>
        </w:trPr>
        <w:tc>
          <w:tcPr>
            <w:tcW w:w="2552" w:type="dxa"/>
            <w:tcBorders>
              <w:top w:val="single" w:sz="2" w:space="0" w:color="auto"/>
              <w:bottom w:val="single" w:sz="2" w:space="0" w:color="auto"/>
            </w:tcBorders>
            <w:shd w:val="clear" w:color="auto" w:fill="auto"/>
            <w:vAlign w:val="center"/>
            <w:hideMark/>
          </w:tcPr>
          <w:p w14:paraId="57CF5D97" w14:textId="77777777" w:rsidR="00EC4C05" w:rsidRPr="00033257" w:rsidRDefault="00EC4C05" w:rsidP="00D71C47">
            <w:pPr>
              <w:pStyle w:val="cuatexto"/>
              <w:spacing w:line="240" w:lineRule="auto"/>
              <w:rPr>
                <w:szCs w:val="20"/>
              </w:rPr>
            </w:pPr>
            <w:r>
              <w:t>Erreferentziako biztanle kopuru osoa</w:t>
            </w:r>
          </w:p>
        </w:tc>
        <w:tc>
          <w:tcPr>
            <w:tcW w:w="1300" w:type="dxa"/>
            <w:tcBorders>
              <w:top w:val="single" w:sz="2" w:space="0" w:color="auto"/>
              <w:bottom w:val="single" w:sz="2" w:space="0" w:color="auto"/>
            </w:tcBorders>
            <w:shd w:val="clear" w:color="auto" w:fill="auto"/>
            <w:noWrap/>
            <w:vAlign w:val="center"/>
            <w:hideMark/>
          </w:tcPr>
          <w:p w14:paraId="165E80A8"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444.960</w:t>
            </w:r>
          </w:p>
        </w:tc>
        <w:tc>
          <w:tcPr>
            <w:tcW w:w="1536" w:type="dxa"/>
            <w:tcBorders>
              <w:top w:val="single" w:sz="2" w:space="0" w:color="auto"/>
              <w:bottom w:val="single" w:sz="2" w:space="0" w:color="auto"/>
            </w:tcBorders>
            <w:shd w:val="clear" w:color="auto" w:fill="auto"/>
            <w:noWrap/>
            <w:vAlign w:val="center"/>
            <w:hideMark/>
          </w:tcPr>
          <w:p w14:paraId="47B9C3D0"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740.192</w:t>
            </w:r>
          </w:p>
        </w:tc>
        <w:tc>
          <w:tcPr>
            <w:tcW w:w="1830" w:type="dxa"/>
            <w:tcBorders>
              <w:top w:val="single" w:sz="2" w:space="0" w:color="auto"/>
              <w:bottom w:val="single" w:sz="2" w:space="0" w:color="auto"/>
            </w:tcBorders>
            <w:shd w:val="clear" w:color="auto" w:fill="auto"/>
            <w:noWrap/>
            <w:vAlign w:val="center"/>
            <w:hideMark/>
          </w:tcPr>
          <w:p w14:paraId="5D77B5BB"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18.263.837</w:t>
            </w:r>
          </w:p>
        </w:tc>
        <w:tc>
          <w:tcPr>
            <w:tcW w:w="1528" w:type="dxa"/>
            <w:tcBorders>
              <w:top w:val="single" w:sz="2" w:space="0" w:color="auto"/>
              <w:bottom w:val="single" w:sz="2" w:space="0" w:color="auto"/>
            </w:tcBorders>
            <w:shd w:val="clear" w:color="auto" w:fill="auto"/>
            <w:noWrap/>
            <w:vAlign w:val="center"/>
            <w:hideMark/>
          </w:tcPr>
          <w:p w14:paraId="366D8C66"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19.448.989</w:t>
            </w:r>
          </w:p>
        </w:tc>
      </w:tr>
      <w:tr w:rsidR="00EC4C05" w:rsidRPr="00033257" w14:paraId="3A7C7AD2" w14:textId="77777777" w:rsidTr="00587A64">
        <w:trPr>
          <w:trHeight w:val="227"/>
        </w:trPr>
        <w:tc>
          <w:tcPr>
            <w:tcW w:w="2552" w:type="dxa"/>
            <w:tcBorders>
              <w:top w:val="single" w:sz="2" w:space="0" w:color="auto"/>
            </w:tcBorders>
            <w:shd w:val="clear" w:color="auto" w:fill="auto"/>
            <w:vAlign w:val="center"/>
            <w:hideMark/>
          </w:tcPr>
          <w:p w14:paraId="2719E471" w14:textId="77777777" w:rsidR="00EC4C05" w:rsidRPr="00033257" w:rsidRDefault="00EC4C05" w:rsidP="00D71C47">
            <w:pPr>
              <w:pStyle w:val="cuatexto"/>
              <w:spacing w:line="240" w:lineRule="auto"/>
              <w:rPr>
                <w:szCs w:val="20"/>
              </w:rPr>
            </w:pPr>
            <w:r>
              <w:t>B.b. biztanle kop.</w:t>
            </w:r>
          </w:p>
        </w:tc>
        <w:tc>
          <w:tcPr>
            <w:tcW w:w="1300" w:type="dxa"/>
            <w:tcBorders>
              <w:top w:val="single" w:sz="2" w:space="0" w:color="auto"/>
            </w:tcBorders>
            <w:shd w:val="clear" w:color="auto" w:fill="auto"/>
            <w:noWrap/>
            <w:vAlign w:val="center"/>
            <w:hideMark/>
          </w:tcPr>
          <w:p w14:paraId="033C1EFC"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1.794</w:t>
            </w:r>
          </w:p>
        </w:tc>
        <w:tc>
          <w:tcPr>
            <w:tcW w:w="1536" w:type="dxa"/>
            <w:tcBorders>
              <w:top w:val="single" w:sz="2" w:space="0" w:color="auto"/>
            </w:tcBorders>
            <w:shd w:val="clear" w:color="auto" w:fill="auto"/>
            <w:noWrap/>
            <w:vAlign w:val="center"/>
            <w:hideMark/>
          </w:tcPr>
          <w:p w14:paraId="106E63A6"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4.626</w:t>
            </w:r>
          </w:p>
        </w:tc>
        <w:tc>
          <w:tcPr>
            <w:tcW w:w="1830" w:type="dxa"/>
            <w:tcBorders>
              <w:top w:val="single" w:sz="2" w:space="0" w:color="auto"/>
            </w:tcBorders>
            <w:shd w:val="clear" w:color="auto" w:fill="auto"/>
            <w:noWrap/>
            <w:vAlign w:val="center"/>
            <w:hideMark/>
          </w:tcPr>
          <w:p w14:paraId="5AA0AA6A"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2.855</w:t>
            </w:r>
          </w:p>
        </w:tc>
        <w:tc>
          <w:tcPr>
            <w:tcW w:w="1528" w:type="dxa"/>
            <w:tcBorders>
              <w:top w:val="single" w:sz="2" w:space="0" w:color="auto"/>
            </w:tcBorders>
            <w:shd w:val="clear" w:color="auto" w:fill="auto"/>
            <w:noWrap/>
            <w:vAlign w:val="center"/>
            <w:hideMark/>
          </w:tcPr>
          <w:p w14:paraId="1305922F" w14:textId="77777777" w:rsidR="00EC4C05" w:rsidRPr="00033257" w:rsidRDefault="00EC4C05" w:rsidP="00D71C47">
            <w:pPr>
              <w:spacing w:after="0"/>
              <w:jc w:val="right"/>
              <w:rPr>
                <w:rFonts w:ascii="Arial Narrow" w:hAnsi="Arial Narrow" w:cs="Calibri"/>
                <w:color w:val="000000"/>
              </w:rPr>
            </w:pPr>
            <w:r>
              <w:rPr>
                <w:rFonts w:ascii="Arial Narrow" w:hAnsi="Arial Narrow"/>
                <w:color w:val="000000"/>
              </w:rPr>
              <w:t>2.858</w:t>
            </w:r>
          </w:p>
        </w:tc>
      </w:tr>
    </w:tbl>
    <w:p w14:paraId="03F1ECDA" w14:textId="77777777" w:rsidR="00EC4C05" w:rsidRPr="00033257" w:rsidRDefault="00EC4C05" w:rsidP="002D5BF9">
      <w:pPr>
        <w:spacing w:before="60" w:after="240"/>
        <w:ind w:firstLine="0"/>
        <w:rPr>
          <w:rStyle w:val="textoCar"/>
          <w:rFonts w:ascii="Arial" w:hAnsi="Arial" w:cs="Arial"/>
          <w:color w:val="000000" w:themeColor="text1"/>
          <w:sz w:val="14"/>
          <w:szCs w:val="14"/>
        </w:rPr>
      </w:pPr>
      <w:r>
        <w:rPr>
          <w:rStyle w:val="textoCar"/>
          <w:rFonts w:ascii="Arial" w:hAnsi="Arial"/>
          <w:color w:val="000000" w:themeColor="text1"/>
          <w:sz w:val="14"/>
        </w:rPr>
        <w:t>(*) TADZNren txostena egin zenean Ogasun Ministerioaren webgunean informazioa argitaratuta zeukaten udalak. Euskal Autonomia Erkidegoan ez da Arabako udalik hartu.</w:t>
      </w:r>
    </w:p>
    <w:p w14:paraId="047D9081" w14:textId="77777777" w:rsidR="00EC4C05" w:rsidRPr="002D5BF9" w:rsidRDefault="00EC4C05" w:rsidP="002D5BF9">
      <w:pPr>
        <w:spacing w:before="120"/>
        <w:ind w:firstLine="284"/>
        <w:rPr>
          <w:rStyle w:val="textoCar"/>
          <w:color w:val="000000" w:themeColor="text1"/>
          <w:szCs w:val="26"/>
        </w:rPr>
      </w:pPr>
      <w:r>
        <w:rPr>
          <w:rStyle w:val="textoCar"/>
          <w:color w:val="000000" w:themeColor="text1"/>
        </w:rPr>
        <w:t>Ikus daitekeenez, azterketa 40.000 biztanletik beherako udaletara mugatuta ere, Nafarroako udalen batez besteko biztanle kopurua nabarmen txikiagoa da Estatuko gainerakoena baino, eta are txikiagoa EAEko batez bestekoarekin alderatuta.</w:t>
      </w:r>
    </w:p>
    <w:p w14:paraId="131D44D9" w14:textId="77777777" w:rsidR="00EC4C05" w:rsidRPr="00033257" w:rsidRDefault="6A28BBB8" w:rsidP="002D5BF9">
      <w:pPr>
        <w:spacing w:after="240"/>
        <w:ind w:firstLine="284"/>
        <w:rPr>
          <w:color w:val="000000" w:themeColor="text1"/>
          <w:spacing w:val="6"/>
          <w:sz w:val="26"/>
          <w:szCs w:val="26"/>
        </w:rPr>
      </w:pPr>
      <w:r>
        <w:rPr>
          <w:color w:val="000000" w:themeColor="text1"/>
          <w:sz w:val="26"/>
        </w:rPr>
        <w:t>Hona hemen zenbait adierazle, hiru eremuetarako:</w:t>
      </w:r>
    </w:p>
    <w:p w14:paraId="4425B23D" w14:textId="1C0954AC" w:rsidR="00EC4C05" w:rsidRPr="00033257" w:rsidRDefault="00DD0516" w:rsidP="00DD0516">
      <w:pPr>
        <w:spacing w:after="0"/>
        <w:ind w:right="-1" w:firstLine="284"/>
        <w:jc w:val="right"/>
        <w:rPr>
          <w:rFonts w:ascii="Arial Narrow" w:hAnsi="Arial Narrow"/>
          <w:color w:val="000000" w:themeColor="text1"/>
          <w:spacing w:val="6"/>
          <w:sz w:val="18"/>
          <w:szCs w:val="18"/>
        </w:rPr>
      </w:pPr>
      <w:r>
        <w:rPr>
          <w:rFonts w:ascii="Arial Narrow" w:hAnsi="Arial Narrow"/>
          <w:color w:val="000000" w:themeColor="text1"/>
          <w:sz w:val="18"/>
        </w:rPr>
        <w:t>(euroak biztanleko, ehunekoak izan ezik)</w:t>
      </w:r>
    </w:p>
    <w:tbl>
      <w:tblPr>
        <w:tblW w:w="8740" w:type="dxa"/>
        <w:jc w:val="center"/>
        <w:tblCellMar>
          <w:left w:w="70" w:type="dxa"/>
          <w:right w:w="70" w:type="dxa"/>
        </w:tblCellMar>
        <w:tblLook w:val="04A0" w:firstRow="1" w:lastRow="0" w:firstColumn="1" w:lastColumn="0" w:noHBand="0" w:noVBand="1"/>
      </w:tblPr>
      <w:tblGrid>
        <w:gridCol w:w="4253"/>
        <w:gridCol w:w="850"/>
        <w:gridCol w:w="671"/>
        <w:gridCol w:w="747"/>
        <w:gridCol w:w="1110"/>
        <w:gridCol w:w="1109"/>
      </w:tblGrid>
      <w:tr w:rsidR="00EC4C05" w:rsidRPr="00033257" w14:paraId="2FA3834D" w14:textId="77777777" w:rsidTr="00DD0516">
        <w:trPr>
          <w:trHeight w:val="227"/>
          <w:jc w:val="center"/>
        </w:trPr>
        <w:tc>
          <w:tcPr>
            <w:tcW w:w="4253" w:type="dxa"/>
            <w:tcBorders>
              <w:top w:val="single" w:sz="4" w:space="0" w:color="auto"/>
              <w:left w:val="nil"/>
              <w:bottom w:val="single" w:sz="4" w:space="0" w:color="auto"/>
              <w:right w:val="nil"/>
            </w:tcBorders>
            <w:shd w:val="clear" w:color="auto" w:fill="FABF8F" w:themeFill="accent6" w:themeFillTint="99"/>
            <w:vAlign w:val="center"/>
            <w:hideMark/>
          </w:tcPr>
          <w:p w14:paraId="125BF237" w14:textId="77777777" w:rsidR="00EC4C05" w:rsidRPr="00033257" w:rsidRDefault="00EC4C05" w:rsidP="00DD0516">
            <w:pPr>
              <w:pStyle w:val="cuadroCabe"/>
              <w:spacing w:line="240" w:lineRule="auto"/>
              <w:jc w:val="left"/>
              <w:rPr>
                <w:sz w:val="16"/>
                <w:szCs w:val="16"/>
              </w:rPr>
            </w:pPr>
            <w:r>
              <w:rPr>
                <w:sz w:val="16"/>
              </w:rPr>
              <w:t>Adierazlea</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14:paraId="25738F73" w14:textId="77777777" w:rsidR="00EC4C05" w:rsidRPr="00033257" w:rsidRDefault="00EC4C05" w:rsidP="00DD0516">
            <w:pPr>
              <w:pStyle w:val="cuadroCabe"/>
              <w:spacing w:line="240" w:lineRule="auto"/>
              <w:jc w:val="right"/>
              <w:rPr>
                <w:sz w:val="16"/>
                <w:szCs w:val="16"/>
              </w:rPr>
            </w:pPr>
            <w:r>
              <w:rPr>
                <w:sz w:val="16"/>
              </w:rPr>
              <w:t>Nafarroa</w:t>
            </w:r>
          </w:p>
        </w:tc>
        <w:tc>
          <w:tcPr>
            <w:tcW w:w="671" w:type="dxa"/>
            <w:tcBorders>
              <w:top w:val="single" w:sz="4" w:space="0" w:color="auto"/>
              <w:left w:val="nil"/>
              <w:bottom w:val="single" w:sz="4" w:space="0" w:color="auto"/>
              <w:right w:val="nil"/>
            </w:tcBorders>
            <w:shd w:val="clear" w:color="auto" w:fill="FABF8F" w:themeFill="accent6" w:themeFillTint="99"/>
            <w:vAlign w:val="center"/>
            <w:hideMark/>
          </w:tcPr>
          <w:p w14:paraId="656CF26A" w14:textId="77777777" w:rsidR="00EC4C05" w:rsidRPr="00033257" w:rsidRDefault="00EC4C05" w:rsidP="00DD0516">
            <w:pPr>
              <w:pStyle w:val="cuadroCabe"/>
              <w:spacing w:line="240" w:lineRule="auto"/>
              <w:jc w:val="right"/>
              <w:rPr>
                <w:sz w:val="16"/>
                <w:szCs w:val="16"/>
              </w:rPr>
            </w:pPr>
            <w:r>
              <w:rPr>
                <w:sz w:val="16"/>
              </w:rPr>
              <w:t>EAE</w:t>
            </w:r>
          </w:p>
        </w:tc>
        <w:tc>
          <w:tcPr>
            <w:tcW w:w="747" w:type="dxa"/>
            <w:tcBorders>
              <w:top w:val="single" w:sz="4" w:space="0" w:color="auto"/>
              <w:left w:val="nil"/>
              <w:bottom w:val="single" w:sz="4" w:space="0" w:color="auto"/>
              <w:right w:val="nil"/>
            </w:tcBorders>
            <w:shd w:val="clear" w:color="auto" w:fill="FABF8F" w:themeFill="accent6" w:themeFillTint="99"/>
            <w:vAlign w:val="center"/>
            <w:hideMark/>
          </w:tcPr>
          <w:p w14:paraId="5CA604CB" w14:textId="77777777" w:rsidR="00EC4C05" w:rsidRPr="00033257" w:rsidRDefault="00EC4C05" w:rsidP="00DD0516">
            <w:pPr>
              <w:pStyle w:val="cuadroCabe"/>
              <w:spacing w:line="240" w:lineRule="auto"/>
              <w:jc w:val="right"/>
              <w:rPr>
                <w:sz w:val="16"/>
                <w:szCs w:val="16"/>
              </w:rPr>
            </w:pPr>
            <w:r>
              <w:rPr>
                <w:sz w:val="16"/>
              </w:rPr>
              <w:t>Estatuko gainerakoak</w:t>
            </w:r>
          </w:p>
        </w:tc>
        <w:tc>
          <w:tcPr>
            <w:tcW w:w="1110" w:type="dxa"/>
            <w:tcBorders>
              <w:top w:val="single" w:sz="4" w:space="0" w:color="auto"/>
              <w:left w:val="nil"/>
              <w:bottom w:val="single" w:sz="4" w:space="0" w:color="auto"/>
              <w:right w:val="nil"/>
            </w:tcBorders>
            <w:shd w:val="clear" w:color="auto" w:fill="FABF8F" w:themeFill="accent6" w:themeFillTint="99"/>
            <w:vAlign w:val="center"/>
            <w:hideMark/>
          </w:tcPr>
          <w:p w14:paraId="5D698F66" w14:textId="77777777" w:rsidR="00EC4C05" w:rsidRPr="00033257" w:rsidRDefault="00EC4C05" w:rsidP="00DD0516">
            <w:pPr>
              <w:pStyle w:val="cuadroCabe"/>
              <w:spacing w:line="240" w:lineRule="auto"/>
              <w:jc w:val="right"/>
              <w:rPr>
                <w:sz w:val="16"/>
                <w:szCs w:val="16"/>
              </w:rPr>
            </w:pPr>
            <w:r>
              <w:rPr>
                <w:sz w:val="16"/>
              </w:rPr>
              <w:t>Aldea Nafarroa vs. EAE</w:t>
            </w:r>
          </w:p>
        </w:tc>
        <w:tc>
          <w:tcPr>
            <w:tcW w:w="1109" w:type="dxa"/>
            <w:tcBorders>
              <w:top w:val="single" w:sz="4" w:space="0" w:color="auto"/>
              <w:left w:val="nil"/>
              <w:bottom w:val="single" w:sz="4" w:space="0" w:color="auto"/>
              <w:right w:val="nil"/>
            </w:tcBorders>
            <w:shd w:val="clear" w:color="auto" w:fill="FABF8F" w:themeFill="accent6" w:themeFillTint="99"/>
            <w:vAlign w:val="center"/>
            <w:hideMark/>
          </w:tcPr>
          <w:p w14:paraId="0EB3F3E4" w14:textId="77777777" w:rsidR="00EC4C05" w:rsidRPr="00033257" w:rsidRDefault="00EC4C05" w:rsidP="00DD0516">
            <w:pPr>
              <w:pStyle w:val="cuadroCabe"/>
              <w:spacing w:line="240" w:lineRule="auto"/>
              <w:jc w:val="right"/>
              <w:rPr>
                <w:sz w:val="16"/>
                <w:szCs w:val="16"/>
              </w:rPr>
            </w:pPr>
            <w:r>
              <w:rPr>
                <w:sz w:val="16"/>
              </w:rPr>
              <w:t>Aldea Naf. vs. Estatuko gainer.</w:t>
            </w:r>
          </w:p>
        </w:tc>
      </w:tr>
      <w:tr w:rsidR="00EC4C05" w:rsidRPr="00033257" w14:paraId="15C73085" w14:textId="77777777" w:rsidTr="00E75228">
        <w:trPr>
          <w:trHeight w:val="227"/>
          <w:jc w:val="center"/>
        </w:trPr>
        <w:tc>
          <w:tcPr>
            <w:tcW w:w="4253" w:type="dxa"/>
            <w:tcBorders>
              <w:top w:val="single" w:sz="4" w:space="0" w:color="auto"/>
              <w:left w:val="nil"/>
              <w:bottom w:val="single" w:sz="2" w:space="0" w:color="auto"/>
              <w:right w:val="nil"/>
            </w:tcBorders>
            <w:shd w:val="clear" w:color="auto" w:fill="auto"/>
            <w:vAlign w:val="center"/>
          </w:tcPr>
          <w:p w14:paraId="4339BCFC" w14:textId="77777777" w:rsidR="00EC4C05" w:rsidRPr="00033257" w:rsidRDefault="00EC4C05" w:rsidP="00DD0516">
            <w:pPr>
              <w:pStyle w:val="cuatexto"/>
              <w:spacing w:line="240" w:lineRule="auto"/>
              <w:jc w:val="left"/>
            </w:pPr>
            <w:r>
              <w:t>Diru-sarrerak, guztira</w:t>
            </w:r>
          </w:p>
        </w:tc>
        <w:tc>
          <w:tcPr>
            <w:tcW w:w="850" w:type="dxa"/>
            <w:tcBorders>
              <w:top w:val="single" w:sz="4" w:space="0" w:color="auto"/>
              <w:left w:val="nil"/>
              <w:bottom w:val="single" w:sz="2" w:space="0" w:color="auto"/>
              <w:right w:val="nil"/>
            </w:tcBorders>
            <w:shd w:val="clear" w:color="auto" w:fill="auto"/>
            <w:vAlign w:val="center"/>
          </w:tcPr>
          <w:p w14:paraId="27476250" w14:textId="77777777" w:rsidR="00EC4C05" w:rsidRPr="00033257" w:rsidRDefault="00EC4C05" w:rsidP="00DD0516">
            <w:pPr>
              <w:pStyle w:val="cuatexto"/>
              <w:spacing w:line="240" w:lineRule="auto"/>
              <w:jc w:val="right"/>
            </w:pPr>
            <w:r>
              <w:t>1.125</w:t>
            </w:r>
          </w:p>
        </w:tc>
        <w:tc>
          <w:tcPr>
            <w:tcW w:w="671" w:type="dxa"/>
            <w:tcBorders>
              <w:top w:val="single" w:sz="4" w:space="0" w:color="auto"/>
              <w:left w:val="nil"/>
              <w:bottom w:val="single" w:sz="2" w:space="0" w:color="auto"/>
              <w:right w:val="nil"/>
            </w:tcBorders>
            <w:shd w:val="clear" w:color="auto" w:fill="auto"/>
            <w:vAlign w:val="center"/>
          </w:tcPr>
          <w:p w14:paraId="043D88DE" w14:textId="77777777" w:rsidR="00EC4C05" w:rsidRPr="00033257" w:rsidRDefault="00EC4C05" w:rsidP="00DD0516">
            <w:pPr>
              <w:pStyle w:val="cuatexto"/>
              <w:spacing w:line="240" w:lineRule="auto"/>
              <w:jc w:val="right"/>
            </w:pPr>
            <w:r>
              <w:t>1.552</w:t>
            </w:r>
          </w:p>
        </w:tc>
        <w:tc>
          <w:tcPr>
            <w:tcW w:w="747" w:type="dxa"/>
            <w:tcBorders>
              <w:top w:val="single" w:sz="4" w:space="0" w:color="auto"/>
              <w:left w:val="nil"/>
              <w:bottom w:val="single" w:sz="2" w:space="0" w:color="auto"/>
              <w:right w:val="nil"/>
            </w:tcBorders>
            <w:shd w:val="clear" w:color="auto" w:fill="auto"/>
            <w:vAlign w:val="center"/>
          </w:tcPr>
          <w:p w14:paraId="005B0578" w14:textId="77777777" w:rsidR="00EC4C05" w:rsidRPr="00033257" w:rsidRDefault="00EC4C05" w:rsidP="00DD0516">
            <w:pPr>
              <w:pStyle w:val="cuatexto"/>
              <w:spacing w:line="240" w:lineRule="auto"/>
              <w:jc w:val="right"/>
            </w:pPr>
            <w:r>
              <w:t>1.220</w:t>
            </w:r>
          </w:p>
        </w:tc>
        <w:tc>
          <w:tcPr>
            <w:tcW w:w="1110" w:type="dxa"/>
            <w:tcBorders>
              <w:top w:val="single" w:sz="4" w:space="0" w:color="auto"/>
              <w:left w:val="nil"/>
              <w:bottom w:val="single" w:sz="2" w:space="0" w:color="auto"/>
              <w:right w:val="nil"/>
            </w:tcBorders>
            <w:shd w:val="clear" w:color="auto" w:fill="auto"/>
            <w:vAlign w:val="center"/>
          </w:tcPr>
          <w:p w14:paraId="2C99CEB3" w14:textId="77777777" w:rsidR="00EC4C05" w:rsidRPr="00033257" w:rsidRDefault="00EC4C05" w:rsidP="00DD0516">
            <w:pPr>
              <w:pStyle w:val="cuatexto"/>
              <w:spacing w:line="240" w:lineRule="auto"/>
              <w:jc w:val="right"/>
            </w:pPr>
            <w:r>
              <w:t>-427</w:t>
            </w:r>
          </w:p>
        </w:tc>
        <w:tc>
          <w:tcPr>
            <w:tcW w:w="1109" w:type="dxa"/>
            <w:tcBorders>
              <w:top w:val="single" w:sz="4" w:space="0" w:color="auto"/>
              <w:left w:val="nil"/>
              <w:bottom w:val="single" w:sz="2" w:space="0" w:color="auto"/>
              <w:right w:val="nil"/>
            </w:tcBorders>
            <w:shd w:val="clear" w:color="auto" w:fill="auto"/>
            <w:vAlign w:val="center"/>
          </w:tcPr>
          <w:p w14:paraId="2B3DB13B" w14:textId="77777777" w:rsidR="00EC4C05" w:rsidRPr="00033257" w:rsidRDefault="00EC4C05" w:rsidP="00DD0516">
            <w:pPr>
              <w:pStyle w:val="cuatexto"/>
              <w:spacing w:line="240" w:lineRule="auto"/>
              <w:jc w:val="right"/>
            </w:pPr>
            <w:r>
              <w:t>-95</w:t>
            </w:r>
          </w:p>
        </w:tc>
      </w:tr>
      <w:tr w:rsidR="00EC4C05" w:rsidRPr="00033257" w14:paraId="6DDC8E5F"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6E52CA6A" w14:textId="77777777" w:rsidR="00EC4C05" w:rsidRPr="00033257" w:rsidRDefault="00EC4C05" w:rsidP="00DD0516">
            <w:pPr>
              <w:pStyle w:val="cuatexto"/>
              <w:spacing w:line="240" w:lineRule="auto"/>
              <w:jc w:val="left"/>
            </w:pPr>
            <w:r>
              <w:t>Diru-sarrera arruntak</w:t>
            </w:r>
          </w:p>
        </w:tc>
        <w:tc>
          <w:tcPr>
            <w:tcW w:w="850" w:type="dxa"/>
            <w:tcBorders>
              <w:top w:val="single" w:sz="2" w:space="0" w:color="auto"/>
              <w:left w:val="nil"/>
              <w:bottom w:val="single" w:sz="2" w:space="0" w:color="auto"/>
              <w:right w:val="nil"/>
            </w:tcBorders>
            <w:shd w:val="clear" w:color="auto" w:fill="auto"/>
            <w:vAlign w:val="center"/>
            <w:hideMark/>
          </w:tcPr>
          <w:p w14:paraId="55A5C4FA" w14:textId="77777777" w:rsidR="00EC4C05" w:rsidRPr="00033257" w:rsidRDefault="00EC4C05" w:rsidP="00DD0516">
            <w:pPr>
              <w:spacing w:after="0"/>
              <w:ind w:firstLine="0"/>
              <w:jc w:val="right"/>
              <w:rPr>
                <w:rFonts w:ascii="Arial Narrow" w:hAnsi="Arial Narrow" w:cs="Calibri"/>
              </w:rPr>
            </w:pPr>
            <w:r>
              <w:rPr>
                <w:rFonts w:ascii="Arial Narrow" w:hAnsi="Arial Narrow"/>
              </w:rPr>
              <w:t>1.040</w:t>
            </w:r>
          </w:p>
        </w:tc>
        <w:tc>
          <w:tcPr>
            <w:tcW w:w="671" w:type="dxa"/>
            <w:tcBorders>
              <w:top w:val="single" w:sz="2" w:space="0" w:color="auto"/>
              <w:left w:val="nil"/>
              <w:bottom w:val="single" w:sz="2" w:space="0" w:color="auto"/>
              <w:right w:val="nil"/>
            </w:tcBorders>
            <w:shd w:val="clear" w:color="auto" w:fill="auto"/>
            <w:vAlign w:val="center"/>
            <w:hideMark/>
          </w:tcPr>
          <w:p w14:paraId="317D3110" w14:textId="77777777" w:rsidR="00EC4C05" w:rsidRPr="00033257" w:rsidRDefault="00EC4C05" w:rsidP="00DD0516">
            <w:pPr>
              <w:spacing w:after="0"/>
              <w:ind w:firstLine="0"/>
              <w:jc w:val="right"/>
              <w:rPr>
                <w:rFonts w:ascii="Arial Narrow" w:hAnsi="Arial Narrow" w:cs="Calibri"/>
              </w:rPr>
            </w:pPr>
            <w:r>
              <w:rPr>
                <w:rFonts w:ascii="Arial Narrow" w:hAnsi="Arial Narrow"/>
              </w:rPr>
              <w:t>1.443</w:t>
            </w:r>
          </w:p>
        </w:tc>
        <w:tc>
          <w:tcPr>
            <w:tcW w:w="747" w:type="dxa"/>
            <w:tcBorders>
              <w:top w:val="single" w:sz="2" w:space="0" w:color="auto"/>
              <w:left w:val="nil"/>
              <w:bottom w:val="single" w:sz="2" w:space="0" w:color="auto"/>
              <w:right w:val="nil"/>
            </w:tcBorders>
            <w:shd w:val="clear" w:color="auto" w:fill="auto"/>
            <w:vAlign w:val="center"/>
            <w:hideMark/>
          </w:tcPr>
          <w:p w14:paraId="6B83A3AA" w14:textId="77777777" w:rsidR="00EC4C05" w:rsidRPr="00033257" w:rsidRDefault="00EC4C05" w:rsidP="00DD0516">
            <w:pPr>
              <w:spacing w:after="0"/>
              <w:ind w:firstLine="0"/>
              <w:jc w:val="right"/>
              <w:rPr>
                <w:rFonts w:ascii="Arial Narrow" w:hAnsi="Arial Narrow" w:cs="Calibri"/>
              </w:rPr>
            </w:pPr>
            <w:r>
              <w:rPr>
                <w:rFonts w:ascii="Arial Narrow" w:hAnsi="Arial Narrow"/>
              </w:rPr>
              <w:t>1.064</w:t>
            </w:r>
          </w:p>
        </w:tc>
        <w:tc>
          <w:tcPr>
            <w:tcW w:w="1110" w:type="dxa"/>
            <w:tcBorders>
              <w:top w:val="single" w:sz="2" w:space="0" w:color="auto"/>
              <w:left w:val="nil"/>
              <w:bottom w:val="single" w:sz="2" w:space="0" w:color="auto"/>
              <w:right w:val="nil"/>
            </w:tcBorders>
            <w:shd w:val="clear" w:color="auto" w:fill="auto"/>
            <w:vAlign w:val="center"/>
            <w:hideMark/>
          </w:tcPr>
          <w:p w14:paraId="75B42CB9"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-403 </w:t>
            </w:r>
          </w:p>
        </w:tc>
        <w:tc>
          <w:tcPr>
            <w:tcW w:w="1109" w:type="dxa"/>
            <w:tcBorders>
              <w:top w:val="single" w:sz="2" w:space="0" w:color="auto"/>
              <w:left w:val="nil"/>
              <w:bottom w:val="single" w:sz="2" w:space="0" w:color="auto"/>
              <w:right w:val="nil"/>
            </w:tcBorders>
            <w:shd w:val="clear" w:color="auto" w:fill="auto"/>
            <w:vAlign w:val="center"/>
            <w:hideMark/>
          </w:tcPr>
          <w:p w14:paraId="46D67EF8"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-23 </w:t>
            </w:r>
          </w:p>
        </w:tc>
      </w:tr>
      <w:tr w:rsidR="00EC4C05" w:rsidRPr="00033257" w14:paraId="4D87BFCC"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tcPr>
          <w:p w14:paraId="10E3E659" w14:textId="77777777" w:rsidR="00EC4C05" w:rsidRPr="00033257" w:rsidRDefault="00EC4C05" w:rsidP="00DD0516">
            <w:pPr>
              <w:pStyle w:val="cuatexto"/>
              <w:spacing w:line="240" w:lineRule="auto"/>
              <w:jc w:val="left"/>
            </w:pPr>
            <w:r>
              <w:t>Kapitaleko diru-sarrerak</w:t>
            </w:r>
          </w:p>
        </w:tc>
        <w:tc>
          <w:tcPr>
            <w:tcW w:w="850" w:type="dxa"/>
            <w:tcBorders>
              <w:top w:val="single" w:sz="2" w:space="0" w:color="auto"/>
              <w:left w:val="nil"/>
              <w:bottom w:val="single" w:sz="2" w:space="0" w:color="auto"/>
              <w:right w:val="nil"/>
            </w:tcBorders>
            <w:shd w:val="clear" w:color="auto" w:fill="auto"/>
            <w:vAlign w:val="center"/>
          </w:tcPr>
          <w:p w14:paraId="4753D238" w14:textId="77777777" w:rsidR="00EC4C05" w:rsidRPr="00033257" w:rsidRDefault="00EC4C05" w:rsidP="00DD0516">
            <w:pPr>
              <w:spacing w:after="0"/>
              <w:ind w:firstLine="0"/>
              <w:jc w:val="right"/>
              <w:rPr>
                <w:rFonts w:ascii="Arial Narrow" w:hAnsi="Arial Narrow" w:cs="Calibri"/>
              </w:rPr>
            </w:pPr>
            <w:r>
              <w:rPr>
                <w:rFonts w:ascii="Arial Narrow" w:hAnsi="Arial Narrow"/>
              </w:rPr>
              <w:t>77</w:t>
            </w:r>
          </w:p>
        </w:tc>
        <w:tc>
          <w:tcPr>
            <w:tcW w:w="671" w:type="dxa"/>
            <w:tcBorders>
              <w:top w:val="single" w:sz="2" w:space="0" w:color="auto"/>
              <w:left w:val="nil"/>
              <w:bottom w:val="single" w:sz="2" w:space="0" w:color="auto"/>
              <w:right w:val="nil"/>
            </w:tcBorders>
            <w:shd w:val="clear" w:color="auto" w:fill="auto"/>
            <w:vAlign w:val="center"/>
          </w:tcPr>
          <w:p w14:paraId="5677BD23" w14:textId="77777777" w:rsidR="00EC4C05" w:rsidRPr="00033257" w:rsidRDefault="00EC4C05" w:rsidP="00DD0516">
            <w:pPr>
              <w:spacing w:after="0"/>
              <w:ind w:firstLine="0"/>
              <w:jc w:val="right"/>
              <w:rPr>
                <w:rFonts w:ascii="Arial Narrow" w:hAnsi="Arial Narrow" w:cs="Calibri"/>
              </w:rPr>
            </w:pPr>
            <w:r>
              <w:rPr>
                <w:rFonts w:ascii="Arial Narrow" w:hAnsi="Arial Narrow"/>
              </w:rPr>
              <w:t>76</w:t>
            </w:r>
          </w:p>
        </w:tc>
        <w:tc>
          <w:tcPr>
            <w:tcW w:w="747" w:type="dxa"/>
            <w:tcBorders>
              <w:top w:val="single" w:sz="2" w:space="0" w:color="auto"/>
              <w:left w:val="nil"/>
              <w:bottom w:val="single" w:sz="2" w:space="0" w:color="auto"/>
              <w:right w:val="nil"/>
            </w:tcBorders>
            <w:shd w:val="clear" w:color="auto" w:fill="auto"/>
            <w:vAlign w:val="center"/>
          </w:tcPr>
          <w:p w14:paraId="55884FB4" w14:textId="77777777" w:rsidR="00EC4C05" w:rsidRPr="00033257" w:rsidRDefault="00EC4C05" w:rsidP="00DD0516">
            <w:pPr>
              <w:spacing w:after="0"/>
              <w:ind w:firstLine="0"/>
              <w:jc w:val="right"/>
              <w:rPr>
                <w:rFonts w:ascii="Arial Narrow" w:hAnsi="Arial Narrow" w:cs="Calibri"/>
              </w:rPr>
            </w:pPr>
            <w:r>
              <w:rPr>
                <w:rFonts w:ascii="Arial Narrow" w:hAnsi="Arial Narrow"/>
              </w:rPr>
              <w:t>102</w:t>
            </w:r>
          </w:p>
        </w:tc>
        <w:tc>
          <w:tcPr>
            <w:tcW w:w="1110" w:type="dxa"/>
            <w:tcBorders>
              <w:top w:val="single" w:sz="2" w:space="0" w:color="auto"/>
              <w:left w:val="nil"/>
              <w:bottom w:val="single" w:sz="2" w:space="0" w:color="auto"/>
              <w:right w:val="nil"/>
            </w:tcBorders>
            <w:shd w:val="clear" w:color="auto" w:fill="auto"/>
            <w:vAlign w:val="center"/>
          </w:tcPr>
          <w:p w14:paraId="2695D368" w14:textId="77777777" w:rsidR="00EC4C05" w:rsidRPr="00033257" w:rsidRDefault="00EC4C05" w:rsidP="00DD0516">
            <w:pPr>
              <w:spacing w:after="0"/>
              <w:ind w:firstLine="0"/>
              <w:jc w:val="right"/>
              <w:rPr>
                <w:rFonts w:ascii="Arial Narrow" w:hAnsi="Arial Narrow" w:cs="Calibri"/>
              </w:rPr>
            </w:pPr>
            <w:r>
              <w:rPr>
                <w:rFonts w:ascii="Arial Narrow" w:hAnsi="Arial Narrow"/>
              </w:rPr>
              <w:t>1</w:t>
            </w:r>
          </w:p>
        </w:tc>
        <w:tc>
          <w:tcPr>
            <w:tcW w:w="1109" w:type="dxa"/>
            <w:tcBorders>
              <w:top w:val="single" w:sz="2" w:space="0" w:color="auto"/>
              <w:left w:val="nil"/>
              <w:bottom w:val="single" w:sz="2" w:space="0" w:color="auto"/>
              <w:right w:val="nil"/>
            </w:tcBorders>
            <w:shd w:val="clear" w:color="auto" w:fill="auto"/>
            <w:vAlign w:val="center"/>
          </w:tcPr>
          <w:p w14:paraId="6C89AE5F" w14:textId="77777777" w:rsidR="00EC4C05" w:rsidRPr="00033257" w:rsidRDefault="00EC4C05" w:rsidP="00DD0516">
            <w:pPr>
              <w:spacing w:after="0"/>
              <w:ind w:firstLine="0"/>
              <w:jc w:val="right"/>
              <w:rPr>
                <w:rFonts w:ascii="Arial Narrow" w:hAnsi="Arial Narrow" w:cs="Calibri"/>
              </w:rPr>
            </w:pPr>
            <w:r>
              <w:rPr>
                <w:rFonts w:ascii="Arial Narrow" w:hAnsi="Arial Narrow"/>
              </w:rPr>
              <w:t>-25</w:t>
            </w:r>
          </w:p>
        </w:tc>
      </w:tr>
      <w:tr w:rsidR="00EC4C05" w:rsidRPr="00033257" w14:paraId="5999F72F"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6EAFDAF5" w14:textId="77777777" w:rsidR="00EC4C05" w:rsidRPr="00033257" w:rsidRDefault="00EC4C05" w:rsidP="00DD0516">
            <w:pPr>
              <w:pStyle w:val="cuatexto"/>
              <w:spacing w:line="240" w:lineRule="auto"/>
              <w:jc w:val="left"/>
            </w:pPr>
            <w:r>
              <w:t xml:space="preserve">Funtzionamendu gastuak </w:t>
            </w:r>
          </w:p>
        </w:tc>
        <w:tc>
          <w:tcPr>
            <w:tcW w:w="850" w:type="dxa"/>
            <w:tcBorders>
              <w:top w:val="single" w:sz="2" w:space="0" w:color="auto"/>
              <w:left w:val="nil"/>
              <w:bottom w:val="single" w:sz="2" w:space="0" w:color="auto"/>
              <w:right w:val="nil"/>
            </w:tcBorders>
            <w:shd w:val="clear" w:color="auto" w:fill="auto"/>
            <w:vAlign w:val="center"/>
            <w:hideMark/>
          </w:tcPr>
          <w:p w14:paraId="212096EB" w14:textId="77777777" w:rsidR="00EC4C05" w:rsidRPr="00033257" w:rsidRDefault="00EC4C05" w:rsidP="00DD0516">
            <w:pPr>
              <w:spacing w:after="0"/>
              <w:ind w:firstLine="0"/>
              <w:jc w:val="right"/>
              <w:rPr>
                <w:rFonts w:ascii="Arial Narrow" w:hAnsi="Arial Narrow" w:cs="Calibri"/>
              </w:rPr>
            </w:pPr>
            <w:r>
              <w:rPr>
                <w:rFonts w:ascii="Arial Narrow" w:hAnsi="Arial Narrow"/>
              </w:rPr>
              <w:t>857</w:t>
            </w:r>
          </w:p>
        </w:tc>
        <w:tc>
          <w:tcPr>
            <w:tcW w:w="671" w:type="dxa"/>
            <w:tcBorders>
              <w:top w:val="single" w:sz="2" w:space="0" w:color="auto"/>
              <w:left w:val="nil"/>
              <w:bottom w:val="single" w:sz="2" w:space="0" w:color="auto"/>
              <w:right w:val="nil"/>
            </w:tcBorders>
            <w:shd w:val="clear" w:color="auto" w:fill="auto"/>
            <w:vAlign w:val="center"/>
            <w:hideMark/>
          </w:tcPr>
          <w:p w14:paraId="53E76DE3" w14:textId="77777777" w:rsidR="00EC4C05" w:rsidRPr="00033257" w:rsidRDefault="00EC4C05" w:rsidP="00DD0516">
            <w:pPr>
              <w:spacing w:after="0"/>
              <w:ind w:firstLine="0"/>
              <w:jc w:val="right"/>
              <w:rPr>
                <w:rFonts w:ascii="Arial Narrow" w:hAnsi="Arial Narrow" w:cs="Calibri"/>
              </w:rPr>
            </w:pPr>
            <w:r>
              <w:rPr>
                <w:rFonts w:ascii="Arial Narrow" w:hAnsi="Arial Narrow"/>
              </w:rPr>
              <w:t>1.158</w:t>
            </w:r>
          </w:p>
        </w:tc>
        <w:tc>
          <w:tcPr>
            <w:tcW w:w="747" w:type="dxa"/>
            <w:tcBorders>
              <w:top w:val="single" w:sz="2" w:space="0" w:color="auto"/>
              <w:left w:val="nil"/>
              <w:bottom w:val="single" w:sz="2" w:space="0" w:color="auto"/>
              <w:right w:val="nil"/>
            </w:tcBorders>
            <w:shd w:val="clear" w:color="auto" w:fill="auto"/>
            <w:vAlign w:val="center"/>
            <w:hideMark/>
          </w:tcPr>
          <w:p w14:paraId="038BFABD" w14:textId="77777777" w:rsidR="00EC4C05" w:rsidRPr="00033257" w:rsidRDefault="00EC4C05" w:rsidP="00DD0516">
            <w:pPr>
              <w:spacing w:after="0"/>
              <w:ind w:firstLine="0"/>
              <w:jc w:val="right"/>
              <w:rPr>
                <w:rFonts w:ascii="Arial Narrow" w:hAnsi="Arial Narrow" w:cs="Calibri"/>
              </w:rPr>
            </w:pPr>
            <w:r>
              <w:rPr>
                <w:rFonts w:ascii="Arial Narrow" w:hAnsi="Arial Narrow"/>
              </w:rPr>
              <w:t>885</w:t>
            </w:r>
          </w:p>
        </w:tc>
        <w:tc>
          <w:tcPr>
            <w:tcW w:w="1110" w:type="dxa"/>
            <w:tcBorders>
              <w:top w:val="single" w:sz="2" w:space="0" w:color="auto"/>
              <w:left w:val="nil"/>
              <w:bottom w:val="single" w:sz="2" w:space="0" w:color="auto"/>
              <w:right w:val="nil"/>
            </w:tcBorders>
            <w:shd w:val="clear" w:color="auto" w:fill="auto"/>
            <w:vAlign w:val="center"/>
            <w:hideMark/>
          </w:tcPr>
          <w:p w14:paraId="563DFAD4"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-301 </w:t>
            </w:r>
          </w:p>
        </w:tc>
        <w:tc>
          <w:tcPr>
            <w:tcW w:w="1109" w:type="dxa"/>
            <w:tcBorders>
              <w:top w:val="single" w:sz="2" w:space="0" w:color="auto"/>
              <w:left w:val="nil"/>
              <w:bottom w:val="single" w:sz="2" w:space="0" w:color="auto"/>
              <w:right w:val="nil"/>
            </w:tcBorders>
            <w:shd w:val="clear" w:color="auto" w:fill="auto"/>
            <w:vAlign w:val="center"/>
            <w:hideMark/>
          </w:tcPr>
          <w:p w14:paraId="38A24E1A"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-27 </w:t>
            </w:r>
          </w:p>
        </w:tc>
      </w:tr>
      <w:tr w:rsidR="00EC4C05" w:rsidRPr="00033257" w14:paraId="4243B647"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tcPr>
          <w:p w14:paraId="21CF6643" w14:textId="77777777" w:rsidR="00EC4C05" w:rsidRPr="00033257" w:rsidRDefault="00EC4C05" w:rsidP="00DD0516">
            <w:pPr>
              <w:pStyle w:val="cuatexto"/>
              <w:spacing w:line="240" w:lineRule="auto"/>
              <w:jc w:val="left"/>
            </w:pPr>
            <w:r>
              <w:t>Kapitaleko gastuak</w:t>
            </w:r>
          </w:p>
        </w:tc>
        <w:tc>
          <w:tcPr>
            <w:tcW w:w="850" w:type="dxa"/>
            <w:tcBorders>
              <w:top w:val="single" w:sz="2" w:space="0" w:color="auto"/>
              <w:left w:val="nil"/>
              <w:bottom w:val="single" w:sz="2" w:space="0" w:color="auto"/>
              <w:right w:val="nil"/>
            </w:tcBorders>
            <w:shd w:val="clear" w:color="auto" w:fill="auto"/>
            <w:vAlign w:val="center"/>
          </w:tcPr>
          <w:p w14:paraId="15BB52A1" w14:textId="77777777" w:rsidR="00EC4C05" w:rsidRPr="00033257" w:rsidRDefault="00EC4C05" w:rsidP="00DD0516">
            <w:pPr>
              <w:spacing w:after="0"/>
              <w:ind w:firstLine="0"/>
              <w:jc w:val="right"/>
              <w:rPr>
                <w:rFonts w:ascii="Arial Narrow" w:hAnsi="Arial Narrow" w:cs="Calibri"/>
              </w:rPr>
            </w:pPr>
            <w:r>
              <w:rPr>
                <w:rFonts w:ascii="Arial Narrow" w:hAnsi="Arial Narrow"/>
              </w:rPr>
              <w:t>222</w:t>
            </w:r>
          </w:p>
        </w:tc>
        <w:tc>
          <w:tcPr>
            <w:tcW w:w="671" w:type="dxa"/>
            <w:tcBorders>
              <w:top w:val="single" w:sz="2" w:space="0" w:color="auto"/>
              <w:left w:val="nil"/>
              <w:bottom w:val="single" w:sz="2" w:space="0" w:color="auto"/>
              <w:right w:val="nil"/>
            </w:tcBorders>
            <w:shd w:val="clear" w:color="auto" w:fill="auto"/>
            <w:vAlign w:val="center"/>
          </w:tcPr>
          <w:p w14:paraId="4BDA9431" w14:textId="77777777" w:rsidR="00EC4C05" w:rsidRPr="00033257" w:rsidRDefault="00EC4C05" w:rsidP="00DD0516">
            <w:pPr>
              <w:spacing w:after="0"/>
              <w:ind w:firstLine="0"/>
              <w:jc w:val="right"/>
              <w:rPr>
                <w:rFonts w:ascii="Arial Narrow" w:hAnsi="Arial Narrow" w:cs="Calibri"/>
              </w:rPr>
            </w:pPr>
            <w:r>
              <w:rPr>
                <w:rFonts w:ascii="Arial Narrow" w:hAnsi="Arial Narrow"/>
              </w:rPr>
              <w:t>202</w:t>
            </w:r>
          </w:p>
        </w:tc>
        <w:tc>
          <w:tcPr>
            <w:tcW w:w="747" w:type="dxa"/>
            <w:tcBorders>
              <w:top w:val="single" w:sz="2" w:space="0" w:color="auto"/>
              <w:left w:val="nil"/>
              <w:bottom w:val="single" w:sz="2" w:space="0" w:color="auto"/>
              <w:right w:val="nil"/>
            </w:tcBorders>
            <w:shd w:val="clear" w:color="auto" w:fill="auto"/>
            <w:vAlign w:val="center"/>
          </w:tcPr>
          <w:p w14:paraId="2633499C" w14:textId="77777777" w:rsidR="00EC4C05" w:rsidRPr="00033257" w:rsidRDefault="00EC4C05" w:rsidP="00DD0516">
            <w:pPr>
              <w:spacing w:after="0"/>
              <w:ind w:firstLine="0"/>
              <w:jc w:val="right"/>
              <w:rPr>
                <w:rFonts w:ascii="Arial Narrow" w:hAnsi="Arial Narrow" w:cs="Calibri"/>
              </w:rPr>
            </w:pPr>
            <w:r>
              <w:rPr>
                <w:rFonts w:ascii="Arial Narrow" w:hAnsi="Arial Narrow"/>
              </w:rPr>
              <w:t>183</w:t>
            </w:r>
          </w:p>
        </w:tc>
        <w:tc>
          <w:tcPr>
            <w:tcW w:w="1110" w:type="dxa"/>
            <w:tcBorders>
              <w:top w:val="single" w:sz="2" w:space="0" w:color="auto"/>
              <w:left w:val="nil"/>
              <w:bottom w:val="single" w:sz="2" w:space="0" w:color="auto"/>
              <w:right w:val="nil"/>
            </w:tcBorders>
            <w:shd w:val="clear" w:color="auto" w:fill="auto"/>
            <w:vAlign w:val="center"/>
          </w:tcPr>
          <w:p w14:paraId="74BC2F5A" w14:textId="77777777" w:rsidR="00EC4C05" w:rsidRPr="00033257" w:rsidRDefault="00EC4C05" w:rsidP="00DD0516">
            <w:pPr>
              <w:spacing w:after="0"/>
              <w:ind w:firstLine="0"/>
              <w:jc w:val="right"/>
              <w:rPr>
                <w:rFonts w:ascii="Arial Narrow" w:hAnsi="Arial Narrow" w:cs="Calibri"/>
              </w:rPr>
            </w:pPr>
            <w:r>
              <w:rPr>
                <w:rFonts w:ascii="Arial Narrow" w:hAnsi="Arial Narrow"/>
              </w:rPr>
              <w:t>20</w:t>
            </w:r>
          </w:p>
        </w:tc>
        <w:tc>
          <w:tcPr>
            <w:tcW w:w="1109" w:type="dxa"/>
            <w:tcBorders>
              <w:top w:val="single" w:sz="2" w:space="0" w:color="auto"/>
              <w:left w:val="nil"/>
              <w:bottom w:val="single" w:sz="2" w:space="0" w:color="auto"/>
              <w:right w:val="nil"/>
            </w:tcBorders>
            <w:shd w:val="clear" w:color="auto" w:fill="auto"/>
            <w:vAlign w:val="center"/>
          </w:tcPr>
          <w:p w14:paraId="2A72985E" w14:textId="77777777" w:rsidR="00EC4C05" w:rsidRPr="00033257" w:rsidRDefault="00EC4C05" w:rsidP="00DD0516">
            <w:pPr>
              <w:spacing w:after="0"/>
              <w:ind w:firstLine="0"/>
              <w:jc w:val="right"/>
              <w:rPr>
                <w:rFonts w:ascii="Arial Narrow" w:hAnsi="Arial Narrow" w:cs="Calibri"/>
              </w:rPr>
            </w:pPr>
            <w:r>
              <w:rPr>
                <w:rFonts w:ascii="Arial Narrow" w:hAnsi="Arial Narrow"/>
              </w:rPr>
              <w:t>39</w:t>
            </w:r>
          </w:p>
        </w:tc>
      </w:tr>
      <w:tr w:rsidR="00EC4C05" w:rsidRPr="00033257" w14:paraId="33012B53"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5AAF6026" w14:textId="77777777" w:rsidR="00EC4C05" w:rsidRPr="00033257" w:rsidRDefault="00EC4C05" w:rsidP="00DD0516">
            <w:pPr>
              <w:pStyle w:val="cuatexto"/>
              <w:spacing w:line="240" w:lineRule="auto"/>
              <w:jc w:val="left"/>
            </w:pPr>
            <w:r>
              <w:t xml:space="preserve">Finantza-zama </w:t>
            </w:r>
          </w:p>
        </w:tc>
        <w:tc>
          <w:tcPr>
            <w:tcW w:w="850" w:type="dxa"/>
            <w:tcBorders>
              <w:top w:val="single" w:sz="2" w:space="0" w:color="auto"/>
              <w:left w:val="nil"/>
              <w:bottom w:val="single" w:sz="2" w:space="0" w:color="auto"/>
              <w:right w:val="nil"/>
            </w:tcBorders>
            <w:shd w:val="clear" w:color="auto" w:fill="auto"/>
            <w:vAlign w:val="center"/>
            <w:hideMark/>
          </w:tcPr>
          <w:p w14:paraId="0B7DDE6E" w14:textId="77777777" w:rsidR="00EC4C05" w:rsidRPr="00033257" w:rsidRDefault="00EC4C05" w:rsidP="00DD0516">
            <w:pPr>
              <w:spacing w:after="0"/>
              <w:ind w:firstLine="0"/>
              <w:jc w:val="right"/>
              <w:rPr>
                <w:rFonts w:ascii="Arial Narrow" w:hAnsi="Arial Narrow" w:cs="Calibri"/>
              </w:rPr>
            </w:pPr>
            <w:r>
              <w:rPr>
                <w:rFonts w:ascii="Arial Narrow" w:hAnsi="Arial Narrow"/>
              </w:rPr>
              <w:t>32</w:t>
            </w:r>
          </w:p>
        </w:tc>
        <w:tc>
          <w:tcPr>
            <w:tcW w:w="671" w:type="dxa"/>
            <w:tcBorders>
              <w:top w:val="single" w:sz="2" w:space="0" w:color="auto"/>
              <w:left w:val="nil"/>
              <w:bottom w:val="single" w:sz="2" w:space="0" w:color="auto"/>
              <w:right w:val="nil"/>
            </w:tcBorders>
            <w:shd w:val="clear" w:color="auto" w:fill="auto"/>
            <w:vAlign w:val="center"/>
            <w:hideMark/>
          </w:tcPr>
          <w:p w14:paraId="7A147FCC" w14:textId="77777777" w:rsidR="00EC4C05" w:rsidRPr="00033257" w:rsidRDefault="00EC4C05" w:rsidP="00DD0516">
            <w:pPr>
              <w:spacing w:after="0"/>
              <w:ind w:firstLine="0"/>
              <w:jc w:val="right"/>
              <w:rPr>
                <w:rFonts w:ascii="Arial Narrow" w:hAnsi="Arial Narrow" w:cs="Calibri"/>
              </w:rPr>
            </w:pPr>
            <w:r>
              <w:rPr>
                <w:rFonts w:ascii="Arial Narrow" w:hAnsi="Arial Narrow"/>
              </w:rPr>
              <w:t>36</w:t>
            </w:r>
          </w:p>
        </w:tc>
        <w:tc>
          <w:tcPr>
            <w:tcW w:w="747" w:type="dxa"/>
            <w:tcBorders>
              <w:top w:val="single" w:sz="2" w:space="0" w:color="auto"/>
              <w:left w:val="nil"/>
              <w:bottom w:val="single" w:sz="2" w:space="0" w:color="auto"/>
              <w:right w:val="nil"/>
            </w:tcBorders>
            <w:shd w:val="clear" w:color="auto" w:fill="auto"/>
            <w:vAlign w:val="center"/>
            <w:hideMark/>
          </w:tcPr>
          <w:p w14:paraId="7FE75698" w14:textId="77777777" w:rsidR="00EC4C05" w:rsidRPr="00033257" w:rsidRDefault="00EC4C05" w:rsidP="00DD0516">
            <w:pPr>
              <w:spacing w:after="0"/>
              <w:ind w:firstLine="0"/>
              <w:jc w:val="right"/>
              <w:rPr>
                <w:rFonts w:ascii="Arial Narrow" w:hAnsi="Arial Narrow" w:cs="Calibri"/>
              </w:rPr>
            </w:pPr>
            <w:r>
              <w:rPr>
                <w:rFonts w:ascii="Arial Narrow" w:hAnsi="Arial Narrow"/>
              </w:rPr>
              <w:t>54</w:t>
            </w:r>
          </w:p>
        </w:tc>
        <w:tc>
          <w:tcPr>
            <w:tcW w:w="1110" w:type="dxa"/>
            <w:tcBorders>
              <w:top w:val="single" w:sz="2" w:space="0" w:color="auto"/>
              <w:left w:val="nil"/>
              <w:bottom w:val="single" w:sz="2" w:space="0" w:color="auto"/>
              <w:right w:val="nil"/>
            </w:tcBorders>
            <w:shd w:val="clear" w:color="auto" w:fill="auto"/>
            <w:vAlign w:val="center"/>
            <w:hideMark/>
          </w:tcPr>
          <w:p w14:paraId="1034454F"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-4 </w:t>
            </w:r>
          </w:p>
        </w:tc>
        <w:tc>
          <w:tcPr>
            <w:tcW w:w="1109" w:type="dxa"/>
            <w:tcBorders>
              <w:top w:val="single" w:sz="2" w:space="0" w:color="auto"/>
              <w:left w:val="nil"/>
              <w:bottom w:val="single" w:sz="2" w:space="0" w:color="auto"/>
              <w:right w:val="nil"/>
            </w:tcBorders>
            <w:shd w:val="clear" w:color="auto" w:fill="auto"/>
            <w:vAlign w:val="center"/>
            <w:hideMark/>
          </w:tcPr>
          <w:p w14:paraId="679E8382"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-21 </w:t>
            </w:r>
          </w:p>
        </w:tc>
      </w:tr>
      <w:tr w:rsidR="00EC4C05" w:rsidRPr="00033257" w14:paraId="1837314D"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159D575F" w14:textId="77777777" w:rsidR="00EC4C05" w:rsidRPr="00033257" w:rsidRDefault="00EC4C05" w:rsidP="00DD0516">
            <w:pPr>
              <w:pStyle w:val="cuatexto"/>
              <w:spacing w:line="240" w:lineRule="auto"/>
              <w:jc w:val="left"/>
            </w:pPr>
            <w:r>
              <w:t>Aurrezki gordina</w:t>
            </w:r>
          </w:p>
        </w:tc>
        <w:tc>
          <w:tcPr>
            <w:tcW w:w="850" w:type="dxa"/>
            <w:tcBorders>
              <w:top w:val="single" w:sz="2" w:space="0" w:color="auto"/>
              <w:left w:val="nil"/>
              <w:bottom w:val="single" w:sz="2" w:space="0" w:color="auto"/>
              <w:right w:val="nil"/>
            </w:tcBorders>
            <w:shd w:val="clear" w:color="auto" w:fill="auto"/>
            <w:vAlign w:val="center"/>
            <w:hideMark/>
          </w:tcPr>
          <w:p w14:paraId="15C6077F" w14:textId="77777777" w:rsidR="00EC4C05" w:rsidRPr="00033257" w:rsidRDefault="00EC4C05" w:rsidP="00DD0516">
            <w:pPr>
              <w:spacing w:after="0"/>
              <w:ind w:firstLine="0"/>
              <w:jc w:val="right"/>
              <w:rPr>
                <w:rFonts w:ascii="Arial Narrow" w:hAnsi="Arial Narrow" w:cs="Calibri"/>
              </w:rPr>
            </w:pPr>
            <w:r>
              <w:rPr>
                <w:rFonts w:ascii="Arial Narrow" w:hAnsi="Arial Narrow"/>
              </w:rPr>
              <w:t>183</w:t>
            </w:r>
          </w:p>
        </w:tc>
        <w:tc>
          <w:tcPr>
            <w:tcW w:w="671" w:type="dxa"/>
            <w:tcBorders>
              <w:top w:val="single" w:sz="2" w:space="0" w:color="auto"/>
              <w:left w:val="nil"/>
              <w:bottom w:val="single" w:sz="2" w:space="0" w:color="auto"/>
              <w:right w:val="nil"/>
            </w:tcBorders>
            <w:shd w:val="clear" w:color="auto" w:fill="auto"/>
            <w:vAlign w:val="center"/>
            <w:hideMark/>
          </w:tcPr>
          <w:p w14:paraId="262F141A" w14:textId="77777777" w:rsidR="00EC4C05" w:rsidRPr="00033257" w:rsidRDefault="00EC4C05" w:rsidP="00DD0516">
            <w:pPr>
              <w:spacing w:after="0"/>
              <w:ind w:firstLine="0"/>
              <w:jc w:val="right"/>
              <w:rPr>
                <w:rFonts w:ascii="Arial Narrow" w:hAnsi="Arial Narrow" w:cs="Calibri"/>
              </w:rPr>
            </w:pPr>
            <w:r>
              <w:rPr>
                <w:rFonts w:ascii="Arial Narrow" w:hAnsi="Arial Narrow"/>
              </w:rPr>
              <w:t>285</w:t>
            </w:r>
          </w:p>
        </w:tc>
        <w:tc>
          <w:tcPr>
            <w:tcW w:w="747" w:type="dxa"/>
            <w:tcBorders>
              <w:top w:val="single" w:sz="2" w:space="0" w:color="auto"/>
              <w:left w:val="nil"/>
              <w:bottom w:val="single" w:sz="2" w:space="0" w:color="auto"/>
              <w:right w:val="nil"/>
            </w:tcBorders>
            <w:shd w:val="clear" w:color="auto" w:fill="auto"/>
            <w:vAlign w:val="center"/>
            <w:hideMark/>
          </w:tcPr>
          <w:p w14:paraId="2FFB8B9D" w14:textId="77777777" w:rsidR="00EC4C05" w:rsidRPr="00033257" w:rsidRDefault="00EC4C05" w:rsidP="00DD0516">
            <w:pPr>
              <w:spacing w:after="0"/>
              <w:ind w:firstLine="0"/>
              <w:jc w:val="right"/>
              <w:rPr>
                <w:rFonts w:ascii="Arial Narrow" w:hAnsi="Arial Narrow" w:cs="Calibri"/>
              </w:rPr>
            </w:pPr>
            <w:r>
              <w:rPr>
                <w:rFonts w:ascii="Arial Narrow" w:hAnsi="Arial Narrow"/>
              </w:rPr>
              <w:t>179</w:t>
            </w:r>
          </w:p>
        </w:tc>
        <w:tc>
          <w:tcPr>
            <w:tcW w:w="1110" w:type="dxa"/>
            <w:tcBorders>
              <w:top w:val="single" w:sz="2" w:space="0" w:color="auto"/>
              <w:left w:val="nil"/>
              <w:bottom w:val="single" w:sz="2" w:space="0" w:color="auto"/>
              <w:right w:val="nil"/>
            </w:tcBorders>
            <w:shd w:val="clear" w:color="auto" w:fill="auto"/>
            <w:vAlign w:val="center"/>
            <w:hideMark/>
          </w:tcPr>
          <w:p w14:paraId="3D475DBE"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-102 </w:t>
            </w:r>
          </w:p>
        </w:tc>
        <w:tc>
          <w:tcPr>
            <w:tcW w:w="1109" w:type="dxa"/>
            <w:tcBorders>
              <w:top w:val="single" w:sz="2" w:space="0" w:color="auto"/>
              <w:left w:val="nil"/>
              <w:bottom w:val="single" w:sz="2" w:space="0" w:color="auto"/>
              <w:right w:val="nil"/>
            </w:tcBorders>
            <w:shd w:val="clear" w:color="auto" w:fill="auto"/>
            <w:vAlign w:val="center"/>
            <w:hideMark/>
          </w:tcPr>
          <w:p w14:paraId="49C71973"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4 </w:t>
            </w:r>
          </w:p>
        </w:tc>
      </w:tr>
      <w:tr w:rsidR="00EC4C05" w:rsidRPr="00033257" w14:paraId="689E7A5D"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1F778FB5" w14:textId="77777777" w:rsidR="00EC4C05" w:rsidRPr="00033257" w:rsidRDefault="00EC4C05" w:rsidP="00DD0516">
            <w:pPr>
              <w:pStyle w:val="cuatexto"/>
              <w:spacing w:line="240" w:lineRule="auto"/>
              <w:jc w:val="left"/>
            </w:pPr>
            <w:r>
              <w:t>Aurrezki garbia</w:t>
            </w:r>
          </w:p>
        </w:tc>
        <w:tc>
          <w:tcPr>
            <w:tcW w:w="850" w:type="dxa"/>
            <w:tcBorders>
              <w:top w:val="single" w:sz="2" w:space="0" w:color="auto"/>
              <w:left w:val="nil"/>
              <w:bottom w:val="single" w:sz="2" w:space="0" w:color="auto"/>
              <w:right w:val="nil"/>
            </w:tcBorders>
            <w:shd w:val="clear" w:color="auto" w:fill="auto"/>
            <w:vAlign w:val="center"/>
            <w:hideMark/>
          </w:tcPr>
          <w:p w14:paraId="64507562" w14:textId="77777777" w:rsidR="00EC4C05" w:rsidRPr="00033257" w:rsidRDefault="00EC4C05" w:rsidP="00DD0516">
            <w:pPr>
              <w:spacing w:after="0"/>
              <w:ind w:firstLine="0"/>
              <w:jc w:val="right"/>
              <w:rPr>
                <w:rFonts w:ascii="Arial Narrow" w:hAnsi="Arial Narrow" w:cs="Calibri"/>
              </w:rPr>
            </w:pPr>
            <w:r>
              <w:rPr>
                <w:rFonts w:ascii="Arial Narrow" w:hAnsi="Arial Narrow"/>
              </w:rPr>
              <w:t>151</w:t>
            </w:r>
          </w:p>
        </w:tc>
        <w:tc>
          <w:tcPr>
            <w:tcW w:w="671" w:type="dxa"/>
            <w:tcBorders>
              <w:top w:val="single" w:sz="2" w:space="0" w:color="auto"/>
              <w:left w:val="nil"/>
              <w:bottom w:val="single" w:sz="2" w:space="0" w:color="auto"/>
              <w:right w:val="nil"/>
            </w:tcBorders>
            <w:shd w:val="clear" w:color="auto" w:fill="auto"/>
            <w:vAlign w:val="center"/>
            <w:hideMark/>
          </w:tcPr>
          <w:p w14:paraId="1EC3C886" w14:textId="77777777" w:rsidR="00EC4C05" w:rsidRPr="00033257" w:rsidRDefault="00EC4C05" w:rsidP="00DD0516">
            <w:pPr>
              <w:spacing w:after="0"/>
              <w:ind w:firstLine="0"/>
              <w:jc w:val="right"/>
              <w:rPr>
                <w:rFonts w:ascii="Arial Narrow" w:hAnsi="Arial Narrow" w:cs="Calibri"/>
              </w:rPr>
            </w:pPr>
            <w:r>
              <w:rPr>
                <w:rFonts w:ascii="Arial Narrow" w:hAnsi="Arial Narrow"/>
              </w:rPr>
              <w:t>248</w:t>
            </w:r>
          </w:p>
        </w:tc>
        <w:tc>
          <w:tcPr>
            <w:tcW w:w="747" w:type="dxa"/>
            <w:tcBorders>
              <w:top w:val="single" w:sz="2" w:space="0" w:color="auto"/>
              <w:left w:val="nil"/>
              <w:bottom w:val="single" w:sz="2" w:space="0" w:color="auto"/>
              <w:right w:val="nil"/>
            </w:tcBorders>
            <w:shd w:val="clear" w:color="auto" w:fill="auto"/>
            <w:vAlign w:val="center"/>
            <w:hideMark/>
          </w:tcPr>
          <w:p w14:paraId="6F5FA94C" w14:textId="77777777" w:rsidR="00EC4C05" w:rsidRPr="00033257" w:rsidRDefault="00EC4C05" w:rsidP="00DD0516">
            <w:pPr>
              <w:spacing w:after="0"/>
              <w:ind w:firstLine="0"/>
              <w:jc w:val="right"/>
              <w:rPr>
                <w:rFonts w:ascii="Arial Narrow" w:hAnsi="Arial Narrow" w:cs="Calibri"/>
              </w:rPr>
            </w:pPr>
            <w:r>
              <w:rPr>
                <w:rFonts w:ascii="Arial Narrow" w:hAnsi="Arial Narrow"/>
              </w:rPr>
              <w:t>125</w:t>
            </w:r>
          </w:p>
        </w:tc>
        <w:tc>
          <w:tcPr>
            <w:tcW w:w="1110" w:type="dxa"/>
            <w:tcBorders>
              <w:top w:val="single" w:sz="2" w:space="0" w:color="auto"/>
              <w:left w:val="nil"/>
              <w:bottom w:val="single" w:sz="2" w:space="0" w:color="auto"/>
              <w:right w:val="nil"/>
            </w:tcBorders>
            <w:shd w:val="clear" w:color="auto" w:fill="auto"/>
            <w:vAlign w:val="center"/>
            <w:hideMark/>
          </w:tcPr>
          <w:p w14:paraId="582FDE97"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-98 </w:t>
            </w:r>
          </w:p>
        </w:tc>
        <w:tc>
          <w:tcPr>
            <w:tcW w:w="1109" w:type="dxa"/>
            <w:tcBorders>
              <w:top w:val="single" w:sz="2" w:space="0" w:color="auto"/>
              <w:left w:val="nil"/>
              <w:bottom w:val="single" w:sz="2" w:space="0" w:color="auto"/>
              <w:right w:val="nil"/>
            </w:tcBorders>
            <w:shd w:val="clear" w:color="auto" w:fill="auto"/>
            <w:vAlign w:val="center"/>
            <w:hideMark/>
          </w:tcPr>
          <w:p w14:paraId="557AB38E"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25 </w:t>
            </w:r>
          </w:p>
        </w:tc>
      </w:tr>
      <w:tr w:rsidR="00EC4C05" w:rsidRPr="00033257" w14:paraId="7797F66B"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587CAFAB" w14:textId="77777777" w:rsidR="00EC4C05" w:rsidRPr="00033257" w:rsidRDefault="00EC4C05" w:rsidP="00DD0516">
            <w:pPr>
              <w:pStyle w:val="cuatexto"/>
              <w:spacing w:line="240" w:lineRule="auto"/>
              <w:jc w:val="left"/>
            </w:pPr>
            <w:r>
              <w:t>Zor bizia</w:t>
            </w:r>
          </w:p>
        </w:tc>
        <w:tc>
          <w:tcPr>
            <w:tcW w:w="850" w:type="dxa"/>
            <w:tcBorders>
              <w:top w:val="single" w:sz="2" w:space="0" w:color="auto"/>
              <w:left w:val="nil"/>
              <w:bottom w:val="single" w:sz="2" w:space="0" w:color="auto"/>
              <w:right w:val="nil"/>
            </w:tcBorders>
            <w:shd w:val="clear" w:color="auto" w:fill="auto"/>
            <w:vAlign w:val="center"/>
            <w:hideMark/>
          </w:tcPr>
          <w:p w14:paraId="18D84C6E" w14:textId="77777777" w:rsidR="00EC4C05" w:rsidRPr="00033257" w:rsidRDefault="00EC4C05" w:rsidP="00DD0516">
            <w:pPr>
              <w:spacing w:after="0"/>
              <w:ind w:firstLine="0"/>
              <w:jc w:val="right"/>
              <w:rPr>
                <w:rFonts w:ascii="Arial Narrow" w:hAnsi="Arial Narrow" w:cs="Calibri"/>
              </w:rPr>
            </w:pPr>
            <w:r>
              <w:rPr>
                <w:rFonts w:ascii="Arial Narrow" w:hAnsi="Arial Narrow"/>
              </w:rPr>
              <w:t>142</w:t>
            </w:r>
          </w:p>
        </w:tc>
        <w:tc>
          <w:tcPr>
            <w:tcW w:w="671" w:type="dxa"/>
            <w:tcBorders>
              <w:top w:val="single" w:sz="2" w:space="0" w:color="auto"/>
              <w:left w:val="nil"/>
              <w:bottom w:val="single" w:sz="2" w:space="0" w:color="auto"/>
              <w:right w:val="nil"/>
            </w:tcBorders>
            <w:shd w:val="clear" w:color="auto" w:fill="auto"/>
            <w:vAlign w:val="center"/>
            <w:hideMark/>
          </w:tcPr>
          <w:p w14:paraId="4C3C3ED4" w14:textId="77777777" w:rsidR="00EC4C05" w:rsidRPr="00033257" w:rsidRDefault="00EC4C05" w:rsidP="00DD0516">
            <w:pPr>
              <w:spacing w:after="0"/>
              <w:ind w:firstLine="0"/>
              <w:jc w:val="right"/>
              <w:rPr>
                <w:rFonts w:ascii="Arial Narrow" w:hAnsi="Arial Narrow" w:cs="Calibri"/>
              </w:rPr>
            </w:pPr>
            <w:r>
              <w:rPr>
                <w:rFonts w:ascii="Arial Narrow" w:hAnsi="Arial Narrow"/>
              </w:rPr>
              <w:t>107</w:t>
            </w:r>
          </w:p>
        </w:tc>
        <w:tc>
          <w:tcPr>
            <w:tcW w:w="747" w:type="dxa"/>
            <w:tcBorders>
              <w:top w:val="single" w:sz="2" w:space="0" w:color="auto"/>
              <w:left w:val="nil"/>
              <w:bottom w:val="single" w:sz="2" w:space="0" w:color="auto"/>
              <w:right w:val="nil"/>
            </w:tcBorders>
            <w:shd w:val="clear" w:color="auto" w:fill="auto"/>
            <w:vAlign w:val="center"/>
            <w:hideMark/>
          </w:tcPr>
          <w:p w14:paraId="65DCD18A" w14:textId="77777777" w:rsidR="00EC4C05" w:rsidRPr="00033257" w:rsidRDefault="00EC4C05" w:rsidP="00DD0516">
            <w:pPr>
              <w:spacing w:after="0"/>
              <w:ind w:firstLine="0"/>
              <w:jc w:val="right"/>
              <w:rPr>
                <w:rFonts w:ascii="Arial Narrow" w:hAnsi="Arial Narrow" w:cs="Calibri"/>
              </w:rPr>
            </w:pPr>
            <w:r>
              <w:rPr>
                <w:rFonts w:ascii="Arial Narrow" w:hAnsi="Arial Narrow"/>
              </w:rPr>
              <w:t>251</w:t>
            </w:r>
          </w:p>
        </w:tc>
        <w:tc>
          <w:tcPr>
            <w:tcW w:w="1110" w:type="dxa"/>
            <w:tcBorders>
              <w:top w:val="single" w:sz="2" w:space="0" w:color="auto"/>
              <w:left w:val="nil"/>
              <w:bottom w:val="single" w:sz="2" w:space="0" w:color="auto"/>
              <w:right w:val="nil"/>
            </w:tcBorders>
            <w:shd w:val="clear" w:color="auto" w:fill="auto"/>
            <w:vAlign w:val="center"/>
            <w:hideMark/>
          </w:tcPr>
          <w:p w14:paraId="74CCAB6A"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35 </w:t>
            </w:r>
          </w:p>
        </w:tc>
        <w:tc>
          <w:tcPr>
            <w:tcW w:w="1109" w:type="dxa"/>
            <w:tcBorders>
              <w:top w:val="single" w:sz="2" w:space="0" w:color="auto"/>
              <w:left w:val="nil"/>
              <w:bottom w:val="single" w:sz="2" w:space="0" w:color="auto"/>
              <w:right w:val="nil"/>
            </w:tcBorders>
            <w:shd w:val="clear" w:color="auto" w:fill="auto"/>
            <w:vAlign w:val="center"/>
            <w:hideMark/>
          </w:tcPr>
          <w:p w14:paraId="65C34619"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-109 </w:t>
            </w:r>
          </w:p>
        </w:tc>
      </w:tr>
      <w:tr w:rsidR="00EC4C05" w:rsidRPr="00033257" w14:paraId="768FEED9"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4E786B69" w14:textId="77777777" w:rsidR="00EC4C05" w:rsidRPr="00033257" w:rsidRDefault="00EC4C05" w:rsidP="00DD0516">
            <w:pPr>
              <w:pStyle w:val="cuatexto"/>
              <w:spacing w:line="240" w:lineRule="auto"/>
              <w:jc w:val="left"/>
            </w:pPr>
            <w:r>
              <w:t>Zorpetze maila (zor biz. %/d.s. arr.)</w:t>
            </w:r>
          </w:p>
        </w:tc>
        <w:tc>
          <w:tcPr>
            <w:tcW w:w="850" w:type="dxa"/>
            <w:tcBorders>
              <w:top w:val="single" w:sz="2" w:space="0" w:color="auto"/>
              <w:left w:val="nil"/>
              <w:bottom w:val="single" w:sz="2" w:space="0" w:color="auto"/>
              <w:right w:val="nil"/>
            </w:tcBorders>
            <w:shd w:val="clear" w:color="auto" w:fill="auto"/>
            <w:vAlign w:val="center"/>
            <w:hideMark/>
          </w:tcPr>
          <w:p w14:paraId="4C45D250" w14:textId="77777777" w:rsidR="00EC4C05" w:rsidRPr="00033257" w:rsidRDefault="00EC4C05" w:rsidP="00DD0516">
            <w:pPr>
              <w:spacing w:after="0"/>
              <w:ind w:firstLine="0"/>
              <w:jc w:val="right"/>
              <w:rPr>
                <w:rFonts w:ascii="Arial Narrow" w:hAnsi="Arial Narrow" w:cs="Calibri"/>
              </w:rPr>
            </w:pPr>
            <w:r>
              <w:rPr>
                <w:rFonts w:ascii="Arial Narrow" w:hAnsi="Arial Narrow"/>
              </w:rPr>
              <w:t>14</w:t>
            </w:r>
          </w:p>
        </w:tc>
        <w:tc>
          <w:tcPr>
            <w:tcW w:w="671" w:type="dxa"/>
            <w:tcBorders>
              <w:top w:val="single" w:sz="2" w:space="0" w:color="auto"/>
              <w:left w:val="nil"/>
              <w:bottom w:val="single" w:sz="2" w:space="0" w:color="auto"/>
              <w:right w:val="nil"/>
            </w:tcBorders>
            <w:shd w:val="clear" w:color="auto" w:fill="auto"/>
            <w:vAlign w:val="center"/>
            <w:hideMark/>
          </w:tcPr>
          <w:p w14:paraId="71268452" w14:textId="77777777" w:rsidR="00EC4C05" w:rsidRPr="00033257" w:rsidRDefault="00EC4C05" w:rsidP="00DD0516">
            <w:pPr>
              <w:spacing w:after="0"/>
              <w:ind w:firstLine="0"/>
              <w:jc w:val="right"/>
              <w:rPr>
                <w:rFonts w:ascii="Arial Narrow" w:hAnsi="Arial Narrow" w:cs="Calibri"/>
              </w:rPr>
            </w:pPr>
            <w:r>
              <w:rPr>
                <w:rFonts w:ascii="Arial Narrow" w:hAnsi="Arial Narrow"/>
              </w:rPr>
              <w:t>7</w:t>
            </w:r>
          </w:p>
        </w:tc>
        <w:tc>
          <w:tcPr>
            <w:tcW w:w="747" w:type="dxa"/>
            <w:tcBorders>
              <w:top w:val="single" w:sz="2" w:space="0" w:color="auto"/>
              <w:left w:val="nil"/>
              <w:bottom w:val="single" w:sz="2" w:space="0" w:color="auto"/>
              <w:right w:val="nil"/>
            </w:tcBorders>
            <w:shd w:val="clear" w:color="auto" w:fill="auto"/>
            <w:vAlign w:val="center"/>
            <w:hideMark/>
          </w:tcPr>
          <w:p w14:paraId="46723FB0" w14:textId="77777777" w:rsidR="00EC4C05" w:rsidRPr="00033257" w:rsidRDefault="00EC4C05" w:rsidP="00DD0516">
            <w:pPr>
              <w:spacing w:after="0"/>
              <w:ind w:firstLine="0"/>
              <w:jc w:val="right"/>
              <w:rPr>
                <w:rFonts w:ascii="Arial Narrow" w:hAnsi="Arial Narrow" w:cs="Calibri"/>
              </w:rPr>
            </w:pPr>
            <w:r>
              <w:rPr>
                <w:rFonts w:ascii="Arial Narrow" w:hAnsi="Arial Narrow"/>
              </w:rPr>
              <w:t>24</w:t>
            </w:r>
          </w:p>
        </w:tc>
        <w:tc>
          <w:tcPr>
            <w:tcW w:w="1110" w:type="dxa"/>
            <w:tcBorders>
              <w:top w:val="single" w:sz="2" w:space="0" w:color="auto"/>
              <w:left w:val="nil"/>
              <w:bottom w:val="single" w:sz="2" w:space="0" w:color="auto"/>
              <w:right w:val="nil"/>
            </w:tcBorders>
            <w:shd w:val="clear" w:color="auto" w:fill="auto"/>
            <w:vAlign w:val="center"/>
            <w:hideMark/>
          </w:tcPr>
          <w:p w14:paraId="009388C2" w14:textId="77777777" w:rsidR="00EC4C05" w:rsidRPr="00033257" w:rsidRDefault="00EC4C05" w:rsidP="00DD0516">
            <w:pPr>
              <w:spacing w:after="0"/>
              <w:ind w:firstLine="0"/>
              <w:jc w:val="right"/>
              <w:rPr>
                <w:rFonts w:ascii="Arial Narrow" w:hAnsi="Arial Narrow" w:cs="Calibri"/>
              </w:rPr>
            </w:pPr>
            <w:r>
              <w:rPr>
                <w:rFonts w:ascii="Arial Narrow" w:hAnsi="Arial Narrow"/>
              </w:rPr>
              <w:t>7</w:t>
            </w:r>
          </w:p>
        </w:tc>
        <w:tc>
          <w:tcPr>
            <w:tcW w:w="1109" w:type="dxa"/>
            <w:tcBorders>
              <w:top w:val="single" w:sz="2" w:space="0" w:color="auto"/>
              <w:left w:val="nil"/>
              <w:bottom w:val="single" w:sz="2" w:space="0" w:color="auto"/>
              <w:right w:val="nil"/>
            </w:tcBorders>
            <w:shd w:val="clear" w:color="auto" w:fill="auto"/>
            <w:vAlign w:val="center"/>
            <w:hideMark/>
          </w:tcPr>
          <w:p w14:paraId="6085DA69" w14:textId="77777777" w:rsidR="00EC4C05" w:rsidRPr="00033257" w:rsidRDefault="00EC4C05" w:rsidP="00DD0516">
            <w:pPr>
              <w:spacing w:after="0"/>
              <w:ind w:firstLine="0"/>
              <w:jc w:val="right"/>
              <w:rPr>
                <w:rFonts w:ascii="Arial Narrow" w:hAnsi="Arial Narrow" w:cs="Calibri"/>
              </w:rPr>
            </w:pPr>
            <w:r>
              <w:rPr>
                <w:rFonts w:ascii="Arial Narrow" w:hAnsi="Arial Narrow"/>
              </w:rPr>
              <w:t>-10</w:t>
            </w:r>
          </w:p>
        </w:tc>
      </w:tr>
      <w:tr w:rsidR="00EC4C05" w:rsidRPr="00033257" w14:paraId="33047280"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1D086186" w14:textId="5EE2C230" w:rsidR="00EC4C05" w:rsidRPr="00033257" w:rsidRDefault="00EC4C05" w:rsidP="00DD0516">
            <w:pPr>
              <w:pStyle w:val="cuatexto"/>
              <w:spacing w:line="240" w:lineRule="auto"/>
              <w:jc w:val="left"/>
            </w:pPr>
            <w:r>
              <w:t>Finantza-zamaren adierazlea (3. eta 9. kap. % sarr. arr. gabe)</w:t>
            </w:r>
          </w:p>
        </w:tc>
        <w:tc>
          <w:tcPr>
            <w:tcW w:w="850" w:type="dxa"/>
            <w:tcBorders>
              <w:top w:val="single" w:sz="2" w:space="0" w:color="auto"/>
              <w:left w:val="nil"/>
              <w:bottom w:val="single" w:sz="2" w:space="0" w:color="auto"/>
              <w:right w:val="nil"/>
            </w:tcBorders>
            <w:shd w:val="clear" w:color="auto" w:fill="auto"/>
            <w:vAlign w:val="center"/>
            <w:hideMark/>
          </w:tcPr>
          <w:p w14:paraId="2E491DBD" w14:textId="77777777" w:rsidR="00EC4C05" w:rsidRPr="00033257" w:rsidRDefault="00EC4C05" w:rsidP="00DD0516">
            <w:pPr>
              <w:spacing w:after="0"/>
              <w:ind w:firstLine="0"/>
              <w:jc w:val="right"/>
              <w:rPr>
                <w:rFonts w:ascii="Arial Narrow" w:hAnsi="Arial Narrow" w:cs="Calibri"/>
              </w:rPr>
            </w:pPr>
            <w:r>
              <w:rPr>
                <w:rFonts w:ascii="Arial Narrow" w:hAnsi="Arial Narrow"/>
              </w:rPr>
              <w:t>3</w:t>
            </w:r>
          </w:p>
        </w:tc>
        <w:tc>
          <w:tcPr>
            <w:tcW w:w="671" w:type="dxa"/>
            <w:tcBorders>
              <w:top w:val="single" w:sz="2" w:space="0" w:color="auto"/>
              <w:left w:val="nil"/>
              <w:bottom w:val="single" w:sz="2" w:space="0" w:color="auto"/>
              <w:right w:val="nil"/>
            </w:tcBorders>
            <w:shd w:val="clear" w:color="auto" w:fill="auto"/>
            <w:vAlign w:val="center"/>
            <w:hideMark/>
          </w:tcPr>
          <w:p w14:paraId="3D8F967D" w14:textId="77777777" w:rsidR="00EC4C05" w:rsidRPr="00033257" w:rsidRDefault="00EC4C05" w:rsidP="00DD0516">
            <w:pPr>
              <w:spacing w:after="0"/>
              <w:ind w:firstLine="0"/>
              <w:jc w:val="right"/>
              <w:rPr>
                <w:rFonts w:ascii="Arial Narrow" w:hAnsi="Arial Narrow" w:cs="Calibri"/>
              </w:rPr>
            </w:pPr>
            <w:r>
              <w:rPr>
                <w:rFonts w:ascii="Arial Narrow" w:hAnsi="Arial Narrow"/>
              </w:rPr>
              <w:t>3</w:t>
            </w:r>
          </w:p>
        </w:tc>
        <w:tc>
          <w:tcPr>
            <w:tcW w:w="747" w:type="dxa"/>
            <w:tcBorders>
              <w:top w:val="single" w:sz="2" w:space="0" w:color="auto"/>
              <w:left w:val="nil"/>
              <w:bottom w:val="single" w:sz="2" w:space="0" w:color="auto"/>
              <w:right w:val="nil"/>
            </w:tcBorders>
            <w:shd w:val="clear" w:color="auto" w:fill="auto"/>
            <w:vAlign w:val="center"/>
            <w:hideMark/>
          </w:tcPr>
          <w:p w14:paraId="5D4748AD" w14:textId="77777777" w:rsidR="00EC4C05" w:rsidRPr="00033257" w:rsidRDefault="00EC4C05" w:rsidP="00DD0516">
            <w:pPr>
              <w:spacing w:after="0"/>
              <w:ind w:firstLine="0"/>
              <w:jc w:val="right"/>
              <w:rPr>
                <w:rFonts w:ascii="Arial Narrow" w:hAnsi="Arial Narrow" w:cs="Calibri"/>
              </w:rPr>
            </w:pPr>
            <w:r>
              <w:rPr>
                <w:rFonts w:ascii="Arial Narrow" w:hAnsi="Arial Narrow"/>
              </w:rPr>
              <w:t>5</w:t>
            </w:r>
          </w:p>
        </w:tc>
        <w:tc>
          <w:tcPr>
            <w:tcW w:w="1110" w:type="dxa"/>
            <w:tcBorders>
              <w:top w:val="single" w:sz="2" w:space="0" w:color="auto"/>
              <w:left w:val="nil"/>
              <w:bottom w:val="single" w:sz="2" w:space="0" w:color="auto"/>
              <w:right w:val="nil"/>
            </w:tcBorders>
            <w:shd w:val="clear" w:color="auto" w:fill="auto"/>
            <w:vAlign w:val="center"/>
            <w:hideMark/>
          </w:tcPr>
          <w:p w14:paraId="1DF24874" w14:textId="77777777" w:rsidR="00EC4C05" w:rsidRPr="00033257" w:rsidRDefault="00EC4C05" w:rsidP="00DD0516">
            <w:pPr>
              <w:spacing w:after="0"/>
              <w:ind w:firstLine="0"/>
              <w:jc w:val="right"/>
              <w:rPr>
                <w:rFonts w:ascii="Arial Narrow" w:hAnsi="Arial Narrow" w:cs="Calibri"/>
              </w:rPr>
            </w:pPr>
            <w:r>
              <w:rPr>
                <w:rFonts w:ascii="Arial Narrow" w:hAnsi="Arial Narrow"/>
              </w:rPr>
              <w:t>1</w:t>
            </w:r>
          </w:p>
        </w:tc>
        <w:tc>
          <w:tcPr>
            <w:tcW w:w="1109" w:type="dxa"/>
            <w:tcBorders>
              <w:top w:val="single" w:sz="2" w:space="0" w:color="auto"/>
              <w:left w:val="nil"/>
              <w:bottom w:val="single" w:sz="2" w:space="0" w:color="auto"/>
              <w:right w:val="nil"/>
            </w:tcBorders>
            <w:shd w:val="clear" w:color="auto" w:fill="auto"/>
            <w:vAlign w:val="center"/>
            <w:hideMark/>
          </w:tcPr>
          <w:p w14:paraId="63AEC3B0" w14:textId="77777777" w:rsidR="00EC4C05" w:rsidRPr="00033257" w:rsidRDefault="00EC4C05" w:rsidP="00DD0516">
            <w:pPr>
              <w:spacing w:after="0"/>
              <w:ind w:firstLine="0"/>
              <w:jc w:val="right"/>
              <w:rPr>
                <w:rFonts w:ascii="Arial Narrow" w:hAnsi="Arial Narrow" w:cs="Calibri"/>
              </w:rPr>
            </w:pPr>
            <w:r>
              <w:rPr>
                <w:rFonts w:ascii="Arial Narrow" w:hAnsi="Arial Narrow"/>
              </w:rPr>
              <w:t>-2</w:t>
            </w:r>
          </w:p>
        </w:tc>
      </w:tr>
      <w:tr w:rsidR="00EC4C05" w:rsidRPr="00033257" w14:paraId="43972FC3"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115E3265" w14:textId="77777777" w:rsidR="00EC4C05" w:rsidRPr="00033257" w:rsidRDefault="00EC4C05" w:rsidP="00DD0516">
            <w:pPr>
              <w:pStyle w:val="cuatexto"/>
              <w:spacing w:line="240" w:lineRule="auto"/>
              <w:jc w:val="left"/>
            </w:pPr>
            <w:r>
              <w:t>Aurr. gor./d.s. arruntak (%)</w:t>
            </w:r>
          </w:p>
        </w:tc>
        <w:tc>
          <w:tcPr>
            <w:tcW w:w="850" w:type="dxa"/>
            <w:tcBorders>
              <w:top w:val="single" w:sz="2" w:space="0" w:color="auto"/>
              <w:left w:val="nil"/>
              <w:bottom w:val="single" w:sz="2" w:space="0" w:color="auto"/>
              <w:right w:val="nil"/>
            </w:tcBorders>
            <w:shd w:val="clear" w:color="auto" w:fill="auto"/>
            <w:vAlign w:val="center"/>
            <w:hideMark/>
          </w:tcPr>
          <w:p w14:paraId="7C57E71E" w14:textId="77777777" w:rsidR="00EC4C05" w:rsidRPr="00033257" w:rsidRDefault="00EC4C05" w:rsidP="00DD0516">
            <w:pPr>
              <w:spacing w:after="0"/>
              <w:ind w:firstLine="0"/>
              <w:jc w:val="right"/>
              <w:rPr>
                <w:rFonts w:ascii="Arial Narrow" w:hAnsi="Arial Narrow" w:cs="Calibri"/>
              </w:rPr>
            </w:pPr>
            <w:r>
              <w:rPr>
                <w:rFonts w:ascii="Arial Narrow" w:hAnsi="Arial Narrow"/>
              </w:rPr>
              <w:t>18</w:t>
            </w:r>
          </w:p>
        </w:tc>
        <w:tc>
          <w:tcPr>
            <w:tcW w:w="671" w:type="dxa"/>
            <w:tcBorders>
              <w:top w:val="single" w:sz="2" w:space="0" w:color="auto"/>
              <w:left w:val="nil"/>
              <w:bottom w:val="single" w:sz="2" w:space="0" w:color="auto"/>
              <w:right w:val="nil"/>
            </w:tcBorders>
            <w:shd w:val="clear" w:color="auto" w:fill="auto"/>
            <w:vAlign w:val="center"/>
            <w:hideMark/>
          </w:tcPr>
          <w:p w14:paraId="6B441830" w14:textId="77777777" w:rsidR="00EC4C05" w:rsidRPr="00033257" w:rsidRDefault="00EC4C05" w:rsidP="00DD0516">
            <w:pPr>
              <w:spacing w:after="0"/>
              <w:ind w:firstLine="0"/>
              <w:jc w:val="right"/>
              <w:rPr>
                <w:rFonts w:ascii="Arial Narrow" w:hAnsi="Arial Narrow" w:cs="Calibri"/>
              </w:rPr>
            </w:pPr>
            <w:r>
              <w:rPr>
                <w:rFonts w:ascii="Arial Narrow" w:hAnsi="Arial Narrow"/>
              </w:rPr>
              <w:t>20</w:t>
            </w:r>
          </w:p>
        </w:tc>
        <w:tc>
          <w:tcPr>
            <w:tcW w:w="747" w:type="dxa"/>
            <w:tcBorders>
              <w:top w:val="single" w:sz="2" w:space="0" w:color="auto"/>
              <w:left w:val="nil"/>
              <w:bottom w:val="single" w:sz="2" w:space="0" w:color="auto"/>
              <w:right w:val="nil"/>
            </w:tcBorders>
            <w:shd w:val="clear" w:color="auto" w:fill="auto"/>
            <w:vAlign w:val="center"/>
            <w:hideMark/>
          </w:tcPr>
          <w:p w14:paraId="5032EF93" w14:textId="77777777" w:rsidR="00EC4C05" w:rsidRPr="00033257" w:rsidRDefault="00EC4C05" w:rsidP="00DD0516">
            <w:pPr>
              <w:spacing w:after="0"/>
              <w:ind w:firstLine="0"/>
              <w:jc w:val="right"/>
              <w:rPr>
                <w:rFonts w:ascii="Arial Narrow" w:hAnsi="Arial Narrow" w:cs="Calibri"/>
              </w:rPr>
            </w:pPr>
            <w:r>
              <w:rPr>
                <w:rFonts w:ascii="Arial Narrow" w:hAnsi="Arial Narrow"/>
              </w:rPr>
              <w:t>17</w:t>
            </w:r>
          </w:p>
        </w:tc>
        <w:tc>
          <w:tcPr>
            <w:tcW w:w="1110" w:type="dxa"/>
            <w:tcBorders>
              <w:top w:val="single" w:sz="2" w:space="0" w:color="auto"/>
              <w:left w:val="nil"/>
              <w:bottom w:val="single" w:sz="2" w:space="0" w:color="auto"/>
              <w:right w:val="nil"/>
            </w:tcBorders>
            <w:shd w:val="clear" w:color="auto" w:fill="auto"/>
            <w:vAlign w:val="center"/>
            <w:hideMark/>
          </w:tcPr>
          <w:p w14:paraId="78D5BE32" w14:textId="77777777" w:rsidR="00EC4C05" w:rsidRPr="00033257" w:rsidRDefault="00EC4C05" w:rsidP="00DD0516">
            <w:pPr>
              <w:spacing w:after="0"/>
              <w:ind w:firstLine="0"/>
              <w:jc w:val="right"/>
              <w:rPr>
                <w:rFonts w:ascii="Arial Narrow" w:hAnsi="Arial Narrow" w:cs="Calibri"/>
              </w:rPr>
            </w:pPr>
            <w:r>
              <w:rPr>
                <w:rFonts w:ascii="Arial Narrow" w:hAnsi="Arial Narrow"/>
              </w:rPr>
              <w:t>-2</w:t>
            </w:r>
          </w:p>
        </w:tc>
        <w:tc>
          <w:tcPr>
            <w:tcW w:w="1109" w:type="dxa"/>
            <w:tcBorders>
              <w:top w:val="single" w:sz="2" w:space="0" w:color="auto"/>
              <w:left w:val="nil"/>
              <w:bottom w:val="single" w:sz="2" w:space="0" w:color="auto"/>
              <w:right w:val="nil"/>
            </w:tcBorders>
            <w:shd w:val="clear" w:color="auto" w:fill="auto"/>
            <w:vAlign w:val="center"/>
            <w:hideMark/>
          </w:tcPr>
          <w:p w14:paraId="428C53BF" w14:textId="77777777" w:rsidR="00EC4C05" w:rsidRPr="00033257" w:rsidRDefault="00EC4C05" w:rsidP="00DD0516">
            <w:pPr>
              <w:spacing w:after="0"/>
              <w:ind w:firstLine="0"/>
              <w:jc w:val="right"/>
              <w:rPr>
                <w:rFonts w:ascii="Arial Narrow" w:hAnsi="Arial Narrow" w:cs="Calibri"/>
              </w:rPr>
            </w:pPr>
            <w:r>
              <w:rPr>
                <w:rFonts w:ascii="Arial Narrow" w:hAnsi="Arial Narrow"/>
              </w:rPr>
              <w:t>1</w:t>
            </w:r>
          </w:p>
        </w:tc>
      </w:tr>
      <w:tr w:rsidR="00EC4C05" w:rsidRPr="00033257" w14:paraId="15E9E87D" w14:textId="77777777" w:rsidTr="00DD0516">
        <w:trPr>
          <w:trHeight w:val="227"/>
          <w:jc w:val="center"/>
        </w:trPr>
        <w:tc>
          <w:tcPr>
            <w:tcW w:w="4253" w:type="dxa"/>
            <w:tcBorders>
              <w:top w:val="single" w:sz="2" w:space="0" w:color="auto"/>
              <w:left w:val="nil"/>
              <w:bottom w:val="single" w:sz="4" w:space="0" w:color="auto"/>
              <w:right w:val="nil"/>
            </w:tcBorders>
            <w:shd w:val="clear" w:color="auto" w:fill="auto"/>
            <w:vAlign w:val="center"/>
            <w:hideMark/>
          </w:tcPr>
          <w:p w14:paraId="7E41A127" w14:textId="77777777" w:rsidR="00EC4C05" w:rsidRPr="00033257" w:rsidRDefault="00EC4C05" w:rsidP="00DD0516">
            <w:pPr>
              <w:pStyle w:val="cuatexto"/>
              <w:spacing w:line="240" w:lineRule="auto"/>
              <w:jc w:val="left"/>
            </w:pPr>
            <w:r>
              <w:t>Jasotako transferentziak</w:t>
            </w:r>
          </w:p>
        </w:tc>
        <w:tc>
          <w:tcPr>
            <w:tcW w:w="850" w:type="dxa"/>
            <w:tcBorders>
              <w:top w:val="single" w:sz="2" w:space="0" w:color="auto"/>
              <w:left w:val="nil"/>
              <w:bottom w:val="single" w:sz="4" w:space="0" w:color="auto"/>
              <w:right w:val="nil"/>
            </w:tcBorders>
            <w:shd w:val="clear" w:color="auto" w:fill="auto"/>
            <w:vAlign w:val="center"/>
            <w:hideMark/>
          </w:tcPr>
          <w:p w14:paraId="78AB98C2" w14:textId="77777777" w:rsidR="00EC4C05" w:rsidRPr="00033257" w:rsidRDefault="00EC4C05" w:rsidP="00DD0516">
            <w:pPr>
              <w:spacing w:after="0"/>
              <w:ind w:firstLine="0"/>
              <w:jc w:val="right"/>
              <w:rPr>
                <w:rFonts w:ascii="Arial Narrow" w:hAnsi="Arial Narrow" w:cs="Calibri"/>
              </w:rPr>
            </w:pPr>
            <w:r>
              <w:rPr>
                <w:rFonts w:ascii="Arial Narrow" w:hAnsi="Arial Narrow"/>
              </w:rPr>
              <w:t>513</w:t>
            </w:r>
          </w:p>
        </w:tc>
        <w:tc>
          <w:tcPr>
            <w:tcW w:w="671" w:type="dxa"/>
            <w:tcBorders>
              <w:top w:val="single" w:sz="2" w:space="0" w:color="auto"/>
              <w:left w:val="nil"/>
              <w:bottom w:val="single" w:sz="4" w:space="0" w:color="auto"/>
              <w:right w:val="nil"/>
            </w:tcBorders>
            <w:shd w:val="clear" w:color="auto" w:fill="auto"/>
            <w:vAlign w:val="center"/>
            <w:hideMark/>
          </w:tcPr>
          <w:p w14:paraId="60E10370" w14:textId="77777777" w:rsidR="00EC4C05" w:rsidRPr="00033257" w:rsidRDefault="00EC4C05" w:rsidP="00DD0516">
            <w:pPr>
              <w:spacing w:after="0"/>
              <w:ind w:firstLine="0"/>
              <w:jc w:val="right"/>
              <w:rPr>
                <w:rFonts w:ascii="Arial Narrow" w:hAnsi="Arial Narrow" w:cs="Calibri"/>
              </w:rPr>
            </w:pPr>
            <w:r>
              <w:rPr>
                <w:rFonts w:ascii="Arial Narrow" w:hAnsi="Arial Narrow"/>
              </w:rPr>
              <w:t>885</w:t>
            </w:r>
          </w:p>
        </w:tc>
        <w:tc>
          <w:tcPr>
            <w:tcW w:w="747" w:type="dxa"/>
            <w:tcBorders>
              <w:top w:val="single" w:sz="2" w:space="0" w:color="auto"/>
              <w:left w:val="nil"/>
              <w:bottom w:val="single" w:sz="4" w:space="0" w:color="auto"/>
              <w:right w:val="nil"/>
            </w:tcBorders>
            <w:shd w:val="clear" w:color="auto" w:fill="auto"/>
            <w:vAlign w:val="center"/>
            <w:hideMark/>
          </w:tcPr>
          <w:p w14:paraId="23955D27" w14:textId="77777777" w:rsidR="00EC4C05" w:rsidRPr="00033257" w:rsidRDefault="00EC4C05" w:rsidP="00DD0516">
            <w:pPr>
              <w:spacing w:after="0"/>
              <w:ind w:firstLine="0"/>
              <w:jc w:val="right"/>
              <w:rPr>
                <w:rFonts w:ascii="Arial Narrow" w:hAnsi="Arial Narrow" w:cs="Calibri"/>
              </w:rPr>
            </w:pPr>
            <w:r>
              <w:rPr>
                <w:rFonts w:ascii="Arial Narrow" w:hAnsi="Arial Narrow"/>
              </w:rPr>
              <w:t>507</w:t>
            </w:r>
          </w:p>
        </w:tc>
        <w:tc>
          <w:tcPr>
            <w:tcW w:w="1110" w:type="dxa"/>
            <w:tcBorders>
              <w:top w:val="single" w:sz="2" w:space="0" w:color="auto"/>
              <w:left w:val="nil"/>
              <w:bottom w:val="single" w:sz="4" w:space="0" w:color="auto"/>
              <w:right w:val="nil"/>
            </w:tcBorders>
            <w:shd w:val="clear" w:color="auto" w:fill="auto"/>
            <w:vAlign w:val="center"/>
            <w:hideMark/>
          </w:tcPr>
          <w:p w14:paraId="4B1134BE"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-372 </w:t>
            </w:r>
          </w:p>
        </w:tc>
        <w:tc>
          <w:tcPr>
            <w:tcW w:w="1109" w:type="dxa"/>
            <w:tcBorders>
              <w:top w:val="single" w:sz="2" w:space="0" w:color="auto"/>
              <w:left w:val="nil"/>
              <w:bottom w:val="single" w:sz="4" w:space="0" w:color="auto"/>
              <w:right w:val="nil"/>
            </w:tcBorders>
            <w:shd w:val="clear" w:color="auto" w:fill="auto"/>
            <w:vAlign w:val="center"/>
            <w:hideMark/>
          </w:tcPr>
          <w:p w14:paraId="4319D8C8" w14:textId="77777777" w:rsidR="00EC4C05" w:rsidRPr="00033257" w:rsidRDefault="00EC4C05" w:rsidP="00DD0516">
            <w:pPr>
              <w:spacing w:after="0"/>
              <w:ind w:firstLine="0"/>
              <w:jc w:val="right"/>
              <w:rPr>
                <w:rFonts w:ascii="Arial Narrow" w:hAnsi="Arial Narrow" w:cs="Calibri"/>
              </w:rPr>
            </w:pPr>
            <w:r>
              <w:rPr>
                <w:rFonts w:ascii="Arial Narrow" w:hAnsi="Arial Narrow"/>
              </w:rPr>
              <w:t xml:space="preserve">5 </w:t>
            </w:r>
          </w:p>
        </w:tc>
      </w:tr>
    </w:tbl>
    <w:p w14:paraId="6B249EAB" w14:textId="713415A6" w:rsidR="00EC4C05" w:rsidRPr="00033257" w:rsidRDefault="00EC4C05" w:rsidP="00D71C47">
      <w:pPr>
        <w:spacing w:before="240"/>
        <w:ind w:firstLine="284"/>
        <w:rPr>
          <w:rStyle w:val="textoCar"/>
          <w:color w:val="000000" w:themeColor="text1"/>
          <w:szCs w:val="26"/>
        </w:rPr>
      </w:pPr>
      <w:r>
        <w:rPr>
          <w:rStyle w:val="textoCar"/>
          <w:color w:val="000000" w:themeColor="text1"/>
        </w:rPr>
        <w:t>EAEko udalen diru-sarrerak biztanleko (1.552 euro) Nafarroako eta Estatuko udaletakoak baino nabarmen handiagoak dira (1.125 eta 1.220 euro, hurrenez hurren). Horri dagokionez, adierazi behar da Nafarroaren kasuan, arestian aipatu bezala, 2021eko kapitaleko diru-sarrerak bereziki txikiak izan direla.</w:t>
      </w:r>
    </w:p>
    <w:p w14:paraId="78D83853" w14:textId="77777777" w:rsidR="00EC4C05" w:rsidRPr="00033257" w:rsidRDefault="00EC4C05" w:rsidP="00EC4C05">
      <w:pPr>
        <w:spacing w:before="240" w:after="120"/>
        <w:ind w:firstLine="284"/>
        <w:rPr>
          <w:color w:val="000000" w:themeColor="text1"/>
          <w:spacing w:val="6"/>
          <w:sz w:val="26"/>
          <w:szCs w:val="26"/>
        </w:rPr>
      </w:pPr>
      <w:r>
        <w:rPr>
          <w:rStyle w:val="textoCar"/>
          <w:color w:val="000000" w:themeColor="text1"/>
        </w:rPr>
        <w:t>Konparazio horri begira nabarmendu beharreko beste alderdi batzuk honako hauek dira:</w:t>
      </w:r>
    </w:p>
    <w:p w14:paraId="46278902" w14:textId="77777777" w:rsidR="00EC4C05" w:rsidRPr="00033257" w:rsidRDefault="00EC4C05" w:rsidP="002D5BF9">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89"/>
        <w:rPr>
          <w:color w:val="000000" w:themeColor="text1"/>
        </w:rPr>
      </w:pPr>
      <w:r>
        <w:rPr>
          <w:color w:val="000000" w:themeColor="text1"/>
        </w:rPr>
        <w:t>Nafarroan biztanleko diru-sarrera arruntak EAEkoak baino askoz txikiagoak dira, eta Estatuko gainerakoen parekoak.</w:t>
      </w:r>
    </w:p>
    <w:p w14:paraId="125974CB" w14:textId="77777777" w:rsidR="00EC4C05" w:rsidRPr="00033257" w:rsidRDefault="00EC4C05" w:rsidP="002D5BF9">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89"/>
        <w:rPr>
          <w:color w:val="000000" w:themeColor="text1"/>
        </w:rPr>
      </w:pPr>
      <w:r>
        <w:rPr>
          <w:color w:val="000000" w:themeColor="text1"/>
        </w:rPr>
        <w:lastRenderedPageBreak/>
        <w:t xml:space="preserve">Nafarroan funtzionamendu gastuak 857 eurokoak izan ziren biztanleko. Zenbateko hori Estatuko gainerakoan izandakoa (885 euro) baino txikixeagoa da, eta EAEkoa (1.158 euro) baino askoz txikiagoa.  </w:t>
      </w:r>
    </w:p>
    <w:p w14:paraId="136EB3F1" w14:textId="77777777" w:rsidR="00EC4C05" w:rsidRPr="00033257" w:rsidRDefault="00EC4C05" w:rsidP="002D5BF9">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89"/>
        <w:rPr>
          <w:color w:val="000000" w:themeColor="text1"/>
        </w:rPr>
      </w:pPr>
      <w:r>
        <w:rPr>
          <w:color w:val="000000" w:themeColor="text1"/>
        </w:rPr>
        <w:t>Nafarroako udalen aurrezki garbia 151 eurokoa izan zen biztanleko. Zenbateko hori Estatuko gainerakoan izandakoa baino handixeagoa da (125 euro) eta EAEkoa baino askoz txikiagoa (248 euro).</w:t>
      </w:r>
    </w:p>
    <w:p w14:paraId="722C30B6" w14:textId="77777777" w:rsidR="00EC4C05" w:rsidRPr="00033257" w:rsidRDefault="00EC4C05" w:rsidP="00E2078D">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Nafarroako udalen zorpetze maila (ehuneko 14) EAEko udalena baino handiagoa da (ehuneko zazpi), baina Estatuko gainerako udalen zorpetze maila baino askoz txikiagoa (ehuneko 24).</w:t>
      </w:r>
    </w:p>
    <w:p w14:paraId="33E4A53F" w14:textId="77777777" w:rsidR="00EC4C05" w:rsidRPr="00033257" w:rsidRDefault="6A28BBB8" w:rsidP="00EC4C05">
      <w:pPr>
        <w:spacing w:after="120"/>
        <w:rPr>
          <w:color w:val="000000" w:themeColor="text1"/>
          <w:spacing w:val="6"/>
          <w:sz w:val="26"/>
          <w:szCs w:val="26"/>
        </w:rPr>
      </w:pPr>
      <w:r>
        <w:rPr>
          <w:color w:val="000000" w:themeColor="text1"/>
          <w:sz w:val="26"/>
        </w:rPr>
        <w:t>Hurrengo taulak toki-entitateen biztanleko diru-sarrerak erakusten ditu, diru-sarrera arrunten osaera zehaztuta:</w:t>
      </w:r>
    </w:p>
    <w:p w14:paraId="7EDF5A53" w14:textId="5B566786" w:rsidR="00EC4C05" w:rsidRPr="00033257" w:rsidRDefault="00C71F49" w:rsidP="00C71F49">
      <w:pPr>
        <w:spacing w:after="0"/>
        <w:ind w:right="-1" w:firstLine="284"/>
        <w:jc w:val="right"/>
        <w:rPr>
          <w:rFonts w:ascii="Arial Narrow" w:hAnsi="Arial Narrow"/>
          <w:color w:val="000000" w:themeColor="text1"/>
          <w:spacing w:val="6"/>
          <w:sz w:val="18"/>
          <w:szCs w:val="18"/>
        </w:rPr>
      </w:pPr>
      <w:r>
        <w:rPr>
          <w:rFonts w:ascii="Arial Narrow" w:hAnsi="Arial Narrow"/>
          <w:color w:val="000000" w:themeColor="text1"/>
          <w:sz w:val="18"/>
        </w:rPr>
        <w:t>(euroak biztanleko)</w:t>
      </w:r>
    </w:p>
    <w:tbl>
      <w:tblPr>
        <w:tblW w:w="8789" w:type="dxa"/>
        <w:jc w:val="center"/>
        <w:tblLayout w:type="fixed"/>
        <w:tblCellMar>
          <w:left w:w="70" w:type="dxa"/>
          <w:right w:w="70" w:type="dxa"/>
        </w:tblCellMar>
        <w:tblLook w:val="04A0" w:firstRow="1" w:lastRow="0" w:firstColumn="1" w:lastColumn="0" w:noHBand="0" w:noVBand="1"/>
      </w:tblPr>
      <w:tblGrid>
        <w:gridCol w:w="2977"/>
        <w:gridCol w:w="968"/>
        <w:gridCol w:w="969"/>
        <w:gridCol w:w="969"/>
        <w:gridCol w:w="968"/>
        <w:gridCol w:w="969"/>
        <w:gridCol w:w="969"/>
      </w:tblGrid>
      <w:tr w:rsidR="00EC4C05" w:rsidRPr="00C71F49" w14:paraId="01F84862" w14:textId="77777777" w:rsidTr="00D71C47">
        <w:trPr>
          <w:trHeight w:val="227"/>
          <w:jc w:val="center"/>
        </w:trPr>
        <w:tc>
          <w:tcPr>
            <w:tcW w:w="2977" w:type="dxa"/>
            <w:tcBorders>
              <w:top w:val="single" w:sz="4" w:space="0" w:color="auto"/>
              <w:left w:val="nil"/>
              <w:right w:val="nil"/>
            </w:tcBorders>
            <w:shd w:val="clear" w:color="auto" w:fill="FABF8F" w:themeFill="accent6" w:themeFillTint="99"/>
            <w:vAlign w:val="center"/>
          </w:tcPr>
          <w:p w14:paraId="308D56CC" w14:textId="77777777" w:rsidR="00EC4C05" w:rsidRPr="00C71F49" w:rsidRDefault="00EC4C05" w:rsidP="00C71F49">
            <w:pPr>
              <w:pStyle w:val="cuadroCabe"/>
              <w:spacing w:line="240" w:lineRule="auto"/>
              <w:rPr>
                <w:rFonts w:cs="Arial"/>
                <w:sz w:val="16"/>
                <w:szCs w:val="16"/>
                <w:lang w:val="es-ES" w:eastAsia="es-ES"/>
              </w:rPr>
            </w:pPr>
          </w:p>
        </w:tc>
        <w:tc>
          <w:tcPr>
            <w:tcW w:w="1937" w:type="dxa"/>
            <w:gridSpan w:val="2"/>
            <w:tcBorders>
              <w:top w:val="single" w:sz="4" w:space="0" w:color="auto"/>
              <w:left w:val="nil"/>
              <w:bottom w:val="single" w:sz="4" w:space="0" w:color="auto"/>
              <w:right w:val="nil"/>
            </w:tcBorders>
            <w:shd w:val="clear" w:color="auto" w:fill="FABF8F" w:themeFill="accent6" w:themeFillTint="99"/>
            <w:vAlign w:val="center"/>
          </w:tcPr>
          <w:p w14:paraId="71EFB7EE" w14:textId="77777777" w:rsidR="00EC4C05" w:rsidRPr="00C71F49" w:rsidRDefault="00EC4C05" w:rsidP="00C71F49">
            <w:pPr>
              <w:pStyle w:val="cuadroCabe"/>
              <w:spacing w:line="240" w:lineRule="auto"/>
              <w:jc w:val="center"/>
              <w:rPr>
                <w:rFonts w:cs="Arial"/>
                <w:sz w:val="16"/>
                <w:szCs w:val="16"/>
              </w:rPr>
            </w:pPr>
            <w:r>
              <w:rPr>
                <w:sz w:val="16"/>
              </w:rPr>
              <w:t>Nafarroa</w:t>
            </w:r>
          </w:p>
        </w:tc>
        <w:tc>
          <w:tcPr>
            <w:tcW w:w="1937" w:type="dxa"/>
            <w:gridSpan w:val="2"/>
            <w:tcBorders>
              <w:top w:val="single" w:sz="4" w:space="0" w:color="auto"/>
              <w:left w:val="nil"/>
              <w:bottom w:val="single" w:sz="4" w:space="0" w:color="auto"/>
              <w:right w:val="nil"/>
            </w:tcBorders>
            <w:shd w:val="clear" w:color="auto" w:fill="FABF8F" w:themeFill="accent6" w:themeFillTint="99"/>
            <w:noWrap/>
            <w:vAlign w:val="center"/>
          </w:tcPr>
          <w:p w14:paraId="54F6A5BD" w14:textId="77777777" w:rsidR="00EC4C05" w:rsidRPr="00C71F49" w:rsidRDefault="00EC4C05" w:rsidP="00C71F49">
            <w:pPr>
              <w:pStyle w:val="cuadroCabe"/>
              <w:spacing w:line="240" w:lineRule="auto"/>
              <w:jc w:val="center"/>
              <w:rPr>
                <w:rFonts w:cs="Arial"/>
                <w:sz w:val="16"/>
                <w:szCs w:val="16"/>
              </w:rPr>
            </w:pPr>
            <w:r>
              <w:rPr>
                <w:sz w:val="16"/>
              </w:rPr>
              <w:t>EAE</w:t>
            </w:r>
          </w:p>
        </w:tc>
        <w:tc>
          <w:tcPr>
            <w:tcW w:w="1938" w:type="dxa"/>
            <w:gridSpan w:val="2"/>
            <w:tcBorders>
              <w:top w:val="single" w:sz="4" w:space="0" w:color="auto"/>
              <w:left w:val="nil"/>
              <w:bottom w:val="single" w:sz="4" w:space="0" w:color="auto"/>
              <w:right w:val="nil"/>
            </w:tcBorders>
            <w:shd w:val="clear" w:color="auto" w:fill="FABF8F" w:themeFill="accent6" w:themeFillTint="99"/>
            <w:vAlign w:val="center"/>
          </w:tcPr>
          <w:p w14:paraId="10384F38" w14:textId="77777777" w:rsidR="00EC4C05" w:rsidRPr="00C71F49" w:rsidRDefault="00EC4C05" w:rsidP="00C71F49">
            <w:pPr>
              <w:pStyle w:val="cuadroCabe"/>
              <w:spacing w:line="240" w:lineRule="auto"/>
              <w:jc w:val="center"/>
              <w:rPr>
                <w:rFonts w:cs="Arial"/>
                <w:sz w:val="16"/>
                <w:szCs w:val="16"/>
              </w:rPr>
            </w:pPr>
            <w:r>
              <w:rPr>
                <w:sz w:val="16"/>
              </w:rPr>
              <w:t>Estatuko gainerakoak</w:t>
            </w:r>
          </w:p>
        </w:tc>
      </w:tr>
      <w:tr w:rsidR="00EC4C05" w:rsidRPr="00C71F49" w14:paraId="4102E009" w14:textId="77777777" w:rsidTr="00D71C47">
        <w:trPr>
          <w:trHeight w:val="227"/>
          <w:jc w:val="center"/>
        </w:trPr>
        <w:tc>
          <w:tcPr>
            <w:tcW w:w="2977" w:type="dxa"/>
            <w:tcBorders>
              <w:left w:val="nil"/>
              <w:bottom w:val="single" w:sz="4" w:space="0" w:color="000000"/>
              <w:right w:val="nil"/>
            </w:tcBorders>
            <w:shd w:val="clear" w:color="auto" w:fill="FABF8F" w:themeFill="accent6" w:themeFillTint="99"/>
            <w:vAlign w:val="center"/>
            <w:hideMark/>
          </w:tcPr>
          <w:p w14:paraId="2B961A80" w14:textId="77777777" w:rsidR="00EC4C05" w:rsidRPr="00C71F49" w:rsidRDefault="00EC4C05" w:rsidP="00C71F49">
            <w:pPr>
              <w:pStyle w:val="cuadroCabe"/>
              <w:spacing w:line="240" w:lineRule="auto"/>
              <w:rPr>
                <w:rFonts w:cs="Arial"/>
                <w:sz w:val="16"/>
                <w:szCs w:val="16"/>
              </w:rPr>
            </w:pPr>
            <w:r>
              <w:rPr>
                <w:sz w:val="16"/>
              </w:rPr>
              <w:t>Diru-sarrerak</w:t>
            </w:r>
          </w:p>
        </w:tc>
        <w:tc>
          <w:tcPr>
            <w:tcW w:w="968" w:type="dxa"/>
            <w:tcBorders>
              <w:top w:val="single" w:sz="4" w:space="0" w:color="auto"/>
              <w:left w:val="nil"/>
              <w:bottom w:val="single" w:sz="4" w:space="0" w:color="auto"/>
              <w:right w:val="nil"/>
            </w:tcBorders>
            <w:shd w:val="clear" w:color="auto" w:fill="FABF8F" w:themeFill="accent6" w:themeFillTint="99"/>
            <w:vAlign w:val="center"/>
            <w:hideMark/>
          </w:tcPr>
          <w:p w14:paraId="122E0520" w14:textId="77777777" w:rsidR="00EC4C05" w:rsidRPr="00C71F49" w:rsidRDefault="00EC4C05" w:rsidP="00C71F49">
            <w:pPr>
              <w:pStyle w:val="cuadroCabe"/>
              <w:spacing w:line="240" w:lineRule="auto"/>
              <w:jc w:val="right"/>
              <w:rPr>
                <w:rFonts w:cs="Arial"/>
                <w:sz w:val="16"/>
                <w:szCs w:val="16"/>
              </w:rPr>
            </w:pPr>
            <w:r>
              <w:rPr>
                <w:sz w:val="16"/>
              </w:rPr>
              <w:t xml:space="preserve">Per </w:t>
            </w:r>
          </w:p>
          <w:p w14:paraId="51EE3297" w14:textId="77777777" w:rsidR="00EC4C05" w:rsidRPr="00C71F49" w:rsidRDefault="00EC4C05" w:rsidP="00C71F49">
            <w:pPr>
              <w:pStyle w:val="cuadroCabe"/>
              <w:spacing w:line="240" w:lineRule="auto"/>
              <w:jc w:val="right"/>
              <w:rPr>
                <w:rFonts w:cs="Arial"/>
                <w:sz w:val="16"/>
                <w:szCs w:val="16"/>
              </w:rPr>
            </w:pPr>
            <w:r>
              <w:rPr>
                <w:sz w:val="16"/>
              </w:rPr>
              <w:t>capita</w:t>
            </w:r>
          </w:p>
        </w:tc>
        <w:tc>
          <w:tcPr>
            <w:tcW w:w="969" w:type="dxa"/>
            <w:tcBorders>
              <w:top w:val="single" w:sz="4" w:space="0" w:color="auto"/>
              <w:left w:val="nil"/>
              <w:bottom w:val="single" w:sz="4" w:space="0" w:color="auto"/>
              <w:right w:val="nil"/>
            </w:tcBorders>
            <w:shd w:val="clear" w:color="auto" w:fill="FABF8F" w:themeFill="accent6" w:themeFillTint="99"/>
            <w:noWrap/>
            <w:vAlign w:val="center"/>
            <w:hideMark/>
          </w:tcPr>
          <w:p w14:paraId="01526819" w14:textId="77777777" w:rsidR="00E75228" w:rsidRDefault="00EC4C05" w:rsidP="00C71F49">
            <w:pPr>
              <w:pStyle w:val="cuadroCabe"/>
              <w:spacing w:line="240" w:lineRule="auto"/>
              <w:jc w:val="right"/>
              <w:rPr>
                <w:rFonts w:cs="Arial"/>
                <w:sz w:val="16"/>
                <w:szCs w:val="16"/>
              </w:rPr>
            </w:pPr>
            <w:r>
              <w:rPr>
                <w:sz w:val="16"/>
              </w:rPr>
              <w:t xml:space="preserve">Guztizkoaren </w:t>
            </w:r>
          </w:p>
          <w:p w14:paraId="7BE57013" w14:textId="6B8FA8FA" w:rsidR="00EC4C05" w:rsidRPr="00C71F49" w:rsidRDefault="00EC4C05" w:rsidP="00C71F49">
            <w:pPr>
              <w:pStyle w:val="cuadroCabe"/>
              <w:spacing w:line="240" w:lineRule="auto"/>
              <w:jc w:val="right"/>
              <w:rPr>
                <w:rFonts w:cs="Arial"/>
                <w:sz w:val="16"/>
                <w:szCs w:val="16"/>
              </w:rPr>
            </w:pPr>
            <w:r>
              <w:rPr>
                <w:sz w:val="16"/>
              </w:rPr>
              <w:t>%*</w:t>
            </w:r>
          </w:p>
        </w:tc>
        <w:tc>
          <w:tcPr>
            <w:tcW w:w="969" w:type="dxa"/>
            <w:tcBorders>
              <w:top w:val="single" w:sz="4" w:space="0" w:color="auto"/>
              <w:left w:val="nil"/>
              <w:bottom w:val="single" w:sz="4" w:space="0" w:color="auto"/>
              <w:right w:val="nil"/>
            </w:tcBorders>
            <w:shd w:val="clear" w:color="auto" w:fill="FABF8F" w:themeFill="accent6" w:themeFillTint="99"/>
            <w:noWrap/>
            <w:vAlign w:val="center"/>
            <w:hideMark/>
          </w:tcPr>
          <w:p w14:paraId="02B63483" w14:textId="77777777" w:rsidR="00EC4C05" w:rsidRPr="00C71F49" w:rsidRDefault="00EC4C05" w:rsidP="00C71F49">
            <w:pPr>
              <w:pStyle w:val="cuadroCabe"/>
              <w:spacing w:line="240" w:lineRule="auto"/>
              <w:jc w:val="right"/>
              <w:rPr>
                <w:rFonts w:cs="Arial"/>
                <w:sz w:val="16"/>
                <w:szCs w:val="16"/>
              </w:rPr>
            </w:pPr>
            <w:r>
              <w:rPr>
                <w:sz w:val="16"/>
              </w:rPr>
              <w:t xml:space="preserve">Per </w:t>
            </w:r>
          </w:p>
          <w:p w14:paraId="7B1A0613" w14:textId="77777777" w:rsidR="00EC4C05" w:rsidRPr="00C71F49" w:rsidRDefault="00EC4C05" w:rsidP="00C71F49">
            <w:pPr>
              <w:pStyle w:val="cuadroCabe"/>
              <w:spacing w:line="240" w:lineRule="auto"/>
              <w:jc w:val="right"/>
              <w:rPr>
                <w:rFonts w:cs="Arial"/>
                <w:sz w:val="16"/>
                <w:szCs w:val="16"/>
              </w:rPr>
            </w:pPr>
            <w:r>
              <w:rPr>
                <w:sz w:val="16"/>
              </w:rPr>
              <w:t>cápita</w:t>
            </w:r>
          </w:p>
        </w:tc>
        <w:tc>
          <w:tcPr>
            <w:tcW w:w="968" w:type="dxa"/>
            <w:tcBorders>
              <w:top w:val="single" w:sz="4" w:space="0" w:color="auto"/>
              <w:left w:val="nil"/>
              <w:bottom w:val="single" w:sz="4" w:space="0" w:color="auto"/>
              <w:right w:val="nil"/>
            </w:tcBorders>
            <w:shd w:val="clear" w:color="auto" w:fill="FABF8F" w:themeFill="accent6" w:themeFillTint="99"/>
            <w:noWrap/>
            <w:vAlign w:val="center"/>
            <w:hideMark/>
          </w:tcPr>
          <w:p w14:paraId="68DCB39D" w14:textId="77777777" w:rsidR="00EC4C05" w:rsidRPr="00C71F49" w:rsidRDefault="00EC4C05" w:rsidP="00C71F49">
            <w:pPr>
              <w:pStyle w:val="cuadroCabe"/>
              <w:spacing w:line="240" w:lineRule="auto"/>
              <w:jc w:val="right"/>
              <w:rPr>
                <w:rFonts w:cs="Arial"/>
                <w:sz w:val="16"/>
                <w:szCs w:val="16"/>
              </w:rPr>
            </w:pPr>
            <w:r>
              <w:rPr>
                <w:sz w:val="16"/>
              </w:rPr>
              <w:t>Guztizkoaren</w:t>
            </w:r>
          </w:p>
          <w:p w14:paraId="408E81CB" w14:textId="77777777" w:rsidR="00EC4C05" w:rsidRPr="00C71F49" w:rsidRDefault="00EC4C05" w:rsidP="00C71F49">
            <w:pPr>
              <w:pStyle w:val="cuadroCabe"/>
              <w:spacing w:line="240" w:lineRule="auto"/>
              <w:jc w:val="right"/>
              <w:rPr>
                <w:rFonts w:cs="Arial"/>
                <w:sz w:val="16"/>
                <w:szCs w:val="16"/>
              </w:rPr>
            </w:pPr>
            <w:r>
              <w:rPr>
                <w:sz w:val="16"/>
              </w:rPr>
              <w:t xml:space="preserve"> %*</w:t>
            </w:r>
          </w:p>
        </w:tc>
        <w:tc>
          <w:tcPr>
            <w:tcW w:w="969" w:type="dxa"/>
            <w:tcBorders>
              <w:top w:val="single" w:sz="4" w:space="0" w:color="auto"/>
              <w:left w:val="nil"/>
              <w:bottom w:val="single" w:sz="4" w:space="0" w:color="auto"/>
              <w:right w:val="nil"/>
            </w:tcBorders>
            <w:shd w:val="clear" w:color="auto" w:fill="FABF8F" w:themeFill="accent6" w:themeFillTint="99"/>
            <w:vAlign w:val="center"/>
            <w:hideMark/>
          </w:tcPr>
          <w:p w14:paraId="66AEA1B6" w14:textId="77777777" w:rsidR="00EC4C05" w:rsidRPr="00C71F49" w:rsidRDefault="00EC4C05" w:rsidP="00C71F49">
            <w:pPr>
              <w:pStyle w:val="cuadroCabe"/>
              <w:spacing w:line="240" w:lineRule="auto"/>
              <w:jc w:val="right"/>
              <w:rPr>
                <w:rFonts w:cs="Arial"/>
                <w:sz w:val="16"/>
                <w:szCs w:val="16"/>
              </w:rPr>
            </w:pPr>
            <w:r>
              <w:rPr>
                <w:sz w:val="16"/>
              </w:rPr>
              <w:t xml:space="preserve">Per </w:t>
            </w:r>
          </w:p>
          <w:p w14:paraId="217977EE" w14:textId="77777777" w:rsidR="00EC4C05" w:rsidRPr="00C71F49" w:rsidRDefault="00EC4C05" w:rsidP="00C71F49">
            <w:pPr>
              <w:pStyle w:val="cuadroCabe"/>
              <w:spacing w:line="240" w:lineRule="auto"/>
              <w:jc w:val="right"/>
              <w:rPr>
                <w:rFonts w:cs="Arial"/>
                <w:sz w:val="16"/>
                <w:szCs w:val="16"/>
              </w:rPr>
            </w:pPr>
            <w:r>
              <w:rPr>
                <w:sz w:val="16"/>
              </w:rPr>
              <w:t>cápita</w:t>
            </w:r>
          </w:p>
        </w:tc>
        <w:tc>
          <w:tcPr>
            <w:tcW w:w="969" w:type="dxa"/>
            <w:tcBorders>
              <w:top w:val="single" w:sz="4" w:space="0" w:color="auto"/>
              <w:left w:val="nil"/>
              <w:bottom w:val="single" w:sz="4" w:space="0" w:color="auto"/>
              <w:right w:val="nil"/>
            </w:tcBorders>
            <w:shd w:val="clear" w:color="auto" w:fill="FABF8F" w:themeFill="accent6" w:themeFillTint="99"/>
            <w:vAlign w:val="center"/>
            <w:hideMark/>
          </w:tcPr>
          <w:p w14:paraId="5B751C70" w14:textId="77777777" w:rsidR="00EC4C05" w:rsidRPr="00C71F49" w:rsidRDefault="00EC4C05" w:rsidP="00C71F49">
            <w:pPr>
              <w:pStyle w:val="cuadroCabe"/>
              <w:spacing w:line="240" w:lineRule="auto"/>
              <w:jc w:val="right"/>
              <w:rPr>
                <w:rFonts w:cs="Arial"/>
                <w:sz w:val="16"/>
                <w:szCs w:val="16"/>
              </w:rPr>
            </w:pPr>
            <w:r>
              <w:rPr>
                <w:sz w:val="16"/>
              </w:rPr>
              <w:t xml:space="preserve">Guztizkoaren </w:t>
            </w:r>
          </w:p>
          <w:p w14:paraId="35A2E195" w14:textId="77777777" w:rsidR="00EC4C05" w:rsidRPr="00C71F49" w:rsidRDefault="00EC4C05" w:rsidP="00C71F49">
            <w:pPr>
              <w:pStyle w:val="cuadroCabe"/>
              <w:spacing w:line="240" w:lineRule="auto"/>
              <w:jc w:val="right"/>
              <w:rPr>
                <w:rFonts w:cs="Arial"/>
                <w:sz w:val="16"/>
                <w:szCs w:val="16"/>
              </w:rPr>
            </w:pPr>
            <w:r>
              <w:rPr>
                <w:sz w:val="16"/>
              </w:rPr>
              <w:t>%*</w:t>
            </w:r>
          </w:p>
        </w:tc>
      </w:tr>
      <w:tr w:rsidR="00EC4C05" w:rsidRPr="00033257" w14:paraId="50E86AF9"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6352A5E0" w14:textId="77777777" w:rsidR="00EC4C05" w:rsidRPr="00033257" w:rsidRDefault="00EC4C05" w:rsidP="00C71F49">
            <w:pPr>
              <w:pStyle w:val="cuatexto"/>
              <w:spacing w:line="240" w:lineRule="auto"/>
            </w:pPr>
            <w:r>
              <w:t>Zuzeneko zergak</w:t>
            </w:r>
          </w:p>
        </w:tc>
        <w:tc>
          <w:tcPr>
            <w:tcW w:w="968" w:type="dxa"/>
            <w:tcBorders>
              <w:top w:val="nil"/>
              <w:left w:val="nil"/>
              <w:bottom w:val="single" w:sz="4" w:space="0" w:color="auto"/>
              <w:right w:val="nil"/>
            </w:tcBorders>
            <w:shd w:val="clear" w:color="auto" w:fill="auto"/>
            <w:noWrap/>
            <w:vAlign w:val="center"/>
            <w:hideMark/>
          </w:tcPr>
          <w:p w14:paraId="1CF7DB1C" w14:textId="77777777" w:rsidR="00EC4C05" w:rsidRPr="00033257" w:rsidRDefault="00EC4C05" w:rsidP="00C71F49">
            <w:pPr>
              <w:pStyle w:val="cuatexto"/>
              <w:spacing w:line="240" w:lineRule="auto"/>
              <w:jc w:val="right"/>
              <w:rPr>
                <w:color w:val="000000"/>
              </w:rPr>
            </w:pPr>
            <w:r>
              <w:rPr>
                <w:color w:val="000000"/>
              </w:rPr>
              <w:t>312</w:t>
            </w:r>
          </w:p>
        </w:tc>
        <w:tc>
          <w:tcPr>
            <w:tcW w:w="969" w:type="dxa"/>
            <w:tcBorders>
              <w:top w:val="nil"/>
              <w:left w:val="nil"/>
              <w:bottom w:val="single" w:sz="4" w:space="0" w:color="auto"/>
              <w:right w:val="nil"/>
            </w:tcBorders>
            <w:shd w:val="clear" w:color="auto" w:fill="auto"/>
            <w:noWrap/>
            <w:vAlign w:val="center"/>
            <w:hideMark/>
          </w:tcPr>
          <w:p w14:paraId="40734BF4" w14:textId="77777777" w:rsidR="00EC4C05" w:rsidRPr="00033257" w:rsidRDefault="00EC4C05" w:rsidP="00C71F49">
            <w:pPr>
              <w:pStyle w:val="cuatexto"/>
              <w:spacing w:line="240" w:lineRule="auto"/>
              <w:jc w:val="right"/>
              <w:rPr>
                <w:color w:val="000000"/>
              </w:rPr>
            </w:pPr>
            <w:r>
              <w:rPr>
                <w:color w:val="000000"/>
              </w:rPr>
              <w:t xml:space="preserve"> 28 </w:t>
            </w:r>
          </w:p>
        </w:tc>
        <w:tc>
          <w:tcPr>
            <w:tcW w:w="969" w:type="dxa"/>
            <w:tcBorders>
              <w:top w:val="nil"/>
              <w:left w:val="nil"/>
              <w:bottom w:val="single" w:sz="4" w:space="0" w:color="auto"/>
              <w:right w:val="nil"/>
            </w:tcBorders>
            <w:shd w:val="clear" w:color="auto" w:fill="auto"/>
            <w:noWrap/>
            <w:vAlign w:val="center"/>
            <w:hideMark/>
          </w:tcPr>
          <w:p w14:paraId="287A8620" w14:textId="77777777" w:rsidR="00EC4C05" w:rsidRPr="00033257" w:rsidRDefault="00EC4C05" w:rsidP="00C71F49">
            <w:pPr>
              <w:pStyle w:val="cuatexto"/>
              <w:spacing w:line="240" w:lineRule="auto"/>
              <w:jc w:val="right"/>
              <w:rPr>
                <w:color w:val="000000"/>
              </w:rPr>
            </w:pPr>
            <w:r>
              <w:rPr>
                <w:color w:val="000000"/>
              </w:rPr>
              <w:t>326</w:t>
            </w:r>
          </w:p>
        </w:tc>
        <w:tc>
          <w:tcPr>
            <w:tcW w:w="968" w:type="dxa"/>
            <w:tcBorders>
              <w:top w:val="nil"/>
              <w:left w:val="nil"/>
              <w:bottom w:val="single" w:sz="4" w:space="0" w:color="auto"/>
              <w:right w:val="nil"/>
            </w:tcBorders>
            <w:shd w:val="clear" w:color="auto" w:fill="auto"/>
            <w:noWrap/>
            <w:vAlign w:val="center"/>
            <w:hideMark/>
          </w:tcPr>
          <w:p w14:paraId="55F214A8" w14:textId="77777777" w:rsidR="00EC4C05" w:rsidRPr="00033257" w:rsidRDefault="00EC4C05" w:rsidP="00C71F49">
            <w:pPr>
              <w:pStyle w:val="cuatexto"/>
              <w:spacing w:line="240" w:lineRule="auto"/>
              <w:jc w:val="right"/>
              <w:rPr>
                <w:color w:val="000000"/>
              </w:rPr>
            </w:pPr>
            <w:r>
              <w:rPr>
                <w:color w:val="000000"/>
              </w:rPr>
              <w:t xml:space="preserve"> 21 </w:t>
            </w:r>
          </w:p>
        </w:tc>
        <w:tc>
          <w:tcPr>
            <w:tcW w:w="969" w:type="dxa"/>
            <w:tcBorders>
              <w:top w:val="nil"/>
              <w:left w:val="nil"/>
              <w:bottom w:val="single" w:sz="4" w:space="0" w:color="auto"/>
              <w:right w:val="nil"/>
            </w:tcBorders>
            <w:shd w:val="clear" w:color="auto" w:fill="auto"/>
            <w:noWrap/>
            <w:vAlign w:val="center"/>
            <w:hideMark/>
          </w:tcPr>
          <w:p w14:paraId="1F91001C" w14:textId="77777777" w:rsidR="00EC4C05" w:rsidRPr="00033257" w:rsidRDefault="00EC4C05" w:rsidP="00C71F49">
            <w:pPr>
              <w:pStyle w:val="cuatexto"/>
              <w:spacing w:line="240" w:lineRule="auto"/>
              <w:jc w:val="right"/>
              <w:rPr>
                <w:color w:val="000000"/>
              </w:rPr>
            </w:pPr>
            <w:r>
              <w:rPr>
                <w:color w:val="000000"/>
              </w:rPr>
              <w:t>426</w:t>
            </w:r>
          </w:p>
        </w:tc>
        <w:tc>
          <w:tcPr>
            <w:tcW w:w="969" w:type="dxa"/>
            <w:tcBorders>
              <w:top w:val="nil"/>
              <w:left w:val="nil"/>
              <w:bottom w:val="single" w:sz="4" w:space="0" w:color="auto"/>
              <w:right w:val="nil"/>
            </w:tcBorders>
            <w:shd w:val="clear" w:color="auto" w:fill="auto"/>
            <w:noWrap/>
            <w:vAlign w:val="center"/>
            <w:hideMark/>
          </w:tcPr>
          <w:p w14:paraId="2C1E39F3" w14:textId="77777777" w:rsidR="00EC4C05" w:rsidRPr="00033257" w:rsidRDefault="00EC4C05" w:rsidP="00C71F49">
            <w:pPr>
              <w:pStyle w:val="cuatexto"/>
              <w:spacing w:line="240" w:lineRule="auto"/>
              <w:jc w:val="right"/>
              <w:rPr>
                <w:color w:val="000000"/>
              </w:rPr>
            </w:pPr>
            <w:r>
              <w:rPr>
                <w:color w:val="000000"/>
              </w:rPr>
              <w:t xml:space="preserve">35 </w:t>
            </w:r>
          </w:p>
        </w:tc>
      </w:tr>
      <w:tr w:rsidR="00EC4C05" w:rsidRPr="00033257" w14:paraId="4CAB575C"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6DF82D52" w14:textId="77777777" w:rsidR="00EC4C05" w:rsidRPr="00033257" w:rsidRDefault="00EC4C05" w:rsidP="00C71F49">
            <w:pPr>
              <w:pStyle w:val="cuatexto"/>
              <w:spacing w:line="240" w:lineRule="auto"/>
            </w:pPr>
            <w:r>
              <w:t>Zeharkako zergak</w:t>
            </w:r>
          </w:p>
        </w:tc>
        <w:tc>
          <w:tcPr>
            <w:tcW w:w="968" w:type="dxa"/>
            <w:tcBorders>
              <w:top w:val="nil"/>
              <w:left w:val="nil"/>
              <w:bottom w:val="single" w:sz="4" w:space="0" w:color="auto"/>
              <w:right w:val="nil"/>
            </w:tcBorders>
            <w:shd w:val="clear" w:color="auto" w:fill="auto"/>
            <w:noWrap/>
            <w:vAlign w:val="center"/>
            <w:hideMark/>
          </w:tcPr>
          <w:p w14:paraId="3CCBD885" w14:textId="77777777" w:rsidR="00EC4C05" w:rsidRPr="00033257" w:rsidRDefault="00EC4C05" w:rsidP="00C71F49">
            <w:pPr>
              <w:pStyle w:val="cuatexto"/>
              <w:spacing w:line="240" w:lineRule="auto"/>
              <w:jc w:val="right"/>
              <w:rPr>
                <w:color w:val="000000"/>
              </w:rPr>
            </w:pPr>
            <w:r>
              <w:rPr>
                <w:color w:val="000000"/>
              </w:rPr>
              <w:t>45</w:t>
            </w:r>
          </w:p>
        </w:tc>
        <w:tc>
          <w:tcPr>
            <w:tcW w:w="969" w:type="dxa"/>
            <w:tcBorders>
              <w:top w:val="nil"/>
              <w:left w:val="nil"/>
              <w:bottom w:val="single" w:sz="4" w:space="0" w:color="auto"/>
              <w:right w:val="nil"/>
            </w:tcBorders>
            <w:shd w:val="clear" w:color="auto" w:fill="auto"/>
            <w:noWrap/>
            <w:vAlign w:val="center"/>
            <w:hideMark/>
          </w:tcPr>
          <w:p w14:paraId="0933C876" w14:textId="77777777" w:rsidR="00EC4C05" w:rsidRPr="00033257" w:rsidRDefault="00EC4C05" w:rsidP="00C71F49">
            <w:pPr>
              <w:pStyle w:val="cuatexto"/>
              <w:spacing w:line="240" w:lineRule="auto"/>
              <w:jc w:val="right"/>
            </w:pPr>
            <w:r>
              <w:t xml:space="preserve"> 4 </w:t>
            </w:r>
          </w:p>
        </w:tc>
        <w:tc>
          <w:tcPr>
            <w:tcW w:w="969" w:type="dxa"/>
            <w:tcBorders>
              <w:top w:val="nil"/>
              <w:left w:val="nil"/>
              <w:bottom w:val="single" w:sz="4" w:space="0" w:color="auto"/>
              <w:right w:val="nil"/>
            </w:tcBorders>
            <w:shd w:val="clear" w:color="auto" w:fill="auto"/>
            <w:noWrap/>
            <w:vAlign w:val="center"/>
            <w:hideMark/>
          </w:tcPr>
          <w:p w14:paraId="3D36B0B9" w14:textId="77777777" w:rsidR="00EC4C05" w:rsidRPr="00033257" w:rsidRDefault="00EC4C05" w:rsidP="00C71F49">
            <w:pPr>
              <w:pStyle w:val="cuatexto"/>
              <w:spacing w:line="240" w:lineRule="auto"/>
              <w:jc w:val="right"/>
              <w:rPr>
                <w:color w:val="000000"/>
              </w:rPr>
            </w:pPr>
            <w:r>
              <w:rPr>
                <w:color w:val="000000"/>
              </w:rPr>
              <w:t>44</w:t>
            </w:r>
          </w:p>
        </w:tc>
        <w:tc>
          <w:tcPr>
            <w:tcW w:w="968" w:type="dxa"/>
            <w:tcBorders>
              <w:top w:val="nil"/>
              <w:left w:val="nil"/>
              <w:bottom w:val="single" w:sz="4" w:space="0" w:color="auto"/>
              <w:right w:val="nil"/>
            </w:tcBorders>
            <w:shd w:val="clear" w:color="auto" w:fill="auto"/>
            <w:noWrap/>
            <w:vAlign w:val="center"/>
            <w:hideMark/>
          </w:tcPr>
          <w:p w14:paraId="6E52DDB0" w14:textId="77777777" w:rsidR="00EC4C05" w:rsidRPr="00033257" w:rsidRDefault="00EC4C05" w:rsidP="00C71F49">
            <w:pPr>
              <w:pStyle w:val="cuatexto"/>
              <w:spacing w:line="240" w:lineRule="auto"/>
              <w:jc w:val="right"/>
            </w:pPr>
            <w:r>
              <w:t xml:space="preserve"> 3 </w:t>
            </w:r>
          </w:p>
        </w:tc>
        <w:tc>
          <w:tcPr>
            <w:tcW w:w="969" w:type="dxa"/>
            <w:tcBorders>
              <w:top w:val="nil"/>
              <w:left w:val="nil"/>
              <w:bottom w:val="single" w:sz="4" w:space="0" w:color="auto"/>
              <w:right w:val="nil"/>
            </w:tcBorders>
            <w:shd w:val="clear" w:color="auto" w:fill="auto"/>
            <w:noWrap/>
            <w:vAlign w:val="center"/>
            <w:hideMark/>
          </w:tcPr>
          <w:p w14:paraId="60DA3216" w14:textId="77777777" w:rsidR="00EC4C05" w:rsidRPr="00033257" w:rsidRDefault="00EC4C05" w:rsidP="00C71F49">
            <w:pPr>
              <w:pStyle w:val="cuatexto"/>
              <w:spacing w:line="240" w:lineRule="auto"/>
              <w:jc w:val="right"/>
              <w:rPr>
                <w:color w:val="000000"/>
              </w:rPr>
            </w:pPr>
            <w:r>
              <w:rPr>
                <w:color w:val="000000"/>
              </w:rPr>
              <w:t>30</w:t>
            </w:r>
          </w:p>
        </w:tc>
        <w:tc>
          <w:tcPr>
            <w:tcW w:w="969" w:type="dxa"/>
            <w:tcBorders>
              <w:top w:val="nil"/>
              <w:left w:val="nil"/>
              <w:bottom w:val="single" w:sz="4" w:space="0" w:color="auto"/>
              <w:right w:val="nil"/>
            </w:tcBorders>
            <w:shd w:val="clear" w:color="auto" w:fill="auto"/>
            <w:noWrap/>
            <w:vAlign w:val="center"/>
            <w:hideMark/>
          </w:tcPr>
          <w:p w14:paraId="176FA6B4" w14:textId="77777777" w:rsidR="00EC4C05" w:rsidRPr="00033257" w:rsidRDefault="00EC4C05" w:rsidP="00C71F49">
            <w:pPr>
              <w:pStyle w:val="cuatexto"/>
              <w:spacing w:line="240" w:lineRule="auto"/>
              <w:jc w:val="right"/>
            </w:pPr>
            <w:r>
              <w:t xml:space="preserve"> 3 </w:t>
            </w:r>
          </w:p>
        </w:tc>
      </w:tr>
      <w:tr w:rsidR="00EC4C05" w:rsidRPr="00033257" w14:paraId="5F6A848F"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1D8F6520" w14:textId="77777777" w:rsidR="00EC4C05" w:rsidRPr="00033257" w:rsidRDefault="00EC4C05" w:rsidP="00C71F49">
            <w:pPr>
              <w:pStyle w:val="cuatexto"/>
              <w:spacing w:line="240" w:lineRule="auto"/>
            </w:pPr>
            <w:r>
              <w:t xml:space="preserve">Tasak, prezio publikoak </w:t>
            </w:r>
          </w:p>
          <w:p w14:paraId="054FECEB" w14:textId="77777777" w:rsidR="00EC4C05" w:rsidRPr="00033257" w:rsidRDefault="00EC4C05" w:rsidP="00C71F49">
            <w:pPr>
              <w:pStyle w:val="cuatexto"/>
              <w:spacing w:line="240" w:lineRule="auto"/>
            </w:pPr>
            <w:r>
              <w:t>eta bestelako diru-sarrerak</w:t>
            </w:r>
          </w:p>
        </w:tc>
        <w:tc>
          <w:tcPr>
            <w:tcW w:w="968" w:type="dxa"/>
            <w:tcBorders>
              <w:top w:val="nil"/>
              <w:left w:val="nil"/>
              <w:bottom w:val="single" w:sz="4" w:space="0" w:color="auto"/>
              <w:right w:val="nil"/>
            </w:tcBorders>
            <w:shd w:val="clear" w:color="auto" w:fill="auto"/>
            <w:noWrap/>
            <w:vAlign w:val="center"/>
            <w:hideMark/>
          </w:tcPr>
          <w:p w14:paraId="013F9C16" w14:textId="77777777" w:rsidR="00EC4C05" w:rsidRPr="00033257" w:rsidRDefault="00EC4C05" w:rsidP="00C71F49">
            <w:pPr>
              <w:pStyle w:val="cuatexto"/>
              <w:spacing w:line="240" w:lineRule="auto"/>
              <w:jc w:val="right"/>
              <w:rPr>
                <w:color w:val="000000"/>
              </w:rPr>
            </w:pPr>
            <w:r>
              <w:rPr>
                <w:color w:val="000000"/>
              </w:rPr>
              <w:t>173</w:t>
            </w:r>
          </w:p>
        </w:tc>
        <w:tc>
          <w:tcPr>
            <w:tcW w:w="969" w:type="dxa"/>
            <w:tcBorders>
              <w:top w:val="nil"/>
              <w:left w:val="nil"/>
              <w:bottom w:val="single" w:sz="4" w:space="0" w:color="auto"/>
              <w:right w:val="nil"/>
            </w:tcBorders>
            <w:shd w:val="clear" w:color="auto" w:fill="auto"/>
            <w:noWrap/>
            <w:vAlign w:val="center"/>
            <w:hideMark/>
          </w:tcPr>
          <w:p w14:paraId="68360CFF" w14:textId="77777777" w:rsidR="00EC4C05" w:rsidRPr="00033257" w:rsidRDefault="00EC4C05" w:rsidP="00C71F49">
            <w:pPr>
              <w:pStyle w:val="cuatexto"/>
              <w:spacing w:line="240" w:lineRule="auto"/>
              <w:jc w:val="right"/>
            </w:pPr>
            <w:r>
              <w:t xml:space="preserve"> 15 </w:t>
            </w:r>
          </w:p>
        </w:tc>
        <w:tc>
          <w:tcPr>
            <w:tcW w:w="969" w:type="dxa"/>
            <w:tcBorders>
              <w:top w:val="nil"/>
              <w:left w:val="nil"/>
              <w:bottom w:val="single" w:sz="4" w:space="0" w:color="auto"/>
              <w:right w:val="nil"/>
            </w:tcBorders>
            <w:shd w:val="clear" w:color="auto" w:fill="auto"/>
            <w:noWrap/>
            <w:vAlign w:val="center"/>
            <w:hideMark/>
          </w:tcPr>
          <w:p w14:paraId="032EB26C" w14:textId="77777777" w:rsidR="00EC4C05" w:rsidRPr="00033257" w:rsidRDefault="00EC4C05" w:rsidP="00C71F49">
            <w:pPr>
              <w:pStyle w:val="cuatexto"/>
              <w:spacing w:line="240" w:lineRule="auto"/>
              <w:jc w:val="right"/>
              <w:rPr>
                <w:color w:val="000000"/>
              </w:rPr>
            </w:pPr>
            <w:r>
              <w:rPr>
                <w:color w:val="000000"/>
              </w:rPr>
              <w:t>226</w:t>
            </w:r>
          </w:p>
        </w:tc>
        <w:tc>
          <w:tcPr>
            <w:tcW w:w="968" w:type="dxa"/>
            <w:tcBorders>
              <w:top w:val="nil"/>
              <w:left w:val="nil"/>
              <w:bottom w:val="single" w:sz="4" w:space="0" w:color="auto"/>
              <w:right w:val="nil"/>
            </w:tcBorders>
            <w:shd w:val="clear" w:color="auto" w:fill="auto"/>
            <w:noWrap/>
            <w:vAlign w:val="center"/>
            <w:hideMark/>
          </w:tcPr>
          <w:p w14:paraId="46FBD2BF" w14:textId="77777777" w:rsidR="00EC4C05" w:rsidRPr="00033257" w:rsidRDefault="00EC4C05" w:rsidP="00C71F49">
            <w:pPr>
              <w:pStyle w:val="cuatexto"/>
              <w:spacing w:line="240" w:lineRule="auto"/>
              <w:jc w:val="right"/>
            </w:pPr>
            <w:r>
              <w:t xml:space="preserve"> 15 </w:t>
            </w:r>
          </w:p>
        </w:tc>
        <w:tc>
          <w:tcPr>
            <w:tcW w:w="969" w:type="dxa"/>
            <w:tcBorders>
              <w:top w:val="nil"/>
              <w:left w:val="nil"/>
              <w:bottom w:val="single" w:sz="4" w:space="0" w:color="auto"/>
              <w:right w:val="nil"/>
            </w:tcBorders>
            <w:shd w:val="clear" w:color="auto" w:fill="auto"/>
            <w:noWrap/>
            <w:vAlign w:val="center"/>
            <w:hideMark/>
          </w:tcPr>
          <w:p w14:paraId="6F81D22A" w14:textId="77777777" w:rsidR="00EC4C05" w:rsidRPr="00033257" w:rsidRDefault="00EC4C05" w:rsidP="00C71F49">
            <w:pPr>
              <w:pStyle w:val="cuatexto"/>
              <w:spacing w:line="240" w:lineRule="auto"/>
              <w:jc w:val="right"/>
              <w:rPr>
                <w:color w:val="000000"/>
              </w:rPr>
            </w:pPr>
            <w:r>
              <w:rPr>
                <w:color w:val="000000"/>
              </w:rPr>
              <w:t>179</w:t>
            </w:r>
          </w:p>
        </w:tc>
        <w:tc>
          <w:tcPr>
            <w:tcW w:w="969" w:type="dxa"/>
            <w:tcBorders>
              <w:top w:val="nil"/>
              <w:left w:val="nil"/>
              <w:bottom w:val="single" w:sz="4" w:space="0" w:color="auto"/>
              <w:right w:val="nil"/>
            </w:tcBorders>
            <w:shd w:val="clear" w:color="auto" w:fill="auto"/>
            <w:noWrap/>
            <w:vAlign w:val="center"/>
            <w:hideMark/>
          </w:tcPr>
          <w:p w14:paraId="0892AD5A" w14:textId="77777777" w:rsidR="00EC4C05" w:rsidRPr="00033257" w:rsidRDefault="00EC4C05" w:rsidP="00C71F49">
            <w:pPr>
              <w:pStyle w:val="cuatexto"/>
              <w:spacing w:line="240" w:lineRule="auto"/>
              <w:jc w:val="right"/>
            </w:pPr>
            <w:r>
              <w:t xml:space="preserve">15 </w:t>
            </w:r>
          </w:p>
        </w:tc>
      </w:tr>
      <w:tr w:rsidR="00EC4C05" w:rsidRPr="00033257" w14:paraId="78DD1730"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6CA0C0DD" w14:textId="77777777" w:rsidR="00EC4C05" w:rsidRPr="00033257" w:rsidRDefault="00EC4C05" w:rsidP="00C71F49">
            <w:pPr>
              <w:pStyle w:val="cuatexto"/>
              <w:spacing w:line="240" w:lineRule="auto"/>
            </w:pPr>
            <w:r>
              <w:t>Transferentzia arruntak</w:t>
            </w:r>
          </w:p>
        </w:tc>
        <w:tc>
          <w:tcPr>
            <w:tcW w:w="968" w:type="dxa"/>
            <w:tcBorders>
              <w:top w:val="nil"/>
              <w:left w:val="nil"/>
              <w:bottom w:val="single" w:sz="4" w:space="0" w:color="auto"/>
              <w:right w:val="nil"/>
            </w:tcBorders>
            <w:shd w:val="clear" w:color="auto" w:fill="auto"/>
            <w:noWrap/>
            <w:vAlign w:val="center"/>
            <w:hideMark/>
          </w:tcPr>
          <w:p w14:paraId="1B290AC6" w14:textId="77777777" w:rsidR="00EC4C05" w:rsidRPr="00033257" w:rsidRDefault="00EC4C05" w:rsidP="00C71F49">
            <w:pPr>
              <w:pStyle w:val="cuatexto"/>
              <w:spacing w:line="240" w:lineRule="auto"/>
              <w:jc w:val="right"/>
              <w:rPr>
                <w:color w:val="000000"/>
              </w:rPr>
            </w:pPr>
            <w:r>
              <w:rPr>
                <w:color w:val="000000"/>
              </w:rPr>
              <w:t>451</w:t>
            </w:r>
          </w:p>
        </w:tc>
        <w:tc>
          <w:tcPr>
            <w:tcW w:w="969" w:type="dxa"/>
            <w:tcBorders>
              <w:top w:val="nil"/>
              <w:left w:val="nil"/>
              <w:bottom w:val="single" w:sz="4" w:space="0" w:color="auto"/>
              <w:right w:val="nil"/>
            </w:tcBorders>
            <w:shd w:val="clear" w:color="auto" w:fill="auto"/>
            <w:noWrap/>
            <w:vAlign w:val="center"/>
            <w:hideMark/>
          </w:tcPr>
          <w:p w14:paraId="45E09912" w14:textId="77777777" w:rsidR="00EC4C05" w:rsidRPr="00033257" w:rsidRDefault="00EC4C05" w:rsidP="00C71F49">
            <w:pPr>
              <w:pStyle w:val="cuatexto"/>
              <w:spacing w:line="240" w:lineRule="auto"/>
              <w:jc w:val="right"/>
            </w:pPr>
            <w:r>
              <w:t xml:space="preserve"> 40 </w:t>
            </w:r>
          </w:p>
        </w:tc>
        <w:tc>
          <w:tcPr>
            <w:tcW w:w="969" w:type="dxa"/>
            <w:tcBorders>
              <w:top w:val="nil"/>
              <w:left w:val="nil"/>
              <w:bottom w:val="single" w:sz="4" w:space="0" w:color="auto"/>
              <w:right w:val="nil"/>
            </w:tcBorders>
            <w:shd w:val="clear" w:color="auto" w:fill="auto"/>
            <w:noWrap/>
            <w:vAlign w:val="center"/>
            <w:hideMark/>
          </w:tcPr>
          <w:p w14:paraId="4C2F03FB" w14:textId="77777777" w:rsidR="00EC4C05" w:rsidRPr="00033257" w:rsidRDefault="00EC4C05" w:rsidP="00C71F49">
            <w:pPr>
              <w:pStyle w:val="cuatexto"/>
              <w:spacing w:line="240" w:lineRule="auto"/>
              <w:jc w:val="right"/>
              <w:rPr>
                <w:color w:val="000000"/>
              </w:rPr>
            </w:pPr>
            <w:r>
              <w:rPr>
                <w:color w:val="000000"/>
              </w:rPr>
              <w:t>830</w:t>
            </w:r>
          </w:p>
        </w:tc>
        <w:tc>
          <w:tcPr>
            <w:tcW w:w="968" w:type="dxa"/>
            <w:tcBorders>
              <w:top w:val="nil"/>
              <w:left w:val="nil"/>
              <w:bottom w:val="single" w:sz="4" w:space="0" w:color="auto"/>
              <w:right w:val="nil"/>
            </w:tcBorders>
            <w:shd w:val="clear" w:color="auto" w:fill="auto"/>
            <w:noWrap/>
            <w:vAlign w:val="center"/>
            <w:hideMark/>
          </w:tcPr>
          <w:p w14:paraId="1BE17454" w14:textId="77777777" w:rsidR="00EC4C05" w:rsidRPr="00033257" w:rsidRDefault="00EC4C05" w:rsidP="00C71F49">
            <w:pPr>
              <w:pStyle w:val="cuatexto"/>
              <w:spacing w:line="240" w:lineRule="auto"/>
              <w:jc w:val="right"/>
            </w:pPr>
            <w:r>
              <w:t xml:space="preserve"> 54 </w:t>
            </w:r>
          </w:p>
        </w:tc>
        <w:tc>
          <w:tcPr>
            <w:tcW w:w="969" w:type="dxa"/>
            <w:tcBorders>
              <w:top w:val="nil"/>
              <w:left w:val="nil"/>
              <w:bottom w:val="single" w:sz="4" w:space="0" w:color="auto"/>
              <w:right w:val="nil"/>
            </w:tcBorders>
            <w:shd w:val="clear" w:color="auto" w:fill="auto"/>
            <w:noWrap/>
            <w:vAlign w:val="center"/>
            <w:hideMark/>
          </w:tcPr>
          <w:p w14:paraId="2D94DAC2" w14:textId="77777777" w:rsidR="00EC4C05" w:rsidRPr="00033257" w:rsidRDefault="00EC4C05" w:rsidP="00C71F49">
            <w:pPr>
              <w:pStyle w:val="cuatexto"/>
              <w:spacing w:line="240" w:lineRule="auto"/>
              <w:jc w:val="right"/>
              <w:rPr>
                <w:color w:val="000000"/>
              </w:rPr>
            </w:pPr>
            <w:r>
              <w:rPr>
                <w:color w:val="000000"/>
              </w:rPr>
              <w:t>410</w:t>
            </w:r>
          </w:p>
        </w:tc>
        <w:tc>
          <w:tcPr>
            <w:tcW w:w="969" w:type="dxa"/>
            <w:tcBorders>
              <w:top w:val="nil"/>
              <w:left w:val="nil"/>
              <w:bottom w:val="single" w:sz="4" w:space="0" w:color="auto"/>
              <w:right w:val="nil"/>
            </w:tcBorders>
            <w:shd w:val="clear" w:color="auto" w:fill="auto"/>
            <w:noWrap/>
            <w:vAlign w:val="center"/>
            <w:hideMark/>
          </w:tcPr>
          <w:p w14:paraId="01D17C83" w14:textId="77777777" w:rsidR="00EC4C05" w:rsidRPr="00033257" w:rsidRDefault="00EC4C05" w:rsidP="00C71F49">
            <w:pPr>
              <w:pStyle w:val="cuatexto"/>
              <w:spacing w:line="240" w:lineRule="auto"/>
              <w:jc w:val="right"/>
            </w:pPr>
            <w:r>
              <w:t xml:space="preserve">34 </w:t>
            </w:r>
          </w:p>
        </w:tc>
      </w:tr>
      <w:tr w:rsidR="00EC4C05" w:rsidRPr="00033257" w14:paraId="2506FD46"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2667E25A" w14:textId="77777777" w:rsidR="00EC4C05" w:rsidRPr="00033257" w:rsidRDefault="00EC4C05" w:rsidP="00C71F49">
            <w:pPr>
              <w:pStyle w:val="cuatexto"/>
              <w:spacing w:line="240" w:lineRule="auto"/>
            </w:pPr>
            <w:r>
              <w:t xml:space="preserve">Ondare bidezko diru-sarrerak </w:t>
            </w:r>
          </w:p>
          <w:p w14:paraId="1E83FB5C" w14:textId="77777777" w:rsidR="00EC4C05" w:rsidRPr="00033257" w:rsidRDefault="00EC4C05" w:rsidP="00C71F49">
            <w:pPr>
              <w:pStyle w:val="cuatexto"/>
              <w:spacing w:line="240" w:lineRule="auto"/>
            </w:pPr>
            <w:r>
              <w:t>eta aprobetxamendu komunalak</w:t>
            </w:r>
          </w:p>
        </w:tc>
        <w:tc>
          <w:tcPr>
            <w:tcW w:w="968" w:type="dxa"/>
            <w:tcBorders>
              <w:top w:val="nil"/>
              <w:left w:val="nil"/>
              <w:bottom w:val="single" w:sz="4" w:space="0" w:color="auto"/>
              <w:right w:val="nil"/>
            </w:tcBorders>
            <w:shd w:val="clear" w:color="auto" w:fill="auto"/>
            <w:noWrap/>
            <w:vAlign w:val="center"/>
            <w:hideMark/>
          </w:tcPr>
          <w:p w14:paraId="4BFD734B" w14:textId="77777777" w:rsidR="00EC4C05" w:rsidRPr="00033257" w:rsidRDefault="00EC4C05" w:rsidP="00C71F49">
            <w:pPr>
              <w:pStyle w:val="cuatexto"/>
              <w:spacing w:line="240" w:lineRule="auto"/>
              <w:jc w:val="right"/>
              <w:rPr>
                <w:color w:val="000000"/>
              </w:rPr>
            </w:pPr>
            <w:r>
              <w:rPr>
                <w:color w:val="000000"/>
              </w:rPr>
              <w:t>59</w:t>
            </w:r>
          </w:p>
        </w:tc>
        <w:tc>
          <w:tcPr>
            <w:tcW w:w="969" w:type="dxa"/>
            <w:tcBorders>
              <w:top w:val="nil"/>
              <w:left w:val="nil"/>
              <w:bottom w:val="single" w:sz="4" w:space="0" w:color="auto"/>
              <w:right w:val="nil"/>
            </w:tcBorders>
            <w:shd w:val="clear" w:color="auto" w:fill="auto"/>
            <w:noWrap/>
            <w:vAlign w:val="center"/>
            <w:hideMark/>
          </w:tcPr>
          <w:p w14:paraId="48662924" w14:textId="77777777" w:rsidR="00EC4C05" w:rsidRPr="00033257" w:rsidRDefault="00EC4C05" w:rsidP="00C71F49">
            <w:pPr>
              <w:pStyle w:val="cuatexto"/>
              <w:spacing w:line="240" w:lineRule="auto"/>
              <w:jc w:val="right"/>
            </w:pPr>
            <w:r>
              <w:t xml:space="preserve"> 5 </w:t>
            </w:r>
          </w:p>
        </w:tc>
        <w:tc>
          <w:tcPr>
            <w:tcW w:w="969" w:type="dxa"/>
            <w:tcBorders>
              <w:top w:val="nil"/>
              <w:left w:val="nil"/>
              <w:bottom w:val="single" w:sz="4" w:space="0" w:color="auto"/>
              <w:right w:val="nil"/>
            </w:tcBorders>
            <w:shd w:val="clear" w:color="auto" w:fill="auto"/>
            <w:noWrap/>
            <w:vAlign w:val="center"/>
            <w:hideMark/>
          </w:tcPr>
          <w:p w14:paraId="0D699131" w14:textId="77777777" w:rsidR="00EC4C05" w:rsidRPr="00033257" w:rsidRDefault="00EC4C05" w:rsidP="00C71F49">
            <w:pPr>
              <w:pStyle w:val="cuatexto"/>
              <w:spacing w:line="240" w:lineRule="auto"/>
              <w:jc w:val="right"/>
              <w:rPr>
                <w:color w:val="000000"/>
              </w:rPr>
            </w:pPr>
            <w:r>
              <w:rPr>
                <w:color w:val="000000"/>
              </w:rPr>
              <w:t>17</w:t>
            </w:r>
          </w:p>
        </w:tc>
        <w:tc>
          <w:tcPr>
            <w:tcW w:w="968" w:type="dxa"/>
            <w:tcBorders>
              <w:top w:val="nil"/>
              <w:left w:val="nil"/>
              <w:bottom w:val="single" w:sz="4" w:space="0" w:color="auto"/>
              <w:right w:val="nil"/>
            </w:tcBorders>
            <w:shd w:val="clear" w:color="auto" w:fill="auto"/>
            <w:noWrap/>
            <w:vAlign w:val="center"/>
            <w:hideMark/>
          </w:tcPr>
          <w:p w14:paraId="05093EFE" w14:textId="77777777" w:rsidR="00EC4C05" w:rsidRPr="00033257" w:rsidRDefault="00EC4C05" w:rsidP="00C71F49">
            <w:pPr>
              <w:pStyle w:val="cuatexto"/>
              <w:spacing w:line="240" w:lineRule="auto"/>
              <w:jc w:val="right"/>
            </w:pPr>
            <w:r>
              <w:t xml:space="preserve"> 1 </w:t>
            </w:r>
          </w:p>
        </w:tc>
        <w:tc>
          <w:tcPr>
            <w:tcW w:w="969" w:type="dxa"/>
            <w:tcBorders>
              <w:top w:val="nil"/>
              <w:left w:val="nil"/>
              <w:bottom w:val="single" w:sz="4" w:space="0" w:color="auto"/>
              <w:right w:val="nil"/>
            </w:tcBorders>
            <w:shd w:val="clear" w:color="auto" w:fill="auto"/>
            <w:noWrap/>
            <w:vAlign w:val="center"/>
            <w:hideMark/>
          </w:tcPr>
          <w:p w14:paraId="7A472451" w14:textId="77777777" w:rsidR="00EC4C05" w:rsidRPr="00033257" w:rsidRDefault="00EC4C05" w:rsidP="00C71F49">
            <w:pPr>
              <w:pStyle w:val="cuatexto"/>
              <w:spacing w:line="240" w:lineRule="auto"/>
              <w:jc w:val="right"/>
              <w:rPr>
                <w:color w:val="000000"/>
              </w:rPr>
            </w:pPr>
            <w:r>
              <w:rPr>
                <w:color w:val="000000"/>
              </w:rPr>
              <w:t>20</w:t>
            </w:r>
          </w:p>
        </w:tc>
        <w:tc>
          <w:tcPr>
            <w:tcW w:w="969" w:type="dxa"/>
            <w:tcBorders>
              <w:top w:val="nil"/>
              <w:left w:val="nil"/>
              <w:bottom w:val="single" w:sz="4" w:space="0" w:color="auto"/>
              <w:right w:val="nil"/>
            </w:tcBorders>
            <w:shd w:val="clear" w:color="auto" w:fill="auto"/>
            <w:noWrap/>
            <w:vAlign w:val="center"/>
            <w:hideMark/>
          </w:tcPr>
          <w:p w14:paraId="6AE6752F" w14:textId="77777777" w:rsidR="00EC4C05" w:rsidRPr="00033257" w:rsidRDefault="00EC4C05" w:rsidP="00C71F49">
            <w:pPr>
              <w:pStyle w:val="cuatexto"/>
              <w:spacing w:line="240" w:lineRule="auto"/>
              <w:jc w:val="right"/>
            </w:pPr>
            <w:r>
              <w:t xml:space="preserve">2 </w:t>
            </w:r>
          </w:p>
        </w:tc>
      </w:tr>
      <w:tr w:rsidR="00EC4C05" w:rsidRPr="00033257" w14:paraId="771D0BFE" w14:textId="77777777" w:rsidTr="00D71C47">
        <w:trPr>
          <w:trHeight w:val="227"/>
          <w:jc w:val="center"/>
        </w:trPr>
        <w:tc>
          <w:tcPr>
            <w:tcW w:w="2977" w:type="dxa"/>
            <w:tcBorders>
              <w:top w:val="single" w:sz="4" w:space="0" w:color="auto"/>
              <w:left w:val="nil"/>
              <w:bottom w:val="single" w:sz="4" w:space="0" w:color="auto"/>
              <w:right w:val="nil"/>
            </w:tcBorders>
            <w:shd w:val="clear" w:color="auto" w:fill="auto"/>
            <w:noWrap/>
            <w:vAlign w:val="center"/>
            <w:hideMark/>
          </w:tcPr>
          <w:p w14:paraId="362D7EAE" w14:textId="77777777" w:rsidR="00EC4C05" w:rsidRPr="00033257" w:rsidRDefault="00EC4C05" w:rsidP="00C71F49">
            <w:pPr>
              <w:pStyle w:val="cuatexto"/>
              <w:spacing w:line="240" w:lineRule="auto"/>
              <w:rPr>
                <w:b/>
                <w:i/>
              </w:rPr>
            </w:pPr>
            <w:r>
              <w:rPr>
                <w:b/>
                <w:i/>
              </w:rPr>
              <w:t>Eragiketa arruntak</w:t>
            </w:r>
          </w:p>
        </w:tc>
        <w:tc>
          <w:tcPr>
            <w:tcW w:w="968" w:type="dxa"/>
            <w:tcBorders>
              <w:top w:val="single" w:sz="4" w:space="0" w:color="auto"/>
              <w:left w:val="nil"/>
              <w:bottom w:val="single" w:sz="4" w:space="0" w:color="auto"/>
              <w:right w:val="nil"/>
            </w:tcBorders>
            <w:shd w:val="clear" w:color="auto" w:fill="auto"/>
            <w:noWrap/>
            <w:vAlign w:val="center"/>
            <w:hideMark/>
          </w:tcPr>
          <w:p w14:paraId="0A4A6952" w14:textId="77777777" w:rsidR="00EC4C05" w:rsidRPr="00033257" w:rsidRDefault="00EC4C05" w:rsidP="00C71F49">
            <w:pPr>
              <w:pStyle w:val="cuatexto"/>
              <w:spacing w:line="240" w:lineRule="auto"/>
              <w:jc w:val="right"/>
              <w:rPr>
                <w:b/>
                <w:i/>
              </w:rPr>
            </w:pPr>
            <w:r>
              <w:rPr>
                <w:b/>
                <w:i/>
              </w:rPr>
              <w:t>1.040</w:t>
            </w:r>
          </w:p>
        </w:tc>
        <w:tc>
          <w:tcPr>
            <w:tcW w:w="969" w:type="dxa"/>
            <w:tcBorders>
              <w:top w:val="single" w:sz="4" w:space="0" w:color="auto"/>
              <w:left w:val="nil"/>
              <w:bottom w:val="single" w:sz="4" w:space="0" w:color="auto"/>
              <w:right w:val="nil"/>
            </w:tcBorders>
            <w:shd w:val="clear" w:color="auto" w:fill="auto"/>
            <w:noWrap/>
            <w:vAlign w:val="center"/>
            <w:hideMark/>
          </w:tcPr>
          <w:p w14:paraId="7A04188B" w14:textId="77777777" w:rsidR="00EC4C05" w:rsidRPr="00033257" w:rsidRDefault="00EC4C05" w:rsidP="00C71F49">
            <w:pPr>
              <w:pStyle w:val="cuatexto"/>
              <w:spacing w:line="240" w:lineRule="auto"/>
              <w:jc w:val="right"/>
              <w:rPr>
                <w:b/>
                <w:i/>
              </w:rPr>
            </w:pPr>
            <w:r>
              <w:rPr>
                <w:b/>
                <w:i/>
              </w:rPr>
              <w:t xml:space="preserve"> 93</w:t>
            </w:r>
          </w:p>
        </w:tc>
        <w:tc>
          <w:tcPr>
            <w:tcW w:w="969" w:type="dxa"/>
            <w:tcBorders>
              <w:top w:val="single" w:sz="4" w:space="0" w:color="auto"/>
              <w:left w:val="nil"/>
              <w:bottom w:val="single" w:sz="4" w:space="0" w:color="auto"/>
              <w:right w:val="nil"/>
            </w:tcBorders>
            <w:shd w:val="clear" w:color="auto" w:fill="auto"/>
            <w:noWrap/>
            <w:vAlign w:val="center"/>
            <w:hideMark/>
          </w:tcPr>
          <w:p w14:paraId="04D31535" w14:textId="77777777" w:rsidR="00EC4C05" w:rsidRPr="00033257" w:rsidRDefault="00EC4C05" w:rsidP="00C71F49">
            <w:pPr>
              <w:pStyle w:val="cuatexto"/>
              <w:spacing w:line="240" w:lineRule="auto"/>
              <w:jc w:val="right"/>
              <w:rPr>
                <w:b/>
                <w:i/>
              </w:rPr>
            </w:pPr>
            <w:r>
              <w:rPr>
                <w:b/>
                <w:i/>
              </w:rPr>
              <w:t>1.443</w:t>
            </w:r>
          </w:p>
        </w:tc>
        <w:tc>
          <w:tcPr>
            <w:tcW w:w="968" w:type="dxa"/>
            <w:tcBorders>
              <w:top w:val="single" w:sz="4" w:space="0" w:color="auto"/>
              <w:left w:val="nil"/>
              <w:bottom w:val="single" w:sz="4" w:space="0" w:color="auto"/>
              <w:right w:val="nil"/>
            </w:tcBorders>
            <w:shd w:val="clear" w:color="auto" w:fill="auto"/>
            <w:noWrap/>
            <w:vAlign w:val="center"/>
            <w:hideMark/>
          </w:tcPr>
          <w:p w14:paraId="7A3811BC" w14:textId="77777777" w:rsidR="00EC4C05" w:rsidRPr="00033257" w:rsidRDefault="00EC4C05" w:rsidP="00C71F49">
            <w:pPr>
              <w:pStyle w:val="cuatexto"/>
              <w:spacing w:line="240" w:lineRule="auto"/>
              <w:jc w:val="right"/>
              <w:rPr>
                <w:b/>
                <w:i/>
              </w:rPr>
            </w:pPr>
            <w:r>
              <w:rPr>
                <w:b/>
                <w:i/>
              </w:rPr>
              <w:t xml:space="preserve"> 93</w:t>
            </w:r>
          </w:p>
        </w:tc>
        <w:tc>
          <w:tcPr>
            <w:tcW w:w="969" w:type="dxa"/>
            <w:tcBorders>
              <w:top w:val="single" w:sz="4" w:space="0" w:color="auto"/>
              <w:left w:val="nil"/>
              <w:bottom w:val="single" w:sz="4" w:space="0" w:color="auto"/>
              <w:right w:val="nil"/>
            </w:tcBorders>
            <w:shd w:val="clear" w:color="auto" w:fill="auto"/>
            <w:noWrap/>
            <w:vAlign w:val="center"/>
            <w:hideMark/>
          </w:tcPr>
          <w:p w14:paraId="409FD835" w14:textId="77777777" w:rsidR="00EC4C05" w:rsidRPr="00033257" w:rsidRDefault="00EC4C05" w:rsidP="00C71F49">
            <w:pPr>
              <w:pStyle w:val="cuatexto"/>
              <w:spacing w:line="240" w:lineRule="auto"/>
              <w:jc w:val="right"/>
              <w:rPr>
                <w:b/>
                <w:i/>
              </w:rPr>
            </w:pPr>
            <w:r>
              <w:rPr>
                <w:b/>
                <w:i/>
              </w:rPr>
              <w:t>1.064</w:t>
            </w:r>
          </w:p>
        </w:tc>
        <w:tc>
          <w:tcPr>
            <w:tcW w:w="969" w:type="dxa"/>
            <w:tcBorders>
              <w:top w:val="single" w:sz="4" w:space="0" w:color="auto"/>
              <w:left w:val="nil"/>
              <w:bottom w:val="single" w:sz="4" w:space="0" w:color="auto"/>
              <w:right w:val="nil"/>
            </w:tcBorders>
            <w:shd w:val="clear" w:color="auto" w:fill="auto"/>
            <w:noWrap/>
            <w:vAlign w:val="center"/>
            <w:hideMark/>
          </w:tcPr>
          <w:p w14:paraId="5054A1BE" w14:textId="77777777" w:rsidR="00EC4C05" w:rsidRPr="00033257" w:rsidRDefault="00EC4C05" w:rsidP="00C71F49">
            <w:pPr>
              <w:pStyle w:val="cuatexto"/>
              <w:spacing w:line="240" w:lineRule="auto"/>
              <w:jc w:val="right"/>
              <w:rPr>
                <w:b/>
                <w:i/>
              </w:rPr>
            </w:pPr>
            <w:r>
              <w:rPr>
                <w:b/>
                <w:i/>
              </w:rPr>
              <w:t>87</w:t>
            </w:r>
          </w:p>
        </w:tc>
      </w:tr>
      <w:tr w:rsidR="00EC4C05" w:rsidRPr="00033257" w14:paraId="367FD8EC" w14:textId="77777777" w:rsidTr="00D71C47">
        <w:trPr>
          <w:trHeight w:val="227"/>
          <w:jc w:val="center"/>
        </w:trPr>
        <w:tc>
          <w:tcPr>
            <w:tcW w:w="2977" w:type="dxa"/>
            <w:tcBorders>
              <w:top w:val="single" w:sz="4" w:space="0" w:color="auto"/>
              <w:left w:val="nil"/>
              <w:bottom w:val="single" w:sz="4" w:space="0" w:color="auto"/>
              <w:right w:val="nil"/>
            </w:tcBorders>
            <w:shd w:val="clear" w:color="auto" w:fill="auto"/>
            <w:noWrap/>
            <w:vAlign w:val="center"/>
            <w:hideMark/>
          </w:tcPr>
          <w:p w14:paraId="25721AB3" w14:textId="77777777" w:rsidR="00EC4C05" w:rsidRPr="00033257" w:rsidRDefault="00EC4C05" w:rsidP="00C71F49">
            <w:pPr>
              <w:pStyle w:val="cuatexto"/>
              <w:spacing w:line="240" w:lineRule="auto"/>
              <w:rPr>
                <w:b/>
                <w:bCs/>
                <w:i/>
                <w:iCs/>
              </w:rPr>
            </w:pPr>
            <w:r>
              <w:rPr>
                <w:b/>
                <w:i/>
              </w:rPr>
              <w:t>Kapital-eragiketak</w:t>
            </w:r>
          </w:p>
        </w:tc>
        <w:tc>
          <w:tcPr>
            <w:tcW w:w="968" w:type="dxa"/>
            <w:tcBorders>
              <w:top w:val="single" w:sz="4" w:space="0" w:color="auto"/>
              <w:left w:val="nil"/>
              <w:bottom w:val="single" w:sz="4" w:space="0" w:color="auto"/>
              <w:right w:val="nil"/>
            </w:tcBorders>
            <w:shd w:val="clear" w:color="auto" w:fill="auto"/>
            <w:noWrap/>
            <w:vAlign w:val="center"/>
            <w:hideMark/>
          </w:tcPr>
          <w:p w14:paraId="1EC4DD17" w14:textId="77777777" w:rsidR="00EC4C05" w:rsidRPr="00033257" w:rsidRDefault="00EC4C05" w:rsidP="00C71F49">
            <w:pPr>
              <w:pStyle w:val="cuatexto"/>
              <w:spacing w:line="240" w:lineRule="auto"/>
              <w:jc w:val="right"/>
              <w:rPr>
                <w:b/>
                <w:bCs/>
                <w:i/>
                <w:iCs/>
                <w:color w:val="000000"/>
              </w:rPr>
            </w:pPr>
            <w:r>
              <w:rPr>
                <w:b/>
                <w:i/>
                <w:color w:val="000000"/>
              </w:rPr>
              <w:t>77</w:t>
            </w:r>
          </w:p>
        </w:tc>
        <w:tc>
          <w:tcPr>
            <w:tcW w:w="969" w:type="dxa"/>
            <w:tcBorders>
              <w:top w:val="single" w:sz="4" w:space="0" w:color="auto"/>
              <w:left w:val="nil"/>
              <w:bottom w:val="single" w:sz="4" w:space="0" w:color="auto"/>
              <w:right w:val="nil"/>
            </w:tcBorders>
            <w:shd w:val="clear" w:color="auto" w:fill="auto"/>
            <w:noWrap/>
            <w:vAlign w:val="center"/>
            <w:hideMark/>
          </w:tcPr>
          <w:p w14:paraId="2B8491F2" w14:textId="77777777" w:rsidR="00EC4C05" w:rsidRPr="00033257" w:rsidRDefault="00EC4C05" w:rsidP="00C71F49">
            <w:pPr>
              <w:pStyle w:val="cuatexto"/>
              <w:spacing w:line="240" w:lineRule="auto"/>
              <w:jc w:val="right"/>
              <w:rPr>
                <w:b/>
                <w:bCs/>
                <w:i/>
                <w:iCs/>
              </w:rPr>
            </w:pPr>
            <w:r>
              <w:rPr>
                <w:b/>
                <w:i/>
              </w:rPr>
              <w:t xml:space="preserve"> 7 </w:t>
            </w:r>
          </w:p>
        </w:tc>
        <w:tc>
          <w:tcPr>
            <w:tcW w:w="969" w:type="dxa"/>
            <w:tcBorders>
              <w:top w:val="single" w:sz="4" w:space="0" w:color="auto"/>
              <w:left w:val="nil"/>
              <w:bottom w:val="single" w:sz="4" w:space="0" w:color="auto"/>
              <w:right w:val="nil"/>
            </w:tcBorders>
            <w:shd w:val="clear" w:color="auto" w:fill="auto"/>
            <w:noWrap/>
            <w:vAlign w:val="center"/>
            <w:hideMark/>
          </w:tcPr>
          <w:p w14:paraId="18BA73F2" w14:textId="77777777" w:rsidR="00EC4C05" w:rsidRPr="00033257" w:rsidRDefault="00EC4C05" w:rsidP="00C71F49">
            <w:pPr>
              <w:pStyle w:val="cuatexto"/>
              <w:spacing w:line="240" w:lineRule="auto"/>
              <w:jc w:val="right"/>
              <w:rPr>
                <w:b/>
                <w:bCs/>
                <w:i/>
                <w:iCs/>
                <w:color w:val="000000"/>
              </w:rPr>
            </w:pPr>
            <w:r>
              <w:rPr>
                <w:b/>
                <w:i/>
                <w:color w:val="000000"/>
              </w:rPr>
              <w:t>76</w:t>
            </w:r>
          </w:p>
        </w:tc>
        <w:tc>
          <w:tcPr>
            <w:tcW w:w="968" w:type="dxa"/>
            <w:tcBorders>
              <w:top w:val="single" w:sz="4" w:space="0" w:color="auto"/>
              <w:left w:val="nil"/>
              <w:bottom w:val="single" w:sz="4" w:space="0" w:color="auto"/>
              <w:right w:val="nil"/>
            </w:tcBorders>
            <w:shd w:val="clear" w:color="auto" w:fill="auto"/>
            <w:noWrap/>
            <w:vAlign w:val="center"/>
            <w:hideMark/>
          </w:tcPr>
          <w:p w14:paraId="430580DE" w14:textId="77777777" w:rsidR="00EC4C05" w:rsidRPr="00033257" w:rsidRDefault="00EC4C05" w:rsidP="00C71F49">
            <w:pPr>
              <w:pStyle w:val="cuatexto"/>
              <w:spacing w:line="240" w:lineRule="auto"/>
              <w:jc w:val="right"/>
              <w:rPr>
                <w:b/>
                <w:bCs/>
                <w:i/>
                <w:iCs/>
              </w:rPr>
            </w:pPr>
            <w:r>
              <w:rPr>
                <w:b/>
                <w:i/>
              </w:rPr>
              <w:t xml:space="preserve"> 5 </w:t>
            </w:r>
          </w:p>
        </w:tc>
        <w:tc>
          <w:tcPr>
            <w:tcW w:w="969" w:type="dxa"/>
            <w:tcBorders>
              <w:top w:val="single" w:sz="4" w:space="0" w:color="auto"/>
              <w:left w:val="nil"/>
              <w:bottom w:val="single" w:sz="4" w:space="0" w:color="auto"/>
              <w:right w:val="nil"/>
            </w:tcBorders>
            <w:shd w:val="clear" w:color="auto" w:fill="auto"/>
            <w:noWrap/>
            <w:vAlign w:val="center"/>
            <w:hideMark/>
          </w:tcPr>
          <w:p w14:paraId="30016D9A" w14:textId="77777777" w:rsidR="00EC4C05" w:rsidRPr="00033257" w:rsidRDefault="00EC4C05" w:rsidP="00C71F49">
            <w:pPr>
              <w:pStyle w:val="cuatexto"/>
              <w:spacing w:line="240" w:lineRule="auto"/>
              <w:jc w:val="right"/>
              <w:rPr>
                <w:b/>
                <w:bCs/>
                <w:i/>
                <w:iCs/>
                <w:color w:val="000000"/>
              </w:rPr>
            </w:pPr>
            <w:r>
              <w:rPr>
                <w:b/>
                <w:i/>
                <w:color w:val="000000"/>
              </w:rPr>
              <w:t>102</w:t>
            </w:r>
          </w:p>
        </w:tc>
        <w:tc>
          <w:tcPr>
            <w:tcW w:w="969" w:type="dxa"/>
            <w:tcBorders>
              <w:top w:val="single" w:sz="4" w:space="0" w:color="auto"/>
              <w:left w:val="nil"/>
              <w:bottom w:val="single" w:sz="4" w:space="0" w:color="auto"/>
              <w:right w:val="nil"/>
            </w:tcBorders>
            <w:shd w:val="clear" w:color="auto" w:fill="auto"/>
            <w:noWrap/>
            <w:vAlign w:val="center"/>
            <w:hideMark/>
          </w:tcPr>
          <w:p w14:paraId="0B79C665" w14:textId="77777777" w:rsidR="00EC4C05" w:rsidRPr="00033257" w:rsidRDefault="00EC4C05" w:rsidP="00C71F49">
            <w:pPr>
              <w:pStyle w:val="cuatexto"/>
              <w:spacing w:line="240" w:lineRule="auto"/>
              <w:jc w:val="right"/>
              <w:rPr>
                <w:b/>
                <w:bCs/>
                <w:i/>
                <w:iCs/>
              </w:rPr>
            </w:pPr>
            <w:r>
              <w:rPr>
                <w:b/>
                <w:i/>
              </w:rPr>
              <w:t xml:space="preserve"> 8 </w:t>
            </w:r>
          </w:p>
        </w:tc>
      </w:tr>
      <w:tr w:rsidR="00EC4C05" w:rsidRPr="00033257" w14:paraId="684CDACC"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11F0D08A" w14:textId="77777777" w:rsidR="00EC4C05" w:rsidRPr="00033257" w:rsidRDefault="00EC4C05" w:rsidP="00C71F49">
            <w:pPr>
              <w:pStyle w:val="cuatexto"/>
              <w:spacing w:line="240" w:lineRule="auto"/>
              <w:rPr>
                <w:b/>
                <w:bCs/>
                <w:i/>
                <w:iCs/>
              </w:rPr>
            </w:pPr>
            <w:r>
              <w:rPr>
                <w:b/>
                <w:i/>
              </w:rPr>
              <w:t>Finantza-eragiketak</w:t>
            </w:r>
          </w:p>
        </w:tc>
        <w:tc>
          <w:tcPr>
            <w:tcW w:w="968" w:type="dxa"/>
            <w:tcBorders>
              <w:top w:val="nil"/>
              <w:left w:val="nil"/>
              <w:bottom w:val="single" w:sz="4" w:space="0" w:color="auto"/>
              <w:right w:val="nil"/>
            </w:tcBorders>
            <w:shd w:val="clear" w:color="auto" w:fill="auto"/>
            <w:noWrap/>
            <w:vAlign w:val="center"/>
            <w:hideMark/>
          </w:tcPr>
          <w:p w14:paraId="2FCD2E8F" w14:textId="77777777" w:rsidR="00EC4C05" w:rsidRPr="00033257" w:rsidRDefault="00EC4C05" w:rsidP="00C71F49">
            <w:pPr>
              <w:pStyle w:val="cuatexto"/>
              <w:spacing w:line="240" w:lineRule="auto"/>
              <w:jc w:val="right"/>
              <w:rPr>
                <w:b/>
                <w:bCs/>
                <w:i/>
                <w:iCs/>
                <w:color w:val="000000"/>
              </w:rPr>
            </w:pPr>
            <w:r>
              <w:rPr>
                <w:b/>
                <w:i/>
                <w:color w:val="000000"/>
              </w:rPr>
              <w:t>7</w:t>
            </w:r>
          </w:p>
        </w:tc>
        <w:tc>
          <w:tcPr>
            <w:tcW w:w="969" w:type="dxa"/>
            <w:tcBorders>
              <w:top w:val="nil"/>
              <w:left w:val="nil"/>
              <w:bottom w:val="single" w:sz="4" w:space="0" w:color="auto"/>
              <w:right w:val="nil"/>
            </w:tcBorders>
            <w:shd w:val="clear" w:color="auto" w:fill="auto"/>
            <w:noWrap/>
            <w:vAlign w:val="center"/>
            <w:hideMark/>
          </w:tcPr>
          <w:p w14:paraId="2985238C" w14:textId="77777777" w:rsidR="00EC4C05" w:rsidRPr="00033257" w:rsidRDefault="00EC4C05" w:rsidP="00C71F49">
            <w:pPr>
              <w:pStyle w:val="cuatexto"/>
              <w:spacing w:line="240" w:lineRule="auto"/>
              <w:jc w:val="right"/>
              <w:rPr>
                <w:b/>
                <w:bCs/>
                <w:i/>
                <w:iCs/>
              </w:rPr>
            </w:pPr>
            <w:r>
              <w:rPr>
                <w:b/>
                <w:i/>
              </w:rPr>
              <w:t xml:space="preserve"> 1 </w:t>
            </w:r>
          </w:p>
        </w:tc>
        <w:tc>
          <w:tcPr>
            <w:tcW w:w="969" w:type="dxa"/>
            <w:tcBorders>
              <w:top w:val="nil"/>
              <w:left w:val="nil"/>
              <w:bottom w:val="single" w:sz="4" w:space="0" w:color="auto"/>
              <w:right w:val="nil"/>
            </w:tcBorders>
            <w:shd w:val="clear" w:color="auto" w:fill="auto"/>
            <w:noWrap/>
            <w:vAlign w:val="center"/>
            <w:hideMark/>
          </w:tcPr>
          <w:p w14:paraId="6935D354" w14:textId="77777777" w:rsidR="00EC4C05" w:rsidRPr="00033257" w:rsidRDefault="00EC4C05" w:rsidP="00C71F49">
            <w:pPr>
              <w:pStyle w:val="cuatexto"/>
              <w:spacing w:line="240" w:lineRule="auto"/>
              <w:jc w:val="right"/>
              <w:rPr>
                <w:b/>
                <w:bCs/>
                <w:i/>
                <w:iCs/>
                <w:color w:val="000000"/>
              </w:rPr>
            </w:pPr>
            <w:r>
              <w:rPr>
                <w:b/>
                <w:i/>
                <w:color w:val="000000"/>
              </w:rPr>
              <w:t>33</w:t>
            </w:r>
          </w:p>
        </w:tc>
        <w:tc>
          <w:tcPr>
            <w:tcW w:w="968" w:type="dxa"/>
            <w:tcBorders>
              <w:top w:val="nil"/>
              <w:left w:val="nil"/>
              <w:bottom w:val="single" w:sz="4" w:space="0" w:color="auto"/>
              <w:right w:val="nil"/>
            </w:tcBorders>
            <w:shd w:val="clear" w:color="auto" w:fill="auto"/>
            <w:noWrap/>
            <w:vAlign w:val="center"/>
            <w:hideMark/>
          </w:tcPr>
          <w:p w14:paraId="06640049" w14:textId="77777777" w:rsidR="00EC4C05" w:rsidRPr="00033257" w:rsidRDefault="00EC4C05" w:rsidP="00C71F49">
            <w:pPr>
              <w:pStyle w:val="cuatexto"/>
              <w:spacing w:line="240" w:lineRule="auto"/>
              <w:jc w:val="right"/>
              <w:rPr>
                <w:b/>
                <w:bCs/>
                <w:i/>
                <w:iCs/>
              </w:rPr>
            </w:pPr>
            <w:r>
              <w:rPr>
                <w:b/>
                <w:i/>
              </w:rPr>
              <w:t xml:space="preserve"> 2 </w:t>
            </w:r>
          </w:p>
        </w:tc>
        <w:tc>
          <w:tcPr>
            <w:tcW w:w="969" w:type="dxa"/>
            <w:tcBorders>
              <w:top w:val="nil"/>
              <w:left w:val="nil"/>
              <w:bottom w:val="single" w:sz="4" w:space="0" w:color="auto"/>
              <w:right w:val="nil"/>
            </w:tcBorders>
            <w:shd w:val="clear" w:color="auto" w:fill="auto"/>
            <w:noWrap/>
            <w:vAlign w:val="center"/>
            <w:hideMark/>
          </w:tcPr>
          <w:p w14:paraId="3DEB6856" w14:textId="77777777" w:rsidR="00EC4C05" w:rsidRPr="00033257" w:rsidRDefault="00EC4C05" w:rsidP="00C71F49">
            <w:pPr>
              <w:pStyle w:val="cuatexto"/>
              <w:spacing w:line="240" w:lineRule="auto"/>
              <w:jc w:val="right"/>
              <w:rPr>
                <w:b/>
                <w:bCs/>
                <w:i/>
                <w:iCs/>
                <w:color w:val="000000"/>
              </w:rPr>
            </w:pPr>
            <w:r>
              <w:rPr>
                <w:b/>
                <w:i/>
                <w:color w:val="000000"/>
              </w:rPr>
              <w:t>54</w:t>
            </w:r>
          </w:p>
        </w:tc>
        <w:tc>
          <w:tcPr>
            <w:tcW w:w="969" w:type="dxa"/>
            <w:tcBorders>
              <w:top w:val="nil"/>
              <w:left w:val="nil"/>
              <w:bottom w:val="single" w:sz="4" w:space="0" w:color="auto"/>
              <w:right w:val="nil"/>
            </w:tcBorders>
            <w:shd w:val="clear" w:color="auto" w:fill="auto"/>
            <w:noWrap/>
            <w:vAlign w:val="center"/>
            <w:hideMark/>
          </w:tcPr>
          <w:p w14:paraId="3FFFDA3F" w14:textId="77777777" w:rsidR="00EC4C05" w:rsidRPr="00033257" w:rsidRDefault="00EC4C05" w:rsidP="00C71F49">
            <w:pPr>
              <w:pStyle w:val="cuatexto"/>
              <w:spacing w:line="240" w:lineRule="auto"/>
              <w:jc w:val="right"/>
              <w:rPr>
                <w:b/>
                <w:bCs/>
                <w:i/>
                <w:iCs/>
              </w:rPr>
            </w:pPr>
            <w:r>
              <w:rPr>
                <w:b/>
                <w:i/>
              </w:rPr>
              <w:t xml:space="preserve"> 5 </w:t>
            </w:r>
          </w:p>
        </w:tc>
      </w:tr>
      <w:tr w:rsidR="00EC4C05" w:rsidRPr="00033257" w14:paraId="1D3BFDE3" w14:textId="77777777" w:rsidTr="00D71C47">
        <w:trPr>
          <w:trHeight w:val="227"/>
          <w:jc w:val="center"/>
        </w:trPr>
        <w:tc>
          <w:tcPr>
            <w:tcW w:w="2977" w:type="dxa"/>
            <w:tcBorders>
              <w:top w:val="nil"/>
              <w:left w:val="nil"/>
              <w:bottom w:val="single" w:sz="4" w:space="0" w:color="auto"/>
              <w:right w:val="nil"/>
            </w:tcBorders>
            <w:shd w:val="clear" w:color="auto" w:fill="FABF8F" w:themeFill="accent6" w:themeFillTint="99"/>
            <w:noWrap/>
            <w:vAlign w:val="center"/>
            <w:hideMark/>
          </w:tcPr>
          <w:p w14:paraId="143D8D60" w14:textId="77777777" w:rsidR="00EC4C05" w:rsidRPr="00033257" w:rsidRDefault="00EC4C05" w:rsidP="00C71F49">
            <w:pPr>
              <w:pStyle w:val="cuadroCabe"/>
              <w:spacing w:line="240" w:lineRule="auto"/>
              <w:jc w:val="left"/>
              <w:rPr>
                <w:rFonts w:ascii="Arial Narrow" w:hAnsi="Arial Narrow"/>
                <w:sz w:val="20"/>
                <w:szCs w:val="20"/>
              </w:rPr>
            </w:pPr>
            <w:r>
              <w:rPr>
                <w:rFonts w:ascii="Arial Narrow" w:hAnsi="Arial Narrow"/>
                <w:sz w:val="20"/>
              </w:rPr>
              <w:t>Guztira</w:t>
            </w:r>
          </w:p>
        </w:tc>
        <w:tc>
          <w:tcPr>
            <w:tcW w:w="968" w:type="dxa"/>
            <w:tcBorders>
              <w:top w:val="nil"/>
              <w:left w:val="nil"/>
              <w:bottom w:val="single" w:sz="4" w:space="0" w:color="auto"/>
              <w:right w:val="nil"/>
            </w:tcBorders>
            <w:shd w:val="clear" w:color="auto" w:fill="FABF8F" w:themeFill="accent6" w:themeFillTint="99"/>
            <w:noWrap/>
            <w:vAlign w:val="center"/>
            <w:hideMark/>
          </w:tcPr>
          <w:p w14:paraId="01C16C39" w14:textId="77777777" w:rsidR="00EC4C05" w:rsidRPr="00033257" w:rsidRDefault="00EC4C05" w:rsidP="00C71F49">
            <w:pPr>
              <w:pStyle w:val="cuadroCabe"/>
              <w:spacing w:line="240" w:lineRule="auto"/>
              <w:jc w:val="right"/>
              <w:rPr>
                <w:rFonts w:ascii="Arial Narrow" w:hAnsi="Arial Narrow"/>
                <w:sz w:val="20"/>
                <w:szCs w:val="20"/>
              </w:rPr>
            </w:pPr>
            <w:r>
              <w:rPr>
                <w:rFonts w:ascii="Arial Narrow" w:hAnsi="Arial Narrow"/>
                <w:sz w:val="20"/>
              </w:rPr>
              <w:t>1.125</w:t>
            </w:r>
          </w:p>
        </w:tc>
        <w:tc>
          <w:tcPr>
            <w:tcW w:w="969" w:type="dxa"/>
            <w:tcBorders>
              <w:top w:val="nil"/>
              <w:left w:val="nil"/>
              <w:bottom w:val="single" w:sz="4" w:space="0" w:color="auto"/>
              <w:right w:val="nil"/>
            </w:tcBorders>
            <w:shd w:val="clear" w:color="auto" w:fill="FABF8F" w:themeFill="accent6" w:themeFillTint="99"/>
            <w:noWrap/>
            <w:vAlign w:val="center"/>
            <w:hideMark/>
          </w:tcPr>
          <w:p w14:paraId="484EE4B2" w14:textId="77777777" w:rsidR="00EC4C05" w:rsidRPr="00033257" w:rsidRDefault="00EC4C05" w:rsidP="00C71F49">
            <w:pPr>
              <w:pStyle w:val="cuadroCabe"/>
              <w:spacing w:line="240" w:lineRule="auto"/>
              <w:jc w:val="right"/>
              <w:rPr>
                <w:rFonts w:ascii="Arial Narrow" w:hAnsi="Arial Narrow"/>
                <w:sz w:val="20"/>
                <w:szCs w:val="20"/>
              </w:rPr>
            </w:pPr>
            <w:r>
              <w:rPr>
                <w:rFonts w:ascii="Arial Narrow" w:hAnsi="Arial Narrow"/>
                <w:sz w:val="20"/>
              </w:rPr>
              <w:t>100</w:t>
            </w:r>
          </w:p>
        </w:tc>
        <w:tc>
          <w:tcPr>
            <w:tcW w:w="969" w:type="dxa"/>
            <w:tcBorders>
              <w:top w:val="nil"/>
              <w:left w:val="nil"/>
              <w:bottom w:val="single" w:sz="4" w:space="0" w:color="auto"/>
              <w:right w:val="nil"/>
            </w:tcBorders>
            <w:shd w:val="clear" w:color="auto" w:fill="FABF8F" w:themeFill="accent6" w:themeFillTint="99"/>
            <w:noWrap/>
            <w:vAlign w:val="center"/>
            <w:hideMark/>
          </w:tcPr>
          <w:p w14:paraId="29690C33" w14:textId="77777777" w:rsidR="00EC4C05" w:rsidRPr="00033257" w:rsidRDefault="00EC4C05" w:rsidP="00C71F49">
            <w:pPr>
              <w:pStyle w:val="cuadroCabe"/>
              <w:spacing w:line="240" w:lineRule="auto"/>
              <w:jc w:val="right"/>
              <w:rPr>
                <w:rFonts w:ascii="Arial Narrow" w:hAnsi="Arial Narrow"/>
                <w:sz w:val="20"/>
                <w:szCs w:val="20"/>
              </w:rPr>
            </w:pPr>
            <w:r>
              <w:rPr>
                <w:rFonts w:ascii="Arial Narrow" w:hAnsi="Arial Narrow"/>
                <w:sz w:val="20"/>
              </w:rPr>
              <w:t>1.552</w:t>
            </w:r>
          </w:p>
        </w:tc>
        <w:tc>
          <w:tcPr>
            <w:tcW w:w="968" w:type="dxa"/>
            <w:tcBorders>
              <w:top w:val="nil"/>
              <w:left w:val="nil"/>
              <w:bottom w:val="single" w:sz="4" w:space="0" w:color="auto"/>
              <w:right w:val="nil"/>
            </w:tcBorders>
            <w:shd w:val="clear" w:color="auto" w:fill="FABF8F" w:themeFill="accent6" w:themeFillTint="99"/>
            <w:noWrap/>
            <w:vAlign w:val="center"/>
            <w:hideMark/>
          </w:tcPr>
          <w:p w14:paraId="13C0C29C" w14:textId="77777777" w:rsidR="00EC4C05" w:rsidRPr="00033257" w:rsidRDefault="00EC4C05" w:rsidP="00C71F49">
            <w:pPr>
              <w:pStyle w:val="cuadroCabe"/>
              <w:spacing w:line="240" w:lineRule="auto"/>
              <w:jc w:val="right"/>
              <w:rPr>
                <w:rFonts w:ascii="Arial Narrow" w:hAnsi="Arial Narrow"/>
                <w:sz w:val="20"/>
                <w:szCs w:val="20"/>
              </w:rPr>
            </w:pPr>
            <w:r>
              <w:rPr>
                <w:rFonts w:ascii="Arial Narrow" w:hAnsi="Arial Narrow"/>
                <w:sz w:val="20"/>
              </w:rPr>
              <w:t>100</w:t>
            </w:r>
          </w:p>
        </w:tc>
        <w:tc>
          <w:tcPr>
            <w:tcW w:w="969" w:type="dxa"/>
            <w:tcBorders>
              <w:top w:val="nil"/>
              <w:left w:val="nil"/>
              <w:bottom w:val="single" w:sz="4" w:space="0" w:color="auto"/>
              <w:right w:val="nil"/>
            </w:tcBorders>
            <w:shd w:val="clear" w:color="auto" w:fill="FABF8F" w:themeFill="accent6" w:themeFillTint="99"/>
            <w:noWrap/>
            <w:vAlign w:val="center"/>
            <w:hideMark/>
          </w:tcPr>
          <w:p w14:paraId="7CD89E60" w14:textId="77777777" w:rsidR="00EC4C05" w:rsidRPr="00033257" w:rsidRDefault="00EC4C05" w:rsidP="00C71F49">
            <w:pPr>
              <w:pStyle w:val="cuadroCabe"/>
              <w:spacing w:line="240" w:lineRule="auto"/>
              <w:jc w:val="right"/>
              <w:rPr>
                <w:rFonts w:ascii="Arial Narrow" w:hAnsi="Arial Narrow"/>
                <w:sz w:val="20"/>
                <w:szCs w:val="20"/>
              </w:rPr>
            </w:pPr>
            <w:r>
              <w:rPr>
                <w:rFonts w:ascii="Arial Narrow" w:hAnsi="Arial Narrow"/>
                <w:sz w:val="20"/>
              </w:rPr>
              <w:t>1.220</w:t>
            </w:r>
          </w:p>
        </w:tc>
        <w:tc>
          <w:tcPr>
            <w:tcW w:w="969" w:type="dxa"/>
            <w:tcBorders>
              <w:top w:val="nil"/>
              <w:left w:val="nil"/>
              <w:bottom w:val="single" w:sz="4" w:space="0" w:color="auto"/>
              <w:right w:val="nil"/>
            </w:tcBorders>
            <w:shd w:val="clear" w:color="auto" w:fill="FABF8F" w:themeFill="accent6" w:themeFillTint="99"/>
            <w:noWrap/>
            <w:vAlign w:val="center"/>
            <w:hideMark/>
          </w:tcPr>
          <w:p w14:paraId="4ACDA4D3" w14:textId="77777777" w:rsidR="00EC4C05" w:rsidRPr="00033257" w:rsidRDefault="00EC4C05" w:rsidP="00C71F49">
            <w:pPr>
              <w:pStyle w:val="cuadroCabe"/>
              <w:spacing w:line="240" w:lineRule="auto"/>
              <w:jc w:val="right"/>
              <w:rPr>
                <w:rFonts w:ascii="Arial Narrow" w:hAnsi="Arial Narrow"/>
                <w:sz w:val="20"/>
                <w:szCs w:val="20"/>
              </w:rPr>
            </w:pPr>
            <w:r>
              <w:rPr>
                <w:rFonts w:ascii="Arial Narrow" w:hAnsi="Arial Narrow"/>
                <w:sz w:val="20"/>
              </w:rPr>
              <w:t>100</w:t>
            </w:r>
          </w:p>
        </w:tc>
      </w:tr>
    </w:tbl>
    <w:p w14:paraId="32002102" w14:textId="77777777" w:rsidR="00EC4C05" w:rsidRPr="00033257" w:rsidRDefault="6A28BBB8" w:rsidP="00D71C47">
      <w:pPr>
        <w:spacing w:before="240"/>
        <w:ind w:firstLine="284"/>
        <w:rPr>
          <w:rStyle w:val="textoCar"/>
        </w:rPr>
      </w:pPr>
      <w:r>
        <w:rPr>
          <w:rStyle w:val="textoCar"/>
        </w:rPr>
        <w:t>Nafarroan biztanleko diru-sarrera arruntak 1.040 eurokoak dira, EAEn baino 403 euro gutxiago. Alde nagusia transferentzia arrunten bidezko diru-sarreretan dago: Nafarroan 379 euro gutxiago dira biztanleko Euskal Autonomia Erkidegoan baino. Tasa, prezio publiko eta beste diru-sarrera batzuetan ere alde adierazgarria dago biztanleko, Nafarroan EAEn baino 53 euro gutxiago baitira.</w:t>
      </w:r>
    </w:p>
    <w:p w14:paraId="5F2A645D" w14:textId="6BEB386E" w:rsidR="00EC4C05" w:rsidRPr="00033257" w:rsidRDefault="00EC4C05" w:rsidP="00D71C47">
      <w:pPr>
        <w:ind w:firstLine="284"/>
        <w:rPr>
          <w:rStyle w:val="textoCar"/>
          <w:szCs w:val="26"/>
        </w:rPr>
      </w:pPr>
      <w:r>
        <w:rPr>
          <w:rStyle w:val="textoCar"/>
        </w:rPr>
        <w:t xml:space="preserve">Nafarroako udalen eta EAEko udalen artean alde handiak daude transferentzia arruntengatiko diru-sarreretan. Horren arrazoia da Nafarroan horien zati handi batek izaera finalista duela eta inbertsioak egiteko direla, batez ere Toki Inbertsioen Planaren bitartez, eta, beraz, kapital transferentzia gisa kontabilizatzen dira. EAEn, transferentzien funtsezko zenbatekoa ez da finalista, eta, beraz, transferentzia arruntatzat hartzen dira. </w:t>
      </w:r>
    </w:p>
    <w:p w14:paraId="5FB0553E" w14:textId="77777777" w:rsidR="00EC4C05" w:rsidRPr="00033257" w:rsidRDefault="00EC4C05" w:rsidP="00D71C47">
      <w:pPr>
        <w:ind w:firstLine="284"/>
        <w:rPr>
          <w:rStyle w:val="textoCar"/>
          <w:szCs w:val="26"/>
        </w:rPr>
      </w:pPr>
      <w:r>
        <w:rPr>
          <w:rStyle w:val="textoCar"/>
        </w:rPr>
        <w:t xml:space="preserve">Estatuko gainerako udalekin alderatuta, nafarrek oso antzeko diru-sarrera arruntak dituzte guztizko zenbatekoari dagokionez, baina osaera desberdinekoak. Estatuko gainerakoan, biztanleko zuzeneko zergak 426 eurokoak dira, hau da, diru-sarrera arrunten ehuneko 40. Nafarroan, berriz, 114 euro gutxiago dira, </w:t>
      </w:r>
      <w:r>
        <w:rPr>
          <w:rStyle w:val="textoCar"/>
        </w:rPr>
        <w:lastRenderedPageBreak/>
        <w:t xml:space="preserve">diru-sarrera arrunten ehuneko 30.  Alde hori ia erabat neutralizatu egiten da, Nafarroako udalek diru-sarrera handiagoak baitituzte transferentzia arrunten, ondareko diru-sarreren eta zeharkako zergen ondorioz. </w:t>
      </w:r>
    </w:p>
    <w:p w14:paraId="58616FE7" w14:textId="77777777" w:rsidR="00D71C47" w:rsidRDefault="00D71C47" w:rsidP="3710BB4A">
      <w:pPr>
        <w:pStyle w:val="Prrafodelista"/>
        <w:spacing w:after="120"/>
        <w:ind w:left="0" w:firstLine="272"/>
        <w:jc w:val="both"/>
        <w:rPr>
          <w:color w:val="000000" w:themeColor="text1"/>
          <w:spacing w:val="6"/>
          <w:sz w:val="26"/>
          <w:szCs w:val="26"/>
        </w:rPr>
      </w:pPr>
    </w:p>
    <w:p w14:paraId="7ABA1B18" w14:textId="77777777" w:rsidR="00D71C47" w:rsidRDefault="00D71C47" w:rsidP="3710BB4A">
      <w:pPr>
        <w:pStyle w:val="Prrafodelista"/>
        <w:spacing w:after="120"/>
        <w:ind w:left="0" w:firstLine="272"/>
        <w:jc w:val="both"/>
        <w:rPr>
          <w:color w:val="000000" w:themeColor="text1"/>
          <w:spacing w:val="6"/>
          <w:sz w:val="26"/>
          <w:szCs w:val="26"/>
        </w:rPr>
      </w:pPr>
    </w:p>
    <w:p w14:paraId="73968360" w14:textId="77777777" w:rsidR="00D71C47" w:rsidRDefault="00D71C47" w:rsidP="3710BB4A">
      <w:pPr>
        <w:pStyle w:val="Prrafodelista"/>
        <w:spacing w:after="120"/>
        <w:ind w:left="0" w:firstLine="272"/>
        <w:jc w:val="both"/>
        <w:rPr>
          <w:color w:val="000000" w:themeColor="text1"/>
          <w:spacing w:val="6"/>
          <w:sz w:val="26"/>
          <w:szCs w:val="26"/>
        </w:rPr>
      </w:pPr>
    </w:p>
    <w:p w14:paraId="466D9292" w14:textId="5481DBA0" w:rsidR="00EC4C05" w:rsidRDefault="6A28BBB8" w:rsidP="002E7D7C">
      <w:pPr>
        <w:pStyle w:val="Prrafodelista"/>
        <w:ind w:left="0" w:firstLine="272"/>
        <w:jc w:val="both"/>
        <w:rPr>
          <w:color w:val="000000" w:themeColor="text1"/>
          <w:spacing w:val="6"/>
          <w:sz w:val="26"/>
          <w:szCs w:val="26"/>
        </w:rPr>
      </w:pPr>
      <w:r>
        <w:rPr>
          <w:color w:val="000000" w:themeColor="text1"/>
          <w:sz w:val="26"/>
        </w:rPr>
        <w:t>Nolanahi ere, udalen arteko konparazio horrek balio orientagarria baino ez du. Azterketa zorrotzagoa eta adierazgarriagoa egiteko, faktore gehigarriak hartu beharko lirateke kontuan, besteak beste, udalerrien tamainak, udal egituran dauden aldeak, zerbitzu publikoak emateko modua (adibidez, mankomunitateek betetzen dituzten funtzioak) eta finantzaketa sistemen diseinua. Faktore horiek txosten honen helburuetatik harago doaz.</w:t>
      </w:r>
    </w:p>
    <w:p w14:paraId="14D378FF" w14:textId="77777777" w:rsidR="002E7D7C" w:rsidRDefault="002E7D7C" w:rsidP="002E7D7C">
      <w:pPr>
        <w:pStyle w:val="Prrafodelista"/>
        <w:ind w:left="0" w:firstLine="272"/>
        <w:jc w:val="both"/>
        <w:rPr>
          <w:color w:val="000000" w:themeColor="text1"/>
          <w:spacing w:val="6"/>
          <w:sz w:val="26"/>
          <w:szCs w:val="26"/>
        </w:rPr>
      </w:pPr>
    </w:p>
    <w:p w14:paraId="739FD74D" w14:textId="32B8ADBD" w:rsidR="002E7D7C" w:rsidRDefault="00022533" w:rsidP="002E7D7C">
      <w:pPr>
        <w:pStyle w:val="texto"/>
        <w:spacing w:after="180"/>
      </w:pPr>
      <w:r>
        <w:t>José</w:t>
      </w:r>
      <w:r w:rsidR="002E7D7C">
        <w:t xml:space="preserve"> Javier García Logroño auditorea arduratu da lan honetaz, eta hark proposatuta eman da txosten hau, araudi indardunak ezarritako tramiteak bete ondoren.</w:t>
      </w:r>
    </w:p>
    <w:p w14:paraId="09C3F986" w14:textId="77777777" w:rsidR="002E7D7C" w:rsidRDefault="002E7D7C" w:rsidP="002E7D7C">
      <w:pPr>
        <w:pStyle w:val="texto"/>
        <w:spacing w:after="180"/>
      </w:pPr>
    </w:p>
    <w:p w14:paraId="4F2C1C6F" w14:textId="51865F1C" w:rsidR="002E7D7C" w:rsidRPr="00033257" w:rsidRDefault="002E7D7C" w:rsidP="002E7D7C">
      <w:pPr>
        <w:pStyle w:val="Prrafodelista"/>
        <w:spacing w:after="120"/>
        <w:ind w:left="0" w:firstLine="272"/>
        <w:jc w:val="center"/>
        <w:rPr>
          <w:color w:val="000000" w:themeColor="text1"/>
          <w:spacing w:val="6"/>
          <w:sz w:val="26"/>
          <w:szCs w:val="26"/>
        </w:rPr>
      </w:pPr>
      <w:r>
        <w:rPr>
          <w:i/>
          <w:sz w:val="24"/>
        </w:rPr>
        <w:t>(Ignacio Cabeza del Salvador Nafarroako Kontuen Ganberako lehendakariak digitalki sinatua, alboan ageri den egunean)</w:t>
      </w:r>
    </w:p>
    <w:p w14:paraId="7B501512" w14:textId="77777777" w:rsidR="00D71C47" w:rsidRDefault="00D71C47" w:rsidP="00E75228">
      <w:pPr>
        <w:pStyle w:val="texto"/>
        <w:spacing w:after="0"/>
        <w:ind w:firstLine="0"/>
        <w:jc w:val="center"/>
        <w:rPr>
          <w:i/>
          <w:color w:val="000000" w:themeColor="text1"/>
          <w:sz w:val="24"/>
        </w:rPr>
      </w:pPr>
    </w:p>
    <w:p w14:paraId="6AA258D8" w14:textId="28F25DFA" w:rsidR="00345C6C" w:rsidRDefault="00345C6C" w:rsidP="00345C6C">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i/>
          <w:color w:val="000000" w:themeColor="text1"/>
        </w:rPr>
      </w:pPr>
    </w:p>
    <w:p w14:paraId="750C04E7" w14:textId="576D70E3" w:rsidR="002D5BF9" w:rsidRDefault="002D5BF9">
      <w:pPr>
        <w:spacing w:after="0"/>
        <w:ind w:firstLine="0"/>
        <w:jc w:val="left"/>
        <w:rPr>
          <w:rFonts w:cs="Arial"/>
          <w:i/>
          <w:color w:val="000000" w:themeColor="text1"/>
          <w:spacing w:val="6"/>
          <w:sz w:val="26"/>
          <w:szCs w:val="24"/>
        </w:rPr>
      </w:pPr>
      <w:r>
        <w:br w:type="page"/>
      </w:r>
    </w:p>
    <w:p w14:paraId="1C909919" w14:textId="77777777" w:rsidR="002D5BF9" w:rsidRDefault="002D5BF9" w:rsidP="00345C6C">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i/>
          <w:color w:val="000000" w:themeColor="text1"/>
        </w:rPr>
      </w:pPr>
    </w:p>
    <w:p w14:paraId="5D1E1126" w14:textId="77777777" w:rsidR="002D5BF9" w:rsidRDefault="002D5BF9" w:rsidP="002D5BF9">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b/>
          <w:color w:val="000000" w:themeColor="text1"/>
          <w:sz w:val="56"/>
          <w:szCs w:val="56"/>
        </w:rPr>
      </w:pPr>
    </w:p>
    <w:p w14:paraId="7E68792C" w14:textId="77777777" w:rsidR="002D5BF9" w:rsidRDefault="002D5BF9" w:rsidP="002D5BF9">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b/>
          <w:color w:val="000000" w:themeColor="text1"/>
          <w:sz w:val="56"/>
          <w:szCs w:val="56"/>
        </w:rPr>
      </w:pPr>
    </w:p>
    <w:p w14:paraId="34976D4B" w14:textId="77777777" w:rsidR="002D5BF9" w:rsidRDefault="002D5BF9" w:rsidP="002D5BF9">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b/>
          <w:color w:val="000000" w:themeColor="text1"/>
          <w:sz w:val="56"/>
          <w:szCs w:val="56"/>
        </w:rPr>
      </w:pPr>
    </w:p>
    <w:p w14:paraId="791BF22C" w14:textId="2A6660AC" w:rsidR="002D5BF9" w:rsidRPr="00CB0C61" w:rsidRDefault="002D5BF9" w:rsidP="002D5BF9">
      <w:pPr>
        <w:pStyle w:val="atitulo1"/>
        <w:jc w:val="center"/>
        <w:rPr>
          <w:color w:val="000000" w:themeColor="text1"/>
          <w:sz w:val="76"/>
          <w:szCs w:val="76"/>
        </w:rPr>
      </w:pPr>
      <w:bookmarkStart w:id="106" w:name="_Toc151635615"/>
      <w:r>
        <w:rPr>
          <w:color w:val="000000" w:themeColor="text1"/>
          <w:sz w:val="76"/>
        </w:rPr>
        <w:t>ERANSKINAK</w:t>
      </w:r>
      <w:bookmarkEnd w:id="106"/>
    </w:p>
    <w:p w14:paraId="5F9DA2E5" w14:textId="77777777" w:rsidR="002D5BF9" w:rsidRPr="00033257" w:rsidRDefault="002D5BF9" w:rsidP="00345C6C">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i/>
          <w:color w:val="000000" w:themeColor="text1"/>
        </w:rPr>
      </w:pPr>
    </w:p>
    <w:p w14:paraId="6FFBD3EC" w14:textId="77777777" w:rsidR="00345C6C" w:rsidRPr="00033257" w:rsidRDefault="00345C6C" w:rsidP="00345C6C">
      <w:pPr>
        <w:spacing w:after="0"/>
        <w:ind w:firstLine="0"/>
        <w:jc w:val="left"/>
        <w:rPr>
          <w:rFonts w:ascii="Arial" w:hAnsi="Arial"/>
          <w:i/>
          <w:iCs/>
          <w:color w:val="000000" w:themeColor="text1"/>
          <w:spacing w:val="10"/>
          <w:kern w:val="28"/>
          <w:sz w:val="25"/>
          <w:szCs w:val="26"/>
        </w:rPr>
      </w:pPr>
      <w:r>
        <w:br w:type="page"/>
      </w:r>
    </w:p>
    <w:p w14:paraId="5975D187" w14:textId="77777777" w:rsidR="00345C6C" w:rsidRPr="00033257" w:rsidRDefault="00345C6C" w:rsidP="00345C6C">
      <w:pPr>
        <w:pStyle w:val="atitulo1"/>
        <w:rPr>
          <w:color w:val="000000" w:themeColor="text1"/>
          <w:sz w:val="28"/>
          <w:szCs w:val="28"/>
        </w:rPr>
      </w:pPr>
      <w:bookmarkStart w:id="107" w:name="_Toc529773890"/>
      <w:bookmarkStart w:id="108" w:name="_Toc24100150"/>
      <w:bookmarkStart w:id="109" w:name="_Toc52348328"/>
      <w:bookmarkStart w:id="110" w:name="_Toc151635616"/>
      <w:r>
        <w:rPr>
          <w:color w:val="000000" w:themeColor="text1"/>
          <w:sz w:val="28"/>
        </w:rPr>
        <w:lastRenderedPageBreak/>
        <w:t>I. eranskina. Toki-entitateetan aplikatzekoa den araudia</w:t>
      </w:r>
      <w:bookmarkEnd w:id="107"/>
      <w:bookmarkEnd w:id="108"/>
      <w:bookmarkEnd w:id="109"/>
      <w:bookmarkEnd w:id="110"/>
    </w:p>
    <w:p w14:paraId="51E947BE" w14:textId="31AD1147" w:rsidR="00DA0F30" w:rsidRDefault="00DA0F30" w:rsidP="00FB4B12">
      <w:pPr>
        <w:pStyle w:val="Ttulo2"/>
        <w:spacing w:after="120"/>
        <w:ind w:firstLine="0"/>
        <w:rPr>
          <w:b w:val="0"/>
          <w:i w:val="0"/>
          <w:sz w:val="25"/>
          <w:szCs w:val="25"/>
        </w:rPr>
      </w:pPr>
      <w:bookmarkStart w:id="111" w:name="_Toc151635617"/>
      <w:r>
        <w:rPr>
          <w:b w:val="0"/>
          <w:i w:val="0"/>
          <w:sz w:val="25"/>
        </w:rPr>
        <w:t>2021ean onetsi eta Nafarroako toki sektore publikoan aplikatzekoak diren arau nagusiak</w:t>
      </w:r>
      <w:bookmarkEnd w:id="111"/>
      <w:r>
        <w:rPr>
          <w:b w:val="0"/>
          <w:i w:val="0"/>
          <w:sz w:val="25"/>
        </w:rPr>
        <w:t xml:space="preserve"> </w:t>
      </w:r>
    </w:p>
    <w:p w14:paraId="577C99D9" w14:textId="567C3417" w:rsidR="00FC6901" w:rsidRPr="00FC6901" w:rsidRDefault="00FC6901" w:rsidP="00FC6901">
      <w:pPr>
        <w:pStyle w:val="Prrafodelista"/>
        <w:spacing w:after="120"/>
        <w:ind w:left="0" w:firstLine="272"/>
        <w:jc w:val="both"/>
        <w:rPr>
          <w:color w:val="000000" w:themeColor="text1"/>
          <w:spacing w:val="6"/>
          <w:sz w:val="26"/>
          <w:szCs w:val="26"/>
        </w:rPr>
      </w:pPr>
      <w:r>
        <w:rPr>
          <w:color w:val="000000" w:themeColor="text1"/>
          <w:sz w:val="26"/>
        </w:rPr>
        <w:t xml:space="preserve">Txosten honen IV.3 puntuan aipatutakoez gain, 2021ean Nafarroako toki sektore publikoan aplikatzekoak diren arau garrantzitsu hauek onetsi dira: </w:t>
      </w:r>
    </w:p>
    <w:p w14:paraId="0DDBCBA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7/2021 Legea, maiatzaren 20koa, Klima Aldaketari eta Trantsizio Energetikoari buruzkoa.</w:t>
      </w:r>
    </w:p>
    <w:p w14:paraId="5266BA9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20/2021 Legea, abenduaren 28koa, enplegu publikoan aldi baterako lana murrizteko presako neurriei buruzkoa.</w:t>
      </w:r>
    </w:p>
    <w:p w14:paraId="05D86122"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 xml:space="preserve">203/2021 Errege Dekretua, martxoaren 30ekoa, sektore publikoak bitarteko elektronikoen bidez jarduteko eta funtzionatzeko Erregelamendua onesten duena. </w:t>
      </w:r>
    </w:p>
    <w:p w14:paraId="7DB1C2BE" w14:textId="11232AAC" w:rsidR="00BB7161" w:rsidRPr="00D569F4"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Diputatuen Kongresuaren Erabakia, 2021eko irailaren 13koa, zeinaren bidez aitortzen baita badela ezohiko larrialdi egoera bat, Konstituzioaren 135.4 artikuluan eta Aurrekontu Egonkortasunari eta Finantza Iraunkortasunari buruzko apirilaren 27ko 2/2012 Lege Organikoaren 11.3 artikuluan ezarritako ondorioetarako</w:t>
      </w:r>
      <w:r w:rsidR="00BB7161" w:rsidRPr="00033257">
        <w:rPr>
          <w:rStyle w:val="Refdenotaalpie"/>
        </w:rPr>
        <w:footnoteReference w:id="6"/>
      </w:r>
      <w:r>
        <w:t xml:space="preserve">. </w:t>
      </w:r>
    </w:p>
    <w:p w14:paraId="73EC02A0"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 xml:space="preserve">17/2021 Foru Legea, urriaren 21ekoa, zeinaren bitartez aldatzen baita 2/2018 Foru Legea, apirilaren 13koa, Kontratu Publikoei buruzkoa. </w:t>
      </w:r>
    </w:p>
    <w:p w14:paraId="78AFA9F2"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18/2021 Foru Legea, abenduaren 29koa, 2022rako Nafarroako Aurrekontu Orokorrei buruzkoa.</w:t>
      </w:r>
    </w:p>
    <w:p w14:paraId="58DF28D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19/2021 Foru Legea, abenduaren 29koa, zenbait zerga aldatu eta beste tributu-neurri batzuk hartzeari buruzkoa.</w:t>
      </w:r>
    </w:p>
    <w:p w14:paraId="108B9A58"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20/2021 Foru Legea, abenduaren 29koa, Nafarroako Toki Ogasunei buruzko martxoaren 10eko 2/1995 Foru Legea aldatzen duena.</w:t>
      </w:r>
    </w:p>
    <w:p w14:paraId="17874D0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106/2021 Foru Dekretua, abenduaren 1ekoa, Kontratu Publikoei buruzko apirilaren 13ko 2/2018 Foru Legearen Europako atalaseak eguneratzen dituena.</w:t>
      </w:r>
    </w:p>
    <w:p w14:paraId="459F4D36" w14:textId="77777777" w:rsidR="00E2078D" w:rsidRDefault="00E2078D">
      <w:pPr>
        <w:spacing w:after="0"/>
        <w:ind w:firstLine="0"/>
        <w:jc w:val="left"/>
        <w:rPr>
          <w:rFonts w:ascii="Arial" w:hAnsi="Arial" w:cs="Arial"/>
          <w:bCs/>
          <w:iCs/>
          <w:sz w:val="25"/>
          <w:szCs w:val="25"/>
        </w:rPr>
      </w:pPr>
      <w:r>
        <w:br w:type="page"/>
      </w:r>
    </w:p>
    <w:p w14:paraId="5DF941A0" w14:textId="2E9DDF87" w:rsidR="00DA0F30" w:rsidRDefault="00DA0F30" w:rsidP="00FB4B12">
      <w:pPr>
        <w:pStyle w:val="Ttulo2"/>
        <w:spacing w:before="0" w:after="120"/>
        <w:ind w:firstLine="0"/>
        <w:rPr>
          <w:b w:val="0"/>
          <w:i w:val="0"/>
          <w:sz w:val="25"/>
          <w:szCs w:val="25"/>
        </w:rPr>
      </w:pPr>
      <w:bookmarkStart w:id="112" w:name="_Toc151635618"/>
      <w:r>
        <w:rPr>
          <w:b w:val="0"/>
          <w:i w:val="0"/>
          <w:sz w:val="25"/>
        </w:rPr>
        <w:lastRenderedPageBreak/>
        <w:t>2021ean Nafarroako toki sektore publikoan aplikatzekoak diren arau nagusiak</w:t>
      </w:r>
      <w:bookmarkEnd w:id="112"/>
    </w:p>
    <w:p w14:paraId="79950705" w14:textId="4EDAEB4D" w:rsidR="00FC6901" w:rsidRPr="00FC6901" w:rsidRDefault="00FC6901" w:rsidP="00FC6901">
      <w:pPr>
        <w:pStyle w:val="Prrafodelista"/>
        <w:spacing w:after="120"/>
        <w:ind w:left="0" w:firstLine="272"/>
        <w:jc w:val="both"/>
        <w:rPr>
          <w:color w:val="000000" w:themeColor="text1"/>
          <w:spacing w:val="6"/>
          <w:sz w:val="26"/>
          <w:szCs w:val="26"/>
        </w:rPr>
      </w:pPr>
      <w:r>
        <w:rPr>
          <w:color w:val="000000" w:themeColor="text1"/>
          <w:sz w:val="26"/>
        </w:rPr>
        <w:t>Jarraian, Nafarroako toki sektore publikoan 2021ean aplikatzekoak diren arau nagusiak zerrendatu ditugu, aurreko atalean aipatutakoez gain.</w:t>
      </w:r>
    </w:p>
    <w:p w14:paraId="34184729" w14:textId="77777777" w:rsidR="00BB7161" w:rsidRPr="00033257" w:rsidRDefault="00BB7161" w:rsidP="00BB7161">
      <w:pPr>
        <w:pStyle w:val="texto"/>
        <w:ind w:firstLine="0"/>
        <w:rPr>
          <w:b/>
          <w:color w:val="000000" w:themeColor="text1"/>
          <w:szCs w:val="26"/>
        </w:rPr>
      </w:pPr>
      <w:r>
        <w:rPr>
          <w:b/>
          <w:color w:val="000000" w:themeColor="text1"/>
        </w:rPr>
        <w:t xml:space="preserve">a) Toki administrazioa eta araubidea </w:t>
      </w:r>
    </w:p>
    <w:p w14:paraId="4353037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Espainiako Konstituzioa.</w:t>
      </w:r>
    </w:p>
    <w:p w14:paraId="354F281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13/1982 Lege Organikoa, abuztuaren 10ekoa, Nafarroako foru eraentza berrezarri eta hobetzeari buruzkoa.</w:t>
      </w:r>
    </w:p>
    <w:p w14:paraId="0DC37388"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7/1985 Legea, apirilaren 2koa, toki araubidearen oinarriak arautzen dituena.</w:t>
      </w:r>
    </w:p>
    <w:p w14:paraId="5A2A1C26"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19/2013 Legea, abenduaren 9koa, gardentasunari, informazio publikoa eskuratzeari eta gobernu onari buruzkoa.</w:t>
      </w:r>
    </w:p>
    <w:p w14:paraId="23D07F5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39/2015 Legea, urriaren 1ekoa, administrazio publikoen administrazio prozedura erkideari buruzkoa.</w:t>
      </w:r>
    </w:p>
    <w:p w14:paraId="565995C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40/2015 Legea, urriaren 1ekoa, sektore publikoaren araubide juridikoari buruzkoa.</w:t>
      </w:r>
    </w:p>
    <w:p w14:paraId="081CD622"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6/2019 Errege Lege Dekretua, martxoaren 1ekoa, premiazko neurriak ezartzen dituena emakumeen eta gizonen arteko tratu eta aukera berdintasuna bermatzeko enplegu eta lanaren arloan. </w:t>
      </w:r>
    </w:p>
    <w:p w14:paraId="681F2199"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14/2019 Errege Lege Dekretua, urriaren 31koa, zeinaz presako neurriak hartzen baitira segurtasun publikoko arrazoiengatik administrazio digitalaren, sektore publikoko kontratazioaren eta telekomunikazioen arloan.</w:t>
      </w:r>
    </w:p>
    <w:p w14:paraId="465E358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6/1990 Foru Legea, uztailaren 2koa, Nafarroako Toki Administrazioari buruzkoa.</w:t>
      </w:r>
    </w:p>
    <w:p w14:paraId="3B88E456"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5/2018 Foru Legea, maiatzaren 17koa, Gardentasunari, informazio publikoa eskuratzeari eta gobernu onari buruzkoa.</w:t>
      </w:r>
    </w:p>
    <w:p w14:paraId="79DFF35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7/2018 Foru Legea, maiatzaren 17koa, Nafarroako Foru Komunitateko jardunbide egokien aldeko eta ustelkeriaren kontrako Bulegoa sortzekoa.</w:t>
      </w:r>
    </w:p>
    <w:p w14:paraId="7C9CAC79"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12/2018 Foru Legea, ekainaren 14koa, Irisgarritasun Unibertsalari buruzkoa.</w:t>
      </w:r>
    </w:p>
    <w:p w14:paraId="5DA930C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4/2019 Foru Legea, otsailaren 4koa, Nafarroako Toki Administrazioaren erreformarakoa.</w:t>
      </w:r>
    </w:p>
    <w:p w14:paraId="27991B45" w14:textId="77777777" w:rsidR="00BB7161" w:rsidRPr="00E2078D"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spacing w:val="0"/>
        </w:rPr>
      </w:pPr>
      <w:r>
        <w:rPr>
          <w:color w:val="000000" w:themeColor="text1"/>
        </w:rPr>
        <w:t>12/2019 Foru Legea, martxoaren 22koa, Nafarroako parte-hartze demokratikoari buruzkoa.</w:t>
      </w:r>
    </w:p>
    <w:p w14:paraId="5571E206"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17/2019 Foru Legea, apirilaren 4koa, emakumeen eta gizonen arteko berdintasunari buruzkoa.</w:t>
      </w:r>
    </w:p>
    <w:p w14:paraId="5E4FD13B"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lastRenderedPageBreak/>
        <w:t>84/2017 Foru Agindua, otsailaren 16koa, Landa Garapeneko, Ingurumeneko eta Toki Administrazioko kontseilariak emana, 2017-2019 aldirako Toki Inbertsioen Plana arautzen duen abenduaren 13ko 18/2016 Foru Legearen 20. artikuluan aurreikusitako klausula soziala aplikatzeko modua arautzen duena.</w:t>
      </w:r>
    </w:p>
    <w:p w14:paraId="6ABE4C7F" w14:textId="77777777" w:rsidR="00BB7161" w:rsidRPr="00033257" w:rsidRDefault="00BB7161" w:rsidP="00BB7161">
      <w:pPr>
        <w:pStyle w:val="texto"/>
        <w:spacing w:before="240"/>
        <w:ind w:firstLine="0"/>
        <w:rPr>
          <w:b/>
          <w:color w:val="000000" w:themeColor="text1"/>
          <w:szCs w:val="26"/>
        </w:rPr>
      </w:pPr>
      <w:r>
        <w:rPr>
          <w:b/>
          <w:color w:val="000000" w:themeColor="text1"/>
        </w:rPr>
        <w:t xml:space="preserve">b) Araubide ekonomikoa, aurrekontukoa eta kontabilitatekoa </w:t>
      </w:r>
    </w:p>
    <w:p w14:paraId="4FAE7459"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Kontabilitate Publikoko Plan Orokorra, Toki Administrazioari egokitua, Ekonomia eta Ogasun Ministerioaren 1990eko uztailaren 17ko Ministro Aginduaren bidez onartua, irailaren 21eko 272/1998 Foru Dekretuaren bidez onetsitako Kontabilitatearen Instrukzio Orokorraren 425. arauan xedatutakoaren arabera aplikatzekoa.</w:t>
      </w:r>
    </w:p>
    <w:p w14:paraId="01A3114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2/1995 Foru Legea, martxoaren 10ekoa, Nafarroako toki ogasunei buruzkoa. </w:t>
      </w:r>
    </w:p>
    <w:p w14:paraId="455EB79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7/1996 Foru Legea, maiatzaren 28koa, jarduera ekonomikoen gaineko zergaren tarifei eta jarraibideei buruzkoa.</w:t>
      </w:r>
    </w:p>
    <w:p w14:paraId="69AFC42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12/2006 Foru Legea, azaroaren 21ekoa, Nafarroako Lurralde Aberastasunaren Erregistroari eta katastroei buruzkoa.</w:t>
      </w:r>
    </w:p>
    <w:p w14:paraId="35697ABC" w14:textId="65E11E9F"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18/2016 Foru Legea, abenduaren 13koa, 2017-2019 aldirako Toki Inbertsioen Plana arautzen duena, zeina urtarrilaren 23ko 2/2020 Foru Legearen bidez aldatu eta luzatu baitzen.</w:t>
      </w:r>
    </w:p>
    <w:p w14:paraId="3BF1D7A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3/2020 Foru Legea, otsailaren 27koa, toki ogasunek transferentzia arrunten eta beste laguntza batzuen kontzeptuetan Nafarroako tributuetan duten parte-hartzearen funtsaren zenbatekoa eta banaketa ezartzen dituena 2020. urterako.</w:t>
      </w:r>
    </w:p>
    <w:p w14:paraId="18AD186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t>20/2020 Foru Legea, abenduaren 29koa, 2021erako Nafarroako Aurrekontu Orokorrei buruzkoa.</w:t>
      </w:r>
    </w:p>
    <w:p w14:paraId="0F382D2B"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Irailaren 21eko 270/1998 Foru Dekretua, irailaren 23ko 234/2015 Foru Dekretua, eta irailaren 21eko 272/1998 eta 273/1998 foru dekretuak, aurrekontuari eta gastu publikoari buruzkoa, aurrekontu egiturari buruzkoa, eta Nafarroako Toki Administrazioarentzat Kontabilitate Orokorreko Instrukzio Orokorra eta Kontabilitate Erraztua onestekoak, hurrenez hurren.</w:t>
      </w:r>
    </w:p>
    <w:p w14:paraId="0A7EE84D" w14:textId="77777777" w:rsidR="00BB7161" w:rsidRPr="00033257" w:rsidRDefault="00BB7161" w:rsidP="00BB7161">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Pr>
          <w:b/>
          <w:color w:val="000000" w:themeColor="text1"/>
        </w:rPr>
        <w:t xml:space="preserve">c) Aurrekontu egonkortasuna eta finantza iraunkortasuna </w:t>
      </w:r>
    </w:p>
    <w:p w14:paraId="192437F0"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2/2012 Lege Organikoa, apirilaren 27koa, aurrekontu-egonkortasunari eta finantza-iraunkortasunari buruzkoa.</w:t>
      </w:r>
    </w:p>
    <w:p w14:paraId="44A8FF9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9/2013 Lege Organikoa, abenduaren 20koa, sektore publikoan merkataritza-zorra kontrolatzeari buruzkoa.</w:t>
      </w:r>
    </w:p>
    <w:p w14:paraId="56891298"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6/2015 Lege Organikoa, ekainaren 12koa, honako hauek aldatzekoa: Autonomia-erkidegoak Finantzatzeari buruzko irailaren 22ko 8/1980 Lege Organikoa eta Aurrekontu-egonkortasunari eta Finantza-iraunkortasunari buruzko apirilaren 27ko 2/2012 Lege Organikoa.</w:t>
      </w:r>
    </w:p>
    <w:p w14:paraId="7C06CCAA" w14:textId="77777777" w:rsidR="00AE3136" w:rsidRPr="00033257" w:rsidRDefault="3835E17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lastRenderedPageBreak/>
        <w:t xml:space="preserve">3/2004 Legea, abenduaren 29koa, neurriak ezartzen dituena merkataritza-eragiketetako berankortasunaren aurka. </w:t>
      </w:r>
    </w:p>
    <w:p w14:paraId="79F78EE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25/2013 Legea, abenduaren 27koa, Sektore publikoan faktura elektronikoa bultzatzeari eta fakturen kontabilitate-erregistroa sortzeari buruzkoa.</w:t>
      </w:r>
    </w:p>
    <w:p w14:paraId="54F2DA9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27/2013 Legea, abenduaren 27koa, Toki Administrazioaren Arrazionalizazio eta Iraunkortasunari buruzkoa. </w:t>
      </w:r>
    </w:p>
    <w:p w14:paraId="5CD0528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8/2013 Errege Lege Dekretua, ekainaren 28koa, administrazio publikoen berankortasunaren aurkako presako neurriei eta finantza-arazoak dituzten toki-entitateei laguntzeari buruzkoa.</w:t>
      </w:r>
    </w:p>
    <w:p w14:paraId="5BA3162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17/2014 Errege Lege Dekretua, abenduaren 26koa, autonomia-erkidegoen eta toki-entitateen finantza-iraunkortasunerako neurriei eta bestelako neurri ekonomikoei buruzkoa. </w:t>
      </w:r>
    </w:p>
    <w:p w14:paraId="0F7E4AB2"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10/2019 Errege Lege Dekretua, martxoaren 29koa, zeinaren bidez, batetik, 2019rako luzatzen baita finantzen aldetik jasangarriak diren inbertsioetarako autonomia-erkidegoen eta toki-entitateen superabitaren xedea eta, bestetik, beste neurri batzuk hartzen baitira toki-entitateetan gaikuntza nazionala duten langileen eginkizunari dagokionez. </w:t>
      </w:r>
    </w:p>
    <w:p w14:paraId="26996604"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HAP/2105/2012 Agindua, urriaren 1ekoa, Aurrekontu Egonkortasunari eta Finantza Iraunkortasunari buruzko apirilaren 27ko 2/2012 Lege Organikoan informazioa emateko aurreikusitako betebeharrak garatzekoa.</w:t>
      </w:r>
    </w:p>
    <w:p w14:paraId="77651D54"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2017ko uztailaren 4ko Ebazpena, Altxorraren eta Finantza Politikaren Idazkaritza Nagusiarena, zeinaren bidez definitzen baita zorpetze-eragiketei eta autonomia-erkidegoetatik eta toki-entitateetatik heldutakoei aplikatzekoa zaien zuhurtasun finantzarioa.</w:t>
      </w:r>
    </w:p>
    <w:p w14:paraId="249828D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27/2012 Foru Legea, abenduaren 28koa, zeinaren bidez Nafarroako Foru Komunitatean neurriak hartzen baitira aurrekontu-oreka bermatzeko eta lehiakortasuna sustatzeko.</w:t>
      </w:r>
    </w:p>
    <w:p w14:paraId="37D21804" w14:textId="77777777" w:rsidR="00BB7161" w:rsidRPr="00033257" w:rsidRDefault="00BB7161" w:rsidP="00BB7161">
      <w:pPr>
        <w:pStyle w:val="texto"/>
        <w:tabs>
          <w:tab w:val="clear" w:pos="2835"/>
          <w:tab w:val="clear" w:pos="3969"/>
          <w:tab w:val="clear" w:pos="5103"/>
          <w:tab w:val="clear" w:pos="6237"/>
          <w:tab w:val="clear" w:pos="7371"/>
          <w:tab w:val="left" w:pos="480"/>
          <w:tab w:val="num" w:pos="720"/>
        </w:tabs>
        <w:ind w:firstLine="0"/>
        <w:rPr>
          <w:b/>
          <w:color w:val="000000" w:themeColor="text1"/>
          <w:szCs w:val="26"/>
        </w:rPr>
      </w:pPr>
      <w:r>
        <w:rPr>
          <w:b/>
          <w:color w:val="000000" w:themeColor="text1"/>
        </w:rPr>
        <w:t xml:space="preserve">d) Kontratazio administratiboa </w:t>
      </w:r>
    </w:p>
    <w:p w14:paraId="4A087591" w14:textId="77777777" w:rsidR="006812B8" w:rsidRPr="00033257" w:rsidRDefault="01C3557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rPr>
          <w:color w:val="000000" w:themeColor="text1"/>
        </w:rPr>
      </w:pPr>
      <w:r>
        <w:rPr>
          <w:color w:val="000000" w:themeColor="text1"/>
        </w:rPr>
        <w:t>6/2006 Foru Legea, ekainaren 9koa, kontratu publikoei buruzkoa (2/2018 Foru Legeak indarra hartu zuen egunean jada administrazio klausula partikularren edo baldintza arautzaileen agiriak onetsita zeuzkaten kontratuetarako).</w:t>
      </w:r>
    </w:p>
    <w:p w14:paraId="572699A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2/2018 Foru Legea, apirilaren 13koa, kontratu publikoei buruzkoa.</w:t>
      </w:r>
    </w:p>
    <w:p w14:paraId="30C26396" w14:textId="77777777" w:rsidR="00BB7161" w:rsidRPr="00033257" w:rsidRDefault="3E974FF2" w:rsidP="3710BB4A">
      <w:pPr>
        <w:pStyle w:val="texto"/>
        <w:spacing w:before="240"/>
        <w:ind w:firstLine="0"/>
        <w:rPr>
          <w:b/>
          <w:bCs/>
          <w:color w:val="000000" w:themeColor="text1"/>
        </w:rPr>
      </w:pPr>
      <w:r>
        <w:rPr>
          <w:b/>
          <w:color w:val="000000" w:themeColor="text1"/>
        </w:rPr>
        <w:t xml:space="preserve">e) Langileak  </w:t>
      </w:r>
    </w:p>
    <w:p w14:paraId="2385B9A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11/2020 Legea, abenduaren 30ekoa, Estatuaren 2021erako Aurrekontu Orokorrei buruzkoa.</w:t>
      </w:r>
    </w:p>
    <w:p w14:paraId="20E6E4F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lastRenderedPageBreak/>
        <w:t>2/2015 Legegintzako Errege Dekretua, urriaren 23koa, Langileen Estatutuaren Legearen testu bategina onesten duena.</w:t>
      </w:r>
    </w:p>
    <w:p w14:paraId="4043131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4/2015 Errege Lege-dekretua, martxoaren 22koa, lan arloan enplegurako lanbide heziketaren sistema presaz erreformatzekoa.</w:t>
      </w:r>
    </w:p>
    <w:p w14:paraId="3727473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23/2018 Foru Legea, azaroaren 19koa, Nafarroako Poliziei buruzkoa.</w:t>
      </w:r>
    </w:p>
    <w:p w14:paraId="28A8D0D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251/1993 Legegintzako Foru Dekretua, abuztuaren 30ekoa, Nafarroako Administrazio Publikoen zerbitzuko Langileen Estatutuaren testu bategina onesten duena, bai eta hura garatzeko xedapenak ere.</w:t>
      </w:r>
    </w:p>
    <w:p w14:paraId="0BC37CC4"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10/2020 Foru  Lege-dekretua, irailaren 16koa, zeinaren bidez neurri batzuk onesten baitira Nafarroako Foru Komunitateko Administrazioaren eta haren erakunde autonomoen zerbitzuko langileen arlokoak.</w:t>
      </w:r>
    </w:p>
    <w:p w14:paraId="4B77A5C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158/1984 Foru Dekretua, uztailaren 4koa, Nafarroako Administrazio Publikoen zerbitzuko langileen ordainsariei buruzko behin-behineko Erregelamendua onesten duena.</w:t>
      </w:r>
    </w:p>
    <w:p w14:paraId="5FD5F3E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113/1985 Foru Dekretua, ekainaren 5ekoa, Nafarroako administrazio publikoetan sartzeari buruzko erregelamendua onesten duena.</w:t>
      </w:r>
    </w:p>
    <w:p w14:paraId="6B94941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215/1985 Foru Dekretua, azaroaren 6koa, Nafarroako Administrazio Publikoetako lanpostuak betetzeko erregelamendua onesten duena</w:t>
      </w:r>
    </w:p>
    <w:p w14:paraId="5AA8134F" w14:textId="77777777" w:rsidR="006812B8" w:rsidRPr="00033257" w:rsidRDefault="01C3557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11/2009 Foru Dekretua, otsailaren 9koa, Nafarroako Administrazio Publikoetako funtzionarioen opor, lizentzia eta baimenen erregelamendua onesten duena. </w:t>
      </w:r>
    </w:p>
    <w:p w14:paraId="5E3925C1" w14:textId="77777777" w:rsidR="00BB7161" w:rsidRPr="00033257" w:rsidRDefault="00BB7161" w:rsidP="00BB7161">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Pr>
          <w:b/>
          <w:color w:val="000000" w:themeColor="text1"/>
        </w:rPr>
        <w:t xml:space="preserve">f) Dirulaguntzak </w:t>
      </w:r>
    </w:p>
    <w:p w14:paraId="4D08550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38/2003 Lege Orokorra, azaroaren 17koa, Dirulaguntzei buruzkoa.</w:t>
      </w:r>
    </w:p>
    <w:p w14:paraId="1D9648B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887/2006 Errege Dekretua, uztailaren 21ekoa, Dirulaguntzei buruzko azaroaren 17ko 38/2003 Lege Orokorraren Erregelamendua onesten duena.</w:t>
      </w:r>
    </w:p>
    <w:p w14:paraId="75BB1418" w14:textId="77777777" w:rsidR="00BB7161" w:rsidRPr="00033257" w:rsidRDefault="00BB7161" w:rsidP="00BB7161">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Pr>
          <w:b/>
          <w:color w:val="000000" w:themeColor="text1"/>
        </w:rPr>
        <w:t>g) Hirigintza, ingurumena, energia eta beste arlo batzuk</w:t>
      </w:r>
    </w:p>
    <w:p w14:paraId="6BB2EC6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7/2003 Foru Legea, otsailaren 14koa, Nafarroako turismoari buruzkoa.</w:t>
      </w:r>
    </w:p>
    <w:p w14:paraId="74A7EA1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8/2005 Foru Legea, uztailaren 1ekoa, Nafarroako babes zibilari eta larrialdien kudeaketari buruzkoa.</w:t>
      </w:r>
    </w:p>
    <w:p w14:paraId="55E7C81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13/2017 Foru Legea, azaroaren 16koa, Osasunaren eta Gizarte Zerbitzuen arloetako itun sozialak arautzen dituena.</w:t>
      </w:r>
    </w:p>
    <w:p w14:paraId="00A4048A"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14/2018 Foru Legea, ekainaren 18koa, Hondakinei eta haien Fiskalitateari buruzkoa.</w:t>
      </w:r>
    </w:p>
    <w:p w14:paraId="4F327D0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17/2020 Foru Legea, abenduaren 16koa, ingurumenean eragina duten jarduerak arautzen dituena. </w:t>
      </w:r>
    </w:p>
    <w:p w14:paraId="19243A1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lastRenderedPageBreak/>
        <w:t>18/2020 Foru Legea, abenduaren 16koa, enpresen sustraitzearen aldeko eta enpresen deslokalizazioaren aurkako neurriei buruzkoa..</w:t>
      </w:r>
    </w:p>
    <w:p w14:paraId="6853FBD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1/2017 Legegintzako Foru Dekretua, uztailaren 26koa, Lurraldearen Antolamenduari eta Hirigintzari buruzko Foru Legearen testu bategina onesten duena.</w:t>
      </w:r>
    </w:p>
    <w:p w14:paraId="7DBB5BED" w14:textId="77777777" w:rsidR="00210333"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48/2020 Foru Dekretua, uztailaren 15ekoa, zeinaren bidez arautzen baitira oinarrizko gizarte zerbitzuen oinarrizko programak eta finantzaketa sistema.</w:t>
      </w:r>
    </w:p>
    <w:p w14:paraId="6BC49E87" w14:textId="77777777" w:rsidR="00BB7161" w:rsidRPr="00033257" w:rsidRDefault="00210333" w:rsidP="00210333">
      <w:pPr>
        <w:pStyle w:val="texto"/>
        <w:tabs>
          <w:tab w:val="num" w:pos="786"/>
        </w:tabs>
        <w:ind w:firstLine="0"/>
        <w:rPr>
          <w:b/>
          <w:color w:val="000000" w:themeColor="text1"/>
          <w:szCs w:val="26"/>
        </w:rPr>
      </w:pPr>
      <w:r>
        <w:rPr>
          <w:b/>
          <w:color w:val="000000" w:themeColor="text1"/>
        </w:rPr>
        <w:t>h) COVID-19 araudia</w:t>
      </w:r>
    </w:p>
    <w:p w14:paraId="69075DB2"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8/2020 Errege Lege-dekretua, martxoaren 17koa, COVID-19aren inpaktu ekonomiko eta sozialari aurre egiteko presako neurri bereziei buruzkoa.</w:t>
      </w:r>
    </w:p>
    <w:p w14:paraId="5AA2750A"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11/2020 Errege Lege-dekretua, martxoaren 31koa, COVID-19ari aurre egiteko arlo sozial eta ekonomikoan premiazko neurri osagarriak ezartzen dituena. </w:t>
      </w:r>
    </w:p>
    <w:p w14:paraId="2570F8BF"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23/2020 Errege Lege-dekretua, ekainaren 23koa, ekonomia biziberritzeko neurriak onesten dituena energiaren arloan eta beste arlo batzuetan.</w:t>
      </w:r>
    </w:p>
    <w:p w14:paraId="7A037161"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Diputatuen Kongresuaren Erabakia, 2020ko urriaren 20koa, zeinaren bidez aitortzen baita badela ezohiko larrialdi egoera bat, 2020an eta 2021ean arau fiskalak aldi baterako etetea justifikatzen duena. </w:t>
      </w:r>
    </w:p>
    <w:p w14:paraId="712186B4"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6/2020 Foru Legea, apirilaren 6koa, premiazko neurriak onesten dituena COVID-19aren osasun krisiak eragindako inpaktuari aurre egiteko.</w:t>
      </w:r>
    </w:p>
    <w:p w14:paraId="2E3999F5"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7/2020 Foru Legea, apirilaren 6koa, premiazko neurriak onesten dituena COVID-19aren osasun krisiak eragindako inpaktuari aurre egiteko. </w:t>
      </w:r>
    </w:p>
    <w:p w14:paraId="72D41B80"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13/2020 Foru Legea, uztailaren 1ekoa, 25 milioi euroko aparteko kreditu bat eman, arautu eta banatzekoa, Nafarroako Toki Ogasunen parte-hartzearen funtsaren kargura, COVID-19ak eragindako osasun publikoko arrazoiak direla-eta hartu behar izan diren ohiz kanpoko neurri urgenteengatik toki-entitateek dituzten beharrei erantzuteko.</w:t>
      </w:r>
    </w:p>
    <w:p w14:paraId="4E2FF2FD"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5/2020 Foru Lege-dekretua, maiatzaren 20koa, premiazko neurriak onesten dituena koronabirusaren (COVID-19a) osasun krisiak eragindako inpaktuari aurre egiteko.</w:t>
      </w:r>
    </w:p>
    <w:p w14:paraId="48744C9D" w14:textId="43E9284F" w:rsidR="00BB7161" w:rsidRPr="00FC6901" w:rsidRDefault="00BB716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Nafarroako Foru Komunitateko lehendakariaren Foru Dekretuak, SARS-COV-2 birusak eragindako infekzioen hedapena geldiarazteko prebentzio neurriei buruzkoak: 2/2021 (urtarrilaren 13koa), 3/2021 (urtarrilaren 13koa), 6/2021 (otsailaren 9koa), 7/2021 (otsailaren 23koa), 8/2021 (martxoaren 9koa), 9/2021 (martxoaren 12koa), 10/2021 (martxoaren 23koa), 11/2021 (martxoaren 25ekoa).</w:t>
      </w:r>
    </w:p>
    <w:p w14:paraId="403716D3" w14:textId="70AB7D9C" w:rsidR="00210333" w:rsidRPr="00033257" w:rsidRDefault="00210333" w:rsidP="00210333">
      <w:pPr>
        <w:pStyle w:val="texto"/>
        <w:tabs>
          <w:tab w:val="num" w:pos="786"/>
        </w:tabs>
        <w:ind w:firstLine="0"/>
        <w:rPr>
          <w:b/>
          <w:color w:val="000000" w:themeColor="text1"/>
          <w:szCs w:val="26"/>
        </w:rPr>
      </w:pPr>
      <w:r>
        <w:rPr>
          <w:b/>
          <w:color w:val="000000" w:themeColor="text1"/>
        </w:rPr>
        <w:t>i) Europako ‘Next generation EU’ funtsak</w:t>
      </w:r>
    </w:p>
    <w:p w14:paraId="6D310A51" w14:textId="77777777" w:rsidR="00210333"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36/2020 Errege Lege-dekretua, abenduaren 30ekoa, premiazko neurriak onesten dituena Administrazio Publikoa modernizatzeko eta Suspertze, Eraldatze eta Erresilientzia Plana gauzatzeko.</w:t>
      </w:r>
    </w:p>
    <w:p w14:paraId="02BA130D" w14:textId="550AC32C" w:rsidR="00210333"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lastRenderedPageBreak/>
        <w:t>4/2021 Foru Lege Dekretua, apirilaren 14koa, zeinaren bidez premiazko neurriak onesten baitira Suspertzerako Europako Bitartekoetatik heltzen diren funtsen bidez finantzatzen ahal diren jarduketak kudeatzeko eta betetzeko.</w:t>
      </w:r>
    </w:p>
    <w:p w14:paraId="002AC1D9" w14:textId="77777777" w:rsidR="00BB7161"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sz w:val="28"/>
          <w:szCs w:val="28"/>
        </w:rPr>
      </w:pPr>
      <w:r>
        <w:rPr>
          <w:color w:val="000000" w:themeColor="text1"/>
        </w:rPr>
        <w:t>HFP/1030/2021 Agindua, irailaren 29koa, Suspertze, Eraldatze eta Erresilientzia Plana kudeatzeko sistema taxutzen duena.</w:t>
      </w:r>
    </w:p>
    <w:p w14:paraId="5256D8B0" w14:textId="77777777" w:rsidR="00210333" w:rsidRPr="00033257" w:rsidRDefault="00210333" w:rsidP="00210333">
      <w:pPr>
        <w:pStyle w:val="texto"/>
        <w:ind w:firstLine="0"/>
        <w:rPr>
          <w:b/>
          <w:color w:val="000000" w:themeColor="text1"/>
          <w:szCs w:val="26"/>
        </w:rPr>
      </w:pPr>
      <w:r>
        <w:rPr>
          <w:b/>
          <w:color w:val="000000" w:themeColor="text1"/>
        </w:rPr>
        <w:t>j) Toki-entitate bakoitzaren araubidea</w:t>
      </w:r>
    </w:p>
    <w:p w14:paraId="1A487FD2" w14:textId="77777777" w:rsidR="00210333"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 xml:space="preserve">Toki-entitateen aurrekontuen exekuzio oinarriak, 2021erako. </w:t>
      </w:r>
    </w:p>
    <w:p w14:paraId="4D1C2C96" w14:textId="77777777" w:rsidR="00210333"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Tasa eta prezio publikoak arautzen dituzten ordenantzak eta erabakiak.</w:t>
      </w:r>
    </w:p>
    <w:p w14:paraId="339E5571" w14:textId="77777777" w:rsidR="007D68B8"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Berariazko hitzarmen kolektiboak.</w:t>
      </w:r>
    </w:p>
    <w:p w14:paraId="3691E7B2" w14:textId="77777777" w:rsidR="00FB4B12" w:rsidRPr="00033257" w:rsidRDefault="00FB4B12" w:rsidP="005D1423">
      <w:pPr>
        <w:pStyle w:val="texto"/>
        <w:tabs>
          <w:tab w:val="clear" w:pos="2835"/>
          <w:tab w:val="clear" w:pos="3969"/>
          <w:tab w:val="clear" w:pos="5103"/>
          <w:tab w:val="clear" w:pos="6237"/>
          <w:tab w:val="clear" w:pos="7371"/>
          <w:tab w:val="left" w:pos="480"/>
          <w:tab w:val="num" w:pos="720"/>
          <w:tab w:val="num" w:pos="786"/>
          <w:tab w:val="num" w:pos="5606"/>
        </w:tabs>
        <w:ind w:left="290" w:firstLine="0"/>
        <w:rPr>
          <w:color w:val="000000" w:themeColor="text1"/>
          <w:szCs w:val="26"/>
        </w:rPr>
      </w:pPr>
      <w:r>
        <w:br w:type="page"/>
      </w:r>
    </w:p>
    <w:p w14:paraId="533DE5D4" w14:textId="77777777" w:rsidR="00345C6C" w:rsidRPr="00B81E61" w:rsidRDefault="00345C6C" w:rsidP="00345C6C">
      <w:pPr>
        <w:pStyle w:val="atitulo1"/>
        <w:rPr>
          <w:color w:val="000000" w:themeColor="text1"/>
          <w:sz w:val="28"/>
          <w:szCs w:val="28"/>
        </w:rPr>
      </w:pPr>
      <w:bookmarkStart w:id="113" w:name="_Toc402257034"/>
      <w:bookmarkStart w:id="114" w:name="_Toc465686694"/>
      <w:bookmarkStart w:id="115" w:name="_Toc529773891"/>
      <w:bookmarkStart w:id="116" w:name="_Toc24100151"/>
      <w:bookmarkStart w:id="117" w:name="_Toc52348329"/>
      <w:bookmarkStart w:id="118" w:name="_Toc151635619"/>
      <w:r>
        <w:lastRenderedPageBreak/>
        <w:t>II.</w:t>
      </w:r>
      <w:bookmarkEnd w:id="113"/>
      <w:r>
        <w:t xml:space="preserve"> eranskina.</w:t>
      </w:r>
      <w:r>
        <w:rPr>
          <w:color w:val="000000" w:themeColor="text1"/>
          <w:sz w:val="28"/>
        </w:rPr>
        <w:t xml:space="preserve"> Nafarroako toki sektore publikoaren finantza egoera 20</w:t>
      </w:r>
      <w:bookmarkEnd w:id="114"/>
      <w:bookmarkEnd w:id="115"/>
      <w:bookmarkEnd w:id="116"/>
      <w:bookmarkEnd w:id="117"/>
      <w:r>
        <w:rPr>
          <w:color w:val="000000" w:themeColor="text1"/>
          <w:sz w:val="28"/>
        </w:rPr>
        <w:t>21ean</w:t>
      </w:r>
      <w:bookmarkEnd w:id="118"/>
    </w:p>
    <w:p w14:paraId="7CBEED82" w14:textId="77777777" w:rsidR="00345C6C" w:rsidRPr="000E7BBF" w:rsidRDefault="00345C6C" w:rsidP="00345C6C">
      <w:pPr>
        <w:pStyle w:val="texto"/>
        <w:rPr>
          <w:color w:val="000000" w:themeColor="text1"/>
          <w:lang w:val="es-ES"/>
        </w:rPr>
      </w:pPr>
    </w:p>
    <w:p w14:paraId="6E36661F" w14:textId="77777777" w:rsidR="00345C6C" w:rsidRPr="00B81E61" w:rsidRDefault="00345C6C" w:rsidP="00345C6C">
      <w:pPr>
        <w:pStyle w:val="texto"/>
        <w:rPr>
          <w:color w:val="000000" w:themeColor="text1"/>
        </w:rPr>
      </w:pPr>
    </w:p>
    <w:p w14:paraId="38645DC7" w14:textId="7CDC6097" w:rsidR="00345C6C" w:rsidRDefault="00345C6C" w:rsidP="00345C6C">
      <w:pPr>
        <w:pStyle w:val="texto"/>
        <w:rPr>
          <w:color w:val="000000" w:themeColor="text1"/>
        </w:rPr>
      </w:pPr>
    </w:p>
    <w:p w14:paraId="2D72772B" w14:textId="32F1B5B3" w:rsidR="00BE42CF" w:rsidRDefault="00BE42CF" w:rsidP="00345C6C">
      <w:pPr>
        <w:pStyle w:val="texto"/>
        <w:rPr>
          <w:color w:val="000000" w:themeColor="text1"/>
        </w:rPr>
      </w:pPr>
    </w:p>
    <w:p w14:paraId="7DD4689E" w14:textId="203E924E" w:rsidR="00BE42CF" w:rsidRDefault="00BE42CF" w:rsidP="00345C6C">
      <w:pPr>
        <w:pStyle w:val="texto"/>
        <w:rPr>
          <w:color w:val="000000" w:themeColor="text1"/>
        </w:rPr>
      </w:pPr>
    </w:p>
    <w:p w14:paraId="1B7F8138" w14:textId="25F92796" w:rsidR="00BE42CF" w:rsidRDefault="00BE42CF" w:rsidP="00345C6C">
      <w:pPr>
        <w:pStyle w:val="texto"/>
        <w:rPr>
          <w:color w:val="000000" w:themeColor="text1"/>
        </w:rPr>
      </w:pPr>
    </w:p>
    <w:p w14:paraId="62707CDB" w14:textId="77777777" w:rsidR="00BE42CF" w:rsidRPr="00B81E61" w:rsidRDefault="00BE42CF" w:rsidP="00345C6C">
      <w:pPr>
        <w:pStyle w:val="texto"/>
        <w:rPr>
          <w:color w:val="000000" w:themeColor="text1"/>
        </w:rPr>
      </w:pPr>
    </w:p>
    <w:sectPr w:rsidR="00BE42CF" w:rsidRPr="00B81E61" w:rsidSect="00B97C1D">
      <w:footerReference w:type="default" r:id="rId15"/>
      <w:pgSz w:w="11907" w:h="16840" w:code="9"/>
      <w:pgMar w:top="2109" w:right="1559" w:bottom="1644" w:left="1560" w:header="369" w:footer="136"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5DEB" w14:textId="77777777" w:rsidR="00D8180A" w:rsidRDefault="00D8180A">
      <w:r>
        <w:separator/>
      </w:r>
    </w:p>
    <w:p w14:paraId="665AC6F4" w14:textId="77777777" w:rsidR="00D8180A" w:rsidRDefault="00D8180A"/>
    <w:p w14:paraId="438F5C87" w14:textId="77777777" w:rsidR="00D8180A" w:rsidRDefault="00D8180A"/>
    <w:p w14:paraId="6DDD715F" w14:textId="77777777" w:rsidR="00D8180A" w:rsidRDefault="00D8180A"/>
  </w:endnote>
  <w:endnote w:type="continuationSeparator" w:id="0">
    <w:p w14:paraId="0893F908" w14:textId="77777777" w:rsidR="00D8180A" w:rsidRDefault="00D8180A">
      <w:r>
        <w:continuationSeparator/>
      </w:r>
    </w:p>
    <w:p w14:paraId="2FC555EA" w14:textId="77777777" w:rsidR="00D8180A" w:rsidRDefault="00D8180A"/>
    <w:p w14:paraId="407DB9B7" w14:textId="77777777" w:rsidR="00D8180A" w:rsidRDefault="00D8180A"/>
    <w:p w14:paraId="324A74CD" w14:textId="77777777" w:rsidR="00D8180A" w:rsidRDefault="00D81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b/>
        <w:color w:val="808080"/>
        <w:sz w:val="24"/>
        <w:szCs w:val="24"/>
      </w:rPr>
      <w:id w:val="517052195"/>
      <w:docPartObj>
        <w:docPartGallery w:val="Page Numbers (Bottom of Page)"/>
        <w:docPartUnique/>
      </w:docPartObj>
    </w:sdtPr>
    <w:sdtEndPr/>
    <w:sdtContent>
      <w:p w14:paraId="11609851" w14:textId="77777777" w:rsidR="009949DB" w:rsidRPr="00B97C1D" w:rsidRDefault="009949DB" w:rsidP="0098067B">
        <w:pPr>
          <w:pStyle w:val="Piedepgina"/>
          <w:spacing w:after="0"/>
          <w:jc w:val="left"/>
          <w:rPr>
            <w:sz w:val="24"/>
            <w:szCs w:val="24"/>
          </w:rPr>
        </w:pPr>
        <w:r>
          <w:rPr>
            <w:rFonts w:ascii="GillSans" w:hAnsi="GillSans"/>
            <w:noProof/>
            <w:sz w:val="24"/>
          </w:rPr>
          <w:drawing>
            <wp:inline distT="0" distB="0" distL="0" distR="0" wp14:anchorId="04BB5484" wp14:editId="21A5FCD0">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60D03627" w14:textId="549A280E" w:rsidR="009949DB" w:rsidRPr="00B97C1D" w:rsidRDefault="00022533" w:rsidP="0098067B">
        <w:pPr>
          <w:pStyle w:val="BorradorProvisional"/>
          <w:ind w:left="0"/>
          <w:jc w:val="center"/>
          <w:rPr>
            <w:sz w:val="24"/>
          </w:rPr>
        </w:pPr>
      </w:p>
    </w:sdtContent>
  </w:sdt>
  <w:p w14:paraId="4B0055C8" w14:textId="77777777" w:rsidR="009949DB" w:rsidRPr="0098067B" w:rsidRDefault="009949DB" w:rsidP="0098067B">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69289"/>
      <w:docPartObj>
        <w:docPartGallery w:val="Page Numbers (Bottom of Page)"/>
        <w:docPartUnique/>
      </w:docPartObj>
    </w:sdtPr>
    <w:sdtEndPr>
      <w:rPr>
        <w:sz w:val="40"/>
        <w:szCs w:val="24"/>
      </w:rPr>
    </w:sdtEndPr>
    <w:sdtContent>
      <w:p w14:paraId="5F613E47" w14:textId="77777777" w:rsidR="009949DB" w:rsidRDefault="009949DB" w:rsidP="0098067B">
        <w:pPr>
          <w:pStyle w:val="Piedepgina"/>
          <w:spacing w:after="0"/>
          <w:jc w:val="left"/>
        </w:pPr>
        <w:r>
          <w:rPr>
            <w:rFonts w:ascii="GillSans" w:hAnsi="GillSans"/>
            <w:noProof/>
          </w:rPr>
          <w:drawing>
            <wp:inline distT="0" distB="0" distL="0" distR="0" wp14:anchorId="0E5D9B72" wp14:editId="3821206F">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648B33C6" w14:textId="6B0295A9" w:rsidR="009949DB" w:rsidRDefault="00022533" w:rsidP="00B97C1D">
        <w:pPr>
          <w:pStyle w:val="Piedepgina"/>
          <w:jc w:val="center"/>
        </w:pPr>
      </w:p>
    </w:sdtContent>
  </w:sdt>
  <w:p w14:paraId="4B4E1A8E" w14:textId="77777777" w:rsidR="009949DB" w:rsidRPr="0098067B" w:rsidRDefault="009949DB" w:rsidP="0098067B">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9779" w14:textId="1AB02338" w:rsidR="009949DB" w:rsidRPr="00F03814" w:rsidRDefault="009949D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4841DAC1" wp14:editId="2171F2C9">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9250F9">
      <w:rPr>
        <w:rStyle w:val="Nmerodepgina"/>
      </w:rPr>
      <w:t>56</w:t>
    </w:r>
    <w:r w:rsidRPr="001D4F09">
      <w:rPr>
        <w:rStyle w:val="Nmerodepgina"/>
      </w:rPr>
      <w:fldChar w:fldCharType="end"/>
    </w:r>
    <w:r>
      <w:rPr>
        <w:rStyle w:val="Nmerodepgina"/>
      </w:rPr>
      <w:t xml:space="preserve"> -</w:t>
    </w:r>
  </w:p>
  <w:p w14:paraId="5AC0C111" w14:textId="0FA8C584" w:rsidR="009949DB" w:rsidRPr="00C13453" w:rsidRDefault="009949DB" w:rsidP="00D2472C">
    <w:pPr>
      <w:pStyle w:val="BorradorProvisional"/>
      <w:ind w:left="0"/>
      <w:jc w:val="center"/>
    </w:pPr>
  </w:p>
  <w:p w14:paraId="2FBB8749" w14:textId="77777777" w:rsidR="009949DB" w:rsidRDefault="009949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F496" w14:textId="77777777" w:rsidR="00D8180A" w:rsidRDefault="00D8180A" w:rsidP="00736D0B">
      <w:pPr>
        <w:ind w:firstLine="0"/>
      </w:pPr>
      <w:r>
        <w:separator/>
      </w:r>
    </w:p>
  </w:footnote>
  <w:footnote w:type="continuationSeparator" w:id="0">
    <w:p w14:paraId="1B46118D" w14:textId="77777777" w:rsidR="00D8180A" w:rsidRDefault="00D8180A">
      <w:r>
        <w:continuationSeparator/>
      </w:r>
    </w:p>
    <w:p w14:paraId="6A1C096A" w14:textId="77777777" w:rsidR="00D8180A" w:rsidRDefault="00D8180A"/>
    <w:p w14:paraId="50A21461" w14:textId="77777777" w:rsidR="00D8180A" w:rsidRDefault="00D8180A"/>
    <w:p w14:paraId="74F4A427" w14:textId="77777777" w:rsidR="00D8180A" w:rsidRDefault="00D8180A"/>
  </w:footnote>
  <w:footnote w:id="1">
    <w:p w14:paraId="0D610CD6" w14:textId="4D3DEFD6" w:rsidR="009949DB" w:rsidRDefault="009949DB" w:rsidP="001B4E2F">
      <w:pPr>
        <w:pStyle w:val="Textonotapie"/>
        <w:ind w:firstLine="0"/>
      </w:pPr>
      <w:r>
        <w:rPr>
          <w:rStyle w:val="Refdenotaalpie"/>
        </w:rPr>
        <w:footnoteRef/>
      </w:r>
      <w:r>
        <w:t>Nafarroako toki sektore publikoaren 2021eko finantza egoerari buruzko txostena egiten hasi zen eguna.</w:t>
      </w:r>
    </w:p>
  </w:footnote>
  <w:footnote w:id="2">
    <w:p w14:paraId="74A65B40" w14:textId="4C2D4EF5" w:rsidR="009949DB" w:rsidRDefault="009949DB" w:rsidP="004E1E57">
      <w:pPr>
        <w:pStyle w:val="Textonotapie"/>
        <w:spacing w:after="120"/>
        <w:ind w:firstLine="0"/>
      </w:pPr>
      <w:r>
        <w:rPr>
          <w:rStyle w:val="Refdenotaalpie"/>
        </w:rPr>
        <w:footnoteRef/>
      </w:r>
      <w:r>
        <w:t>Txosten hau egin den egunean, Bijuestxirringua SL (Irunberriko Gizarte Zerbitzuen Mankomunitatekoa), Irati Basoa SL (Zaraitzuko Ibaxaren Batzordekoa) eta Irati Orreaga SL (Aezkoa ibarrekoa) sozietateek ez dute beren kontuak eman. Sakanako Garapen Agentzia SLk (Sakanako Mankomunitatearen mendekoa) osatu gabe bidali ditu.</w:t>
      </w:r>
    </w:p>
  </w:footnote>
  <w:footnote w:id="3">
    <w:p w14:paraId="6E6A2221" w14:textId="77777777" w:rsidR="009949DB" w:rsidRDefault="009949DB" w:rsidP="00E422E0">
      <w:pPr>
        <w:pStyle w:val="Textonotapie"/>
        <w:spacing w:after="60"/>
        <w:ind w:firstLine="0"/>
      </w:pPr>
      <w:r>
        <w:rPr>
          <w:rStyle w:val="Refdenotaalpie"/>
        </w:rPr>
        <w:footnoteRef/>
      </w:r>
      <w:r>
        <w:t xml:space="preserve"> Sozietate publikoak bateratu gabeko datuak. </w:t>
      </w:r>
    </w:p>
  </w:footnote>
  <w:footnote w:id="4">
    <w:p w14:paraId="1B99B534" w14:textId="77777777" w:rsidR="009949DB" w:rsidRDefault="009949DB" w:rsidP="00D52854">
      <w:pPr>
        <w:pStyle w:val="Textonotapie"/>
        <w:ind w:firstLine="0"/>
      </w:pPr>
      <w:r>
        <w:rPr>
          <w:rStyle w:val="Refdenotaalpie"/>
        </w:rPr>
        <w:footnoteRef/>
      </w:r>
      <w:r>
        <w:t xml:space="preserve"> Denak bideratu dira udaletara hiri garraioaren defizit erantsiari dagokiona izan ezik, horrek mankomunitateak ere hartzen baitzituen.</w:t>
      </w:r>
    </w:p>
  </w:footnote>
  <w:footnote w:id="5">
    <w:p w14:paraId="49701E89" w14:textId="71F27264" w:rsidR="009949DB" w:rsidRDefault="009949DB" w:rsidP="00587A64">
      <w:pPr>
        <w:pStyle w:val="Textonotapie"/>
        <w:spacing w:after="120"/>
        <w:ind w:firstLine="0"/>
      </w:pPr>
      <w:r>
        <w:rPr>
          <w:rStyle w:val="Refdenotaalpie"/>
        </w:rPr>
        <w:footnoteRef/>
      </w:r>
      <w:r>
        <w:t xml:space="preserve"> Udalaren eta haren EEAAen datu bateratuak.</w:t>
      </w:r>
    </w:p>
  </w:footnote>
  <w:footnote w:id="6">
    <w:p w14:paraId="4EF7D45C" w14:textId="77777777" w:rsidR="009949DB" w:rsidRDefault="009949DB" w:rsidP="002D5BF9">
      <w:pPr>
        <w:pStyle w:val="Textonotapie"/>
        <w:spacing w:after="120"/>
        <w:ind w:firstLine="0"/>
      </w:pPr>
      <w:r>
        <w:rPr>
          <w:rStyle w:val="Refdenotaalpie"/>
        </w:rPr>
        <w:footnoteRef/>
      </w:r>
      <w:r>
        <w:t xml:space="preserve"> 2022rako arau fiskalak etetea.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8E4" w14:textId="77777777" w:rsidR="009949DB" w:rsidRDefault="009949DB"/>
  <w:p w14:paraId="508C98E9" w14:textId="77777777" w:rsidR="009949DB" w:rsidRDefault="009949DB"/>
  <w:p w14:paraId="779F8E76" w14:textId="77777777" w:rsidR="009949DB" w:rsidRDefault="009949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52D0" w14:textId="7DB0F7D4" w:rsidR="009949DB" w:rsidRPr="0059650E" w:rsidRDefault="009949DB" w:rsidP="004E1E57">
    <w:pPr>
      <w:pStyle w:val="Encabezado"/>
      <w:spacing w:after="40"/>
      <w:ind w:firstLine="0"/>
      <w:jc w:val="left"/>
    </w:pPr>
    <w:r>
      <w:rPr>
        <w:b/>
        <w:noProof/>
      </w:rPr>
      <w:drawing>
        <wp:inline distT="0" distB="0" distL="0" distR="0" wp14:anchorId="77C429D5" wp14:editId="3B85BB8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53AC" w14:textId="39984574" w:rsidR="009949DB" w:rsidRPr="0059650E" w:rsidRDefault="009949DB" w:rsidP="00B97C1D">
    <w:pPr>
      <w:pStyle w:val="Encabezado"/>
      <w:pBdr>
        <w:bottom w:val="single" w:sz="4" w:space="1" w:color="auto"/>
      </w:pBdr>
      <w:spacing w:after="40"/>
      <w:ind w:firstLine="0"/>
      <w:jc w:val="left"/>
    </w:pPr>
    <w:r>
      <w:rPr>
        <w:b/>
        <w:noProof/>
      </w:rPr>
      <w:drawing>
        <wp:inline distT="0" distB="0" distL="0" distR="0" wp14:anchorId="116DD723" wp14:editId="3DE31189">
          <wp:extent cx="771525" cy="762000"/>
          <wp:effectExtent l="0" t="0" r="9525" b="0"/>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Nafarroako toki sektore publikoari buruzko fiskalizazio txostena, 2021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1D49"/>
    <w:multiLevelType w:val="hybridMultilevel"/>
    <w:tmpl w:val="74C045C0"/>
    <w:lvl w:ilvl="0" w:tplc="6DF4C93C">
      <w:start w:val="1"/>
      <w:numFmt w:val="bullet"/>
      <w:lvlText w:val=""/>
      <w:lvlJc w:val="left"/>
      <w:pPr>
        <w:ind w:left="720" w:hanging="360"/>
      </w:pPr>
      <w:rPr>
        <w:rFonts w:ascii="Wingdings" w:hAnsi="Wingdings" w:hint="default"/>
      </w:rPr>
    </w:lvl>
    <w:lvl w:ilvl="1" w:tplc="96688E82">
      <w:start w:val="1"/>
      <w:numFmt w:val="bullet"/>
      <w:lvlText w:val="o"/>
      <w:lvlJc w:val="left"/>
      <w:pPr>
        <w:ind w:left="1440" w:hanging="360"/>
      </w:pPr>
      <w:rPr>
        <w:rFonts w:ascii="Courier New" w:hAnsi="Courier New" w:hint="default"/>
      </w:rPr>
    </w:lvl>
    <w:lvl w:ilvl="2" w:tplc="81541630">
      <w:start w:val="1"/>
      <w:numFmt w:val="bullet"/>
      <w:lvlText w:val=""/>
      <w:lvlJc w:val="left"/>
      <w:pPr>
        <w:ind w:left="2160" w:hanging="360"/>
      </w:pPr>
      <w:rPr>
        <w:rFonts w:ascii="Wingdings" w:hAnsi="Wingdings" w:hint="default"/>
      </w:rPr>
    </w:lvl>
    <w:lvl w:ilvl="3" w:tplc="7932F706">
      <w:start w:val="1"/>
      <w:numFmt w:val="bullet"/>
      <w:lvlText w:val=""/>
      <w:lvlJc w:val="left"/>
      <w:pPr>
        <w:ind w:left="2880" w:hanging="360"/>
      </w:pPr>
      <w:rPr>
        <w:rFonts w:ascii="Symbol" w:hAnsi="Symbol" w:hint="default"/>
      </w:rPr>
    </w:lvl>
    <w:lvl w:ilvl="4" w:tplc="67D61502">
      <w:start w:val="1"/>
      <w:numFmt w:val="bullet"/>
      <w:lvlText w:val="o"/>
      <w:lvlJc w:val="left"/>
      <w:pPr>
        <w:ind w:left="3600" w:hanging="360"/>
      </w:pPr>
      <w:rPr>
        <w:rFonts w:ascii="Courier New" w:hAnsi="Courier New" w:hint="default"/>
      </w:rPr>
    </w:lvl>
    <w:lvl w:ilvl="5" w:tplc="58A06522">
      <w:start w:val="1"/>
      <w:numFmt w:val="bullet"/>
      <w:lvlText w:val=""/>
      <w:lvlJc w:val="left"/>
      <w:pPr>
        <w:ind w:left="4320" w:hanging="360"/>
      </w:pPr>
      <w:rPr>
        <w:rFonts w:ascii="Wingdings" w:hAnsi="Wingdings" w:hint="default"/>
      </w:rPr>
    </w:lvl>
    <w:lvl w:ilvl="6" w:tplc="532C4B02">
      <w:start w:val="1"/>
      <w:numFmt w:val="bullet"/>
      <w:lvlText w:val=""/>
      <w:lvlJc w:val="left"/>
      <w:pPr>
        <w:ind w:left="5040" w:hanging="360"/>
      </w:pPr>
      <w:rPr>
        <w:rFonts w:ascii="Symbol" w:hAnsi="Symbol" w:hint="default"/>
      </w:rPr>
    </w:lvl>
    <w:lvl w:ilvl="7" w:tplc="FE5CCC20">
      <w:start w:val="1"/>
      <w:numFmt w:val="bullet"/>
      <w:lvlText w:val="o"/>
      <w:lvlJc w:val="left"/>
      <w:pPr>
        <w:ind w:left="5760" w:hanging="360"/>
      </w:pPr>
      <w:rPr>
        <w:rFonts w:ascii="Courier New" w:hAnsi="Courier New" w:hint="default"/>
      </w:rPr>
    </w:lvl>
    <w:lvl w:ilvl="8" w:tplc="79A414C4">
      <w:start w:val="1"/>
      <w:numFmt w:val="bullet"/>
      <w:lvlText w:val=""/>
      <w:lvlJc w:val="left"/>
      <w:pPr>
        <w:ind w:left="6480" w:hanging="360"/>
      </w:pPr>
      <w:rPr>
        <w:rFonts w:ascii="Wingdings" w:hAnsi="Wingdings" w:hint="default"/>
      </w:rPr>
    </w:lvl>
  </w:abstractNum>
  <w:abstractNum w:abstractNumId="1"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1A0E8D"/>
    <w:multiLevelType w:val="hybridMultilevel"/>
    <w:tmpl w:val="C3485924"/>
    <w:lvl w:ilvl="0" w:tplc="FB5ED7DC">
      <w:start w:val="1"/>
      <w:numFmt w:val="bullet"/>
      <w:lvlText w:val=""/>
      <w:lvlJc w:val="left"/>
      <w:pPr>
        <w:ind w:left="1004" w:hanging="360"/>
      </w:pPr>
      <w:rPr>
        <w:rFonts w:ascii="Symbol" w:hAnsi="Symbol" w:hint="default"/>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 w15:restartNumberingAfterBreak="0">
    <w:nsid w:val="0EA74F89"/>
    <w:multiLevelType w:val="hybridMultilevel"/>
    <w:tmpl w:val="5D060FC2"/>
    <w:lvl w:ilvl="0" w:tplc="6D062262">
      <w:start w:val="8"/>
      <w:numFmt w:val="lowerLetter"/>
      <w:lvlText w:val="%1)"/>
      <w:lvlJc w:val="left"/>
      <w:pPr>
        <w:ind w:left="720" w:hanging="360"/>
      </w:pPr>
      <w:rPr>
        <w:rFonts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3CF287A"/>
    <w:multiLevelType w:val="hybridMultilevel"/>
    <w:tmpl w:val="B4A6F8B4"/>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1D7D03FB"/>
    <w:multiLevelType w:val="hybridMultilevel"/>
    <w:tmpl w:val="DF9605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1FFC4427"/>
    <w:multiLevelType w:val="hybridMultilevel"/>
    <w:tmpl w:val="8A02F10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EA3890"/>
    <w:multiLevelType w:val="hybridMultilevel"/>
    <w:tmpl w:val="87148546"/>
    <w:lvl w:ilvl="0" w:tplc="AAAC08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88427B"/>
    <w:multiLevelType w:val="hybridMultilevel"/>
    <w:tmpl w:val="EE96976E"/>
    <w:lvl w:ilvl="0" w:tplc="42AE7D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F46449"/>
    <w:multiLevelType w:val="hybridMultilevel"/>
    <w:tmpl w:val="35B25016"/>
    <w:lvl w:ilvl="0" w:tplc="5ECC5584">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C487E29"/>
    <w:multiLevelType w:val="hybridMultilevel"/>
    <w:tmpl w:val="677203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5313CF"/>
    <w:multiLevelType w:val="hybridMultilevel"/>
    <w:tmpl w:val="76C6EA1A"/>
    <w:lvl w:ilvl="0" w:tplc="A2807A9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15:restartNumberingAfterBreak="0">
    <w:nsid w:val="330F130F"/>
    <w:multiLevelType w:val="hybridMultilevel"/>
    <w:tmpl w:val="913055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35B607A"/>
    <w:multiLevelType w:val="hybridMultilevel"/>
    <w:tmpl w:val="35DECD3C"/>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2"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3"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4548DA"/>
    <w:multiLevelType w:val="multilevel"/>
    <w:tmpl w:val="132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12628E"/>
    <w:multiLevelType w:val="hybridMultilevel"/>
    <w:tmpl w:val="3854420A"/>
    <w:lvl w:ilvl="0" w:tplc="0C0A0017">
      <w:start w:val="1"/>
      <w:numFmt w:val="lowerLetter"/>
      <w:lvlText w:val="%1)"/>
      <w:lvlJc w:val="left"/>
      <w:pPr>
        <w:ind w:left="1004" w:hanging="360"/>
      </w:pPr>
      <w:rPr>
        <w:rFonts w:cs="Times New Roman"/>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7" w15:restartNumberingAfterBreak="0">
    <w:nsid w:val="4B3E5938"/>
    <w:multiLevelType w:val="hybridMultilevel"/>
    <w:tmpl w:val="0ED41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D921AE"/>
    <w:multiLevelType w:val="hybridMultilevel"/>
    <w:tmpl w:val="7116FA58"/>
    <w:lvl w:ilvl="0" w:tplc="0C0A0017">
      <w:start w:val="1"/>
      <w:numFmt w:val="lowerLetter"/>
      <w:lvlText w:val="%1)"/>
      <w:lvlJc w:val="left"/>
      <w:pPr>
        <w:ind w:left="1004" w:hanging="360"/>
      </w:pPr>
      <w:rPr>
        <w:rFonts w:cs="Times New Roman"/>
      </w:rPr>
    </w:lvl>
    <w:lvl w:ilvl="1" w:tplc="FB5ED7DC">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9" w15:restartNumberingAfterBreak="0">
    <w:nsid w:val="55740F03"/>
    <w:multiLevelType w:val="hybridMultilevel"/>
    <w:tmpl w:val="44E09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985E1E"/>
    <w:multiLevelType w:val="hybridMultilevel"/>
    <w:tmpl w:val="C5D4EA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2" w15:restartNumberingAfterBreak="0">
    <w:nsid w:val="69C619B9"/>
    <w:multiLevelType w:val="hybridMultilevel"/>
    <w:tmpl w:val="2C7255AE"/>
    <w:lvl w:ilvl="0" w:tplc="F50A19D2">
      <w:start w:val="46"/>
      <w:numFmt w:val="bullet"/>
      <w:lvlText w:val=""/>
      <w:lvlJc w:val="left"/>
      <w:pPr>
        <w:tabs>
          <w:tab w:val="num" w:pos="2232"/>
        </w:tabs>
        <w:ind w:left="1702" w:firstLine="17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003001F"/>
    <w:multiLevelType w:val="hybridMultilevel"/>
    <w:tmpl w:val="76808282"/>
    <w:lvl w:ilvl="0" w:tplc="FFFFFFFF">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5"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6" w15:restartNumberingAfterBreak="0">
    <w:nsid w:val="717A37D5"/>
    <w:multiLevelType w:val="hybridMultilevel"/>
    <w:tmpl w:val="1C58A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2B1CD7"/>
    <w:multiLevelType w:val="hybridMultilevel"/>
    <w:tmpl w:val="226AC086"/>
    <w:lvl w:ilvl="0" w:tplc="1F94E5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31009EC"/>
    <w:multiLevelType w:val="hybridMultilevel"/>
    <w:tmpl w:val="9BDCCFDE"/>
    <w:lvl w:ilvl="0" w:tplc="0C0A0017">
      <w:start w:val="1"/>
      <w:numFmt w:val="lowerLetter"/>
      <w:lvlText w:val="%1)"/>
      <w:lvlJc w:val="left"/>
      <w:pPr>
        <w:ind w:left="1004" w:hanging="360"/>
      </w:pPr>
      <w:rPr>
        <w:rFonts w:cs="Times New Roman"/>
      </w:rPr>
    </w:lvl>
    <w:lvl w:ilvl="1" w:tplc="07DE3244">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39"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1D222F"/>
    <w:multiLevelType w:val="hybridMultilevel"/>
    <w:tmpl w:val="A7FE360E"/>
    <w:lvl w:ilvl="0" w:tplc="F070AA86">
      <w:start w:val="1"/>
      <w:numFmt w:val="bullet"/>
      <w:lvlText w:val=""/>
      <w:lvlJc w:val="left"/>
      <w:pPr>
        <w:ind w:left="433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779646382">
    <w:abstractNumId w:val="0"/>
  </w:num>
  <w:num w:numId="2" w16cid:durableId="765343193">
    <w:abstractNumId w:val="43"/>
  </w:num>
  <w:num w:numId="3" w16cid:durableId="988442779">
    <w:abstractNumId w:val="31"/>
  </w:num>
  <w:num w:numId="4" w16cid:durableId="674109361">
    <w:abstractNumId w:val="6"/>
  </w:num>
  <w:num w:numId="5" w16cid:durableId="1112168815">
    <w:abstractNumId w:val="23"/>
  </w:num>
  <w:num w:numId="6" w16cid:durableId="283923659">
    <w:abstractNumId w:val="33"/>
  </w:num>
  <w:num w:numId="7" w16cid:durableId="248201938">
    <w:abstractNumId w:val="6"/>
  </w:num>
  <w:num w:numId="8" w16cid:durableId="1061446412">
    <w:abstractNumId w:val="6"/>
  </w:num>
  <w:num w:numId="9" w16cid:durableId="381103349">
    <w:abstractNumId w:val="6"/>
  </w:num>
  <w:num w:numId="10" w16cid:durableId="2098357126">
    <w:abstractNumId w:val="24"/>
  </w:num>
  <w:num w:numId="11" w16cid:durableId="174079065">
    <w:abstractNumId w:val="10"/>
  </w:num>
  <w:num w:numId="12" w16cid:durableId="771125484">
    <w:abstractNumId w:val="21"/>
  </w:num>
  <w:num w:numId="13" w16cid:durableId="646126897">
    <w:abstractNumId w:val="34"/>
  </w:num>
  <w:num w:numId="14" w16cid:durableId="1081414362">
    <w:abstractNumId w:val="22"/>
  </w:num>
  <w:num w:numId="15" w16cid:durableId="957879533">
    <w:abstractNumId w:val="41"/>
  </w:num>
  <w:num w:numId="16" w16cid:durableId="741221454">
    <w:abstractNumId w:val="12"/>
  </w:num>
  <w:num w:numId="17" w16cid:durableId="1274631799">
    <w:abstractNumId w:val="3"/>
  </w:num>
  <w:num w:numId="18" w16cid:durableId="1313025636">
    <w:abstractNumId w:val="42"/>
  </w:num>
  <w:num w:numId="19" w16cid:durableId="402725280">
    <w:abstractNumId w:val="2"/>
  </w:num>
  <w:num w:numId="20" w16cid:durableId="1790785011">
    <w:abstractNumId w:val="8"/>
  </w:num>
  <w:num w:numId="21" w16cid:durableId="1410271476">
    <w:abstractNumId w:val="39"/>
  </w:num>
  <w:num w:numId="22" w16cid:durableId="1131438073">
    <w:abstractNumId w:val="35"/>
  </w:num>
  <w:num w:numId="23" w16cid:durableId="1784884536">
    <w:abstractNumId w:val="9"/>
  </w:num>
  <w:num w:numId="24" w16cid:durableId="830292927">
    <w:abstractNumId w:val="1"/>
  </w:num>
  <w:num w:numId="25" w16cid:durableId="1147866826">
    <w:abstractNumId w:val="17"/>
  </w:num>
  <w:num w:numId="26" w16cid:durableId="1403985757">
    <w:abstractNumId w:val="37"/>
  </w:num>
  <w:num w:numId="27" w16cid:durableId="589043998">
    <w:abstractNumId w:val="30"/>
  </w:num>
  <w:num w:numId="28" w16cid:durableId="291442871">
    <w:abstractNumId w:val="11"/>
  </w:num>
  <w:num w:numId="29" w16cid:durableId="458497976">
    <w:abstractNumId w:val="16"/>
  </w:num>
  <w:num w:numId="30" w16cid:durableId="1710521483">
    <w:abstractNumId w:val="40"/>
  </w:num>
  <w:num w:numId="31" w16cid:durableId="464978602">
    <w:abstractNumId w:val="18"/>
  </w:num>
  <w:num w:numId="32" w16cid:durableId="1441071207">
    <w:abstractNumId w:val="29"/>
  </w:num>
  <w:num w:numId="33" w16cid:durableId="764226982">
    <w:abstractNumId w:val="20"/>
  </w:num>
  <w:num w:numId="34" w16cid:durableId="1513565756">
    <w:abstractNumId w:val="27"/>
  </w:num>
  <w:num w:numId="35" w16cid:durableId="1589463286">
    <w:abstractNumId w:val="36"/>
  </w:num>
  <w:num w:numId="36" w16cid:durableId="2032485434">
    <w:abstractNumId w:val="13"/>
  </w:num>
  <w:num w:numId="37" w16cid:durableId="1334213407">
    <w:abstractNumId w:val="32"/>
  </w:num>
  <w:num w:numId="38" w16cid:durableId="660620660">
    <w:abstractNumId w:val="26"/>
  </w:num>
  <w:num w:numId="39" w16cid:durableId="602302085">
    <w:abstractNumId w:val="28"/>
  </w:num>
  <w:num w:numId="40" w16cid:durableId="2043169873">
    <w:abstractNumId w:val="4"/>
  </w:num>
  <w:num w:numId="41" w16cid:durableId="182014772">
    <w:abstractNumId w:val="38"/>
  </w:num>
  <w:num w:numId="42" w16cid:durableId="1045593801">
    <w:abstractNumId w:val="15"/>
  </w:num>
  <w:num w:numId="43" w16cid:durableId="1976133018">
    <w:abstractNumId w:val="14"/>
  </w:num>
  <w:num w:numId="44" w16cid:durableId="1389495617">
    <w:abstractNumId w:val="7"/>
  </w:num>
  <w:num w:numId="45" w16cid:durableId="16584642">
    <w:abstractNumId w:val="5"/>
  </w:num>
  <w:num w:numId="46" w16cid:durableId="518979796">
    <w:abstractNumId w:val="19"/>
  </w:num>
  <w:num w:numId="47" w16cid:durableId="1899393474">
    <w:abstractNumId w:val="6"/>
  </w:num>
  <w:num w:numId="48" w16cid:durableId="219364410">
    <w:abstractNumId w:val="6"/>
  </w:num>
  <w:num w:numId="49" w16cid:durableId="14806093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6C"/>
    <w:rsid w:val="000019D8"/>
    <w:rsid w:val="00006736"/>
    <w:rsid w:val="00006A97"/>
    <w:rsid w:val="0001123B"/>
    <w:rsid w:val="00012A7F"/>
    <w:rsid w:val="000166FA"/>
    <w:rsid w:val="00017A3A"/>
    <w:rsid w:val="00022533"/>
    <w:rsid w:val="00023DC6"/>
    <w:rsid w:val="00033257"/>
    <w:rsid w:val="00036E42"/>
    <w:rsid w:val="0004039F"/>
    <w:rsid w:val="0004373B"/>
    <w:rsid w:val="00043DCD"/>
    <w:rsid w:val="000448FA"/>
    <w:rsid w:val="00051F60"/>
    <w:rsid w:val="00053A42"/>
    <w:rsid w:val="0005517D"/>
    <w:rsid w:val="000572A9"/>
    <w:rsid w:val="00060273"/>
    <w:rsid w:val="0006133D"/>
    <w:rsid w:val="00063585"/>
    <w:rsid w:val="00071CD0"/>
    <w:rsid w:val="00075677"/>
    <w:rsid w:val="00075692"/>
    <w:rsid w:val="0008393D"/>
    <w:rsid w:val="0008473D"/>
    <w:rsid w:val="00087B0A"/>
    <w:rsid w:val="00087B8D"/>
    <w:rsid w:val="00093D67"/>
    <w:rsid w:val="00093E60"/>
    <w:rsid w:val="00095DA9"/>
    <w:rsid w:val="000A18B7"/>
    <w:rsid w:val="000A2C1E"/>
    <w:rsid w:val="000A375B"/>
    <w:rsid w:val="000A4697"/>
    <w:rsid w:val="000B2728"/>
    <w:rsid w:val="000B3943"/>
    <w:rsid w:val="000B4477"/>
    <w:rsid w:val="000B6345"/>
    <w:rsid w:val="000C0704"/>
    <w:rsid w:val="000C1BEA"/>
    <w:rsid w:val="000C2398"/>
    <w:rsid w:val="000C2B07"/>
    <w:rsid w:val="000C39CC"/>
    <w:rsid w:val="000C3C49"/>
    <w:rsid w:val="000C7566"/>
    <w:rsid w:val="000D188E"/>
    <w:rsid w:val="000D5335"/>
    <w:rsid w:val="000D7B42"/>
    <w:rsid w:val="000E3227"/>
    <w:rsid w:val="000E7B86"/>
    <w:rsid w:val="000E7BBF"/>
    <w:rsid w:val="000F2B66"/>
    <w:rsid w:val="000F3D83"/>
    <w:rsid w:val="000F44C5"/>
    <w:rsid w:val="000F4904"/>
    <w:rsid w:val="000F536D"/>
    <w:rsid w:val="00100F12"/>
    <w:rsid w:val="00101E58"/>
    <w:rsid w:val="00102F03"/>
    <w:rsid w:val="00103589"/>
    <w:rsid w:val="00103FBD"/>
    <w:rsid w:val="001045C9"/>
    <w:rsid w:val="00107CC1"/>
    <w:rsid w:val="00111A92"/>
    <w:rsid w:val="001145C3"/>
    <w:rsid w:val="001161D2"/>
    <w:rsid w:val="00130853"/>
    <w:rsid w:val="00131DF1"/>
    <w:rsid w:val="00132C38"/>
    <w:rsid w:val="001333CC"/>
    <w:rsid w:val="00133984"/>
    <w:rsid w:val="00133E38"/>
    <w:rsid w:val="00135208"/>
    <w:rsid w:val="001365C4"/>
    <w:rsid w:val="00137634"/>
    <w:rsid w:val="00141327"/>
    <w:rsid w:val="0014147D"/>
    <w:rsid w:val="00141D29"/>
    <w:rsid w:val="00144023"/>
    <w:rsid w:val="0014506A"/>
    <w:rsid w:val="0014728F"/>
    <w:rsid w:val="00150D2A"/>
    <w:rsid w:val="001521A2"/>
    <w:rsid w:val="00152358"/>
    <w:rsid w:val="00155BFF"/>
    <w:rsid w:val="00160F66"/>
    <w:rsid w:val="00161F30"/>
    <w:rsid w:val="001633AF"/>
    <w:rsid w:val="00164004"/>
    <w:rsid w:val="0016527F"/>
    <w:rsid w:val="00166A6C"/>
    <w:rsid w:val="0017101E"/>
    <w:rsid w:val="001728D0"/>
    <w:rsid w:val="00173EDD"/>
    <w:rsid w:val="0017402B"/>
    <w:rsid w:val="00176B58"/>
    <w:rsid w:val="00181012"/>
    <w:rsid w:val="00181D37"/>
    <w:rsid w:val="001835B7"/>
    <w:rsid w:val="0018426B"/>
    <w:rsid w:val="00185A37"/>
    <w:rsid w:val="00193D8B"/>
    <w:rsid w:val="00194309"/>
    <w:rsid w:val="0019660E"/>
    <w:rsid w:val="0019760B"/>
    <w:rsid w:val="001A2B89"/>
    <w:rsid w:val="001B0412"/>
    <w:rsid w:val="001B093A"/>
    <w:rsid w:val="001B2567"/>
    <w:rsid w:val="001B2934"/>
    <w:rsid w:val="001B39E2"/>
    <w:rsid w:val="001B4E2F"/>
    <w:rsid w:val="001C2B26"/>
    <w:rsid w:val="001C3A32"/>
    <w:rsid w:val="001D06C1"/>
    <w:rsid w:val="001D196E"/>
    <w:rsid w:val="001D4DC4"/>
    <w:rsid w:val="001D4F09"/>
    <w:rsid w:val="001E420E"/>
    <w:rsid w:val="001F1482"/>
    <w:rsid w:val="001F20D7"/>
    <w:rsid w:val="001F3DCD"/>
    <w:rsid w:val="001F7744"/>
    <w:rsid w:val="002014EB"/>
    <w:rsid w:val="00202B1A"/>
    <w:rsid w:val="00204979"/>
    <w:rsid w:val="00210333"/>
    <w:rsid w:val="00211D69"/>
    <w:rsid w:val="002179DB"/>
    <w:rsid w:val="00220A51"/>
    <w:rsid w:val="00222910"/>
    <w:rsid w:val="00227E48"/>
    <w:rsid w:val="00227F66"/>
    <w:rsid w:val="00230577"/>
    <w:rsid w:val="0023159D"/>
    <w:rsid w:val="0023209D"/>
    <w:rsid w:val="002333F8"/>
    <w:rsid w:val="0023366C"/>
    <w:rsid w:val="00233D79"/>
    <w:rsid w:val="0023757D"/>
    <w:rsid w:val="00237657"/>
    <w:rsid w:val="00242407"/>
    <w:rsid w:val="00242BA7"/>
    <w:rsid w:val="002437B5"/>
    <w:rsid w:val="0024414B"/>
    <w:rsid w:val="002442C1"/>
    <w:rsid w:val="00244EF1"/>
    <w:rsid w:val="00246F21"/>
    <w:rsid w:val="00253E78"/>
    <w:rsid w:val="0025E0A6"/>
    <w:rsid w:val="002611F7"/>
    <w:rsid w:val="00262C3C"/>
    <w:rsid w:val="00264C88"/>
    <w:rsid w:val="0026532C"/>
    <w:rsid w:val="0026575D"/>
    <w:rsid w:val="002705B0"/>
    <w:rsid w:val="002711C1"/>
    <w:rsid w:val="002717A6"/>
    <w:rsid w:val="00272015"/>
    <w:rsid w:val="00273C10"/>
    <w:rsid w:val="00274B4C"/>
    <w:rsid w:val="00276264"/>
    <w:rsid w:val="00277F8F"/>
    <w:rsid w:val="00281DCA"/>
    <w:rsid w:val="002827A0"/>
    <w:rsid w:val="00297B04"/>
    <w:rsid w:val="002A056C"/>
    <w:rsid w:val="002A1041"/>
    <w:rsid w:val="002A4BE9"/>
    <w:rsid w:val="002A66A5"/>
    <w:rsid w:val="002A6EBB"/>
    <w:rsid w:val="002B21E9"/>
    <w:rsid w:val="002B2B87"/>
    <w:rsid w:val="002B4E0F"/>
    <w:rsid w:val="002B5754"/>
    <w:rsid w:val="002C7026"/>
    <w:rsid w:val="002C7E08"/>
    <w:rsid w:val="002D089F"/>
    <w:rsid w:val="002D1390"/>
    <w:rsid w:val="002D5635"/>
    <w:rsid w:val="002D5BF9"/>
    <w:rsid w:val="002D65E8"/>
    <w:rsid w:val="002D7D32"/>
    <w:rsid w:val="002E02E5"/>
    <w:rsid w:val="002E0478"/>
    <w:rsid w:val="002E0502"/>
    <w:rsid w:val="002E0791"/>
    <w:rsid w:val="002E1B92"/>
    <w:rsid w:val="002E43F6"/>
    <w:rsid w:val="002E5D2D"/>
    <w:rsid w:val="002E7B81"/>
    <w:rsid w:val="002E7D7C"/>
    <w:rsid w:val="002F09FB"/>
    <w:rsid w:val="002F0FE3"/>
    <w:rsid w:val="002F16EC"/>
    <w:rsid w:val="002F1AF0"/>
    <w:rsid w:val="002F2530"/>
    <w:rsid w:val="002F272A"/>
    <w:rsid w:val="002F3225"/>
    <w:rsid w:val="002F53B4"/>
    <w:rsid w:val="002F5CB0"/>
    <w:rsid w:val="002F76D6"/>
    <w:rsid w:val="00302151"/>
    <w:rsid w:val="00303506"/>
    <w:rsid w:val="00305919"/>
    <w:rsid w:val="003067C1"/>
    <w:rsid w:val="00307057"/>
    <w:rsid w:val="00312819"/>
    <w:rsid w:val="00312E9C"/>
    <w:rsid w:val="00313875"/>
    <w:rsid w:val="00314ACE"/>
    <w:rsid w:val="0031540F"/>
    <w:rsid w:val="003203BF"/>
    <w:rsid w:val="00321369"/>
    <w:rsid w:val="00330787"/>
    <w:rsid w:val="00330E2B"/>
    <w:rsid w:val="00331637"/>
    <w:rsid w:val="00337493"/>
    <w:rsid w:val="0034285F"/>
    <w:rsid w:val="00345C6C"/>
    <w:rsid w:val="003464A4"/>
    <w:rsid w:val="00351684"/>
    <w:rsid w:val="00354458"/>
    <w:rsid w:val="00361D42"/>
    <w:rsid w:val="00363653"/>
    <w:rsid w:val="0036509D"/>
    <w:rsid w:val="00370606"/>
    <w:rsid w:val="0037228C"/>
    <w:rsid w:val="003738FD"/>
    <w:rsid w:val="003810BE"/>
    <w:rsid w:val="003841AF"/>
    <w:rsid w:val="00385A25"/>
    <w:rsid w:val="00386F6C"/>
    <w:rsid w:val="00387709"/>
    <w:rsid w:val="00387794"/>
    <w:rsid w:val="0039394F"/>
    <w:rsid w:val="00397162"/>
    <w:rsid w:val="003A0421"/>
    <w:rsid w:val="003A335E"/>
    <w:rsid w:val="003A3DD2"/>
    <w:rsid w:val="003B00CD"/>
    <w:rsid w:val="003B2F9F"/>
    <w:rsid w:val="003B3573"/>
    <w:rsid w:val="003B5813"/>
    <w:rsid w:val="003C03EA"/>
    <w:rsid w:val="003C196B"/>
    <w:rsid w:val="003C247B"/>
    <w:rsid w:val="003C4E24"/>
    <w:rsid w:val="003C6E1D"/>
    <w:rsid w:val="003D058C"/>
    <w:rsid w:val="003D318C"/>
    <w:rsid w:val="003D76B1"/>
    <w:rsid w:val="003E17A6"/>
    <w:rsid w:val="003E4AA5"/>
    <w:rsid w:val="003F1CEC"/>
    <w:rsid w:val="003F43BF"/>
    <w:rsid w:val="003F6432"/>
    <w:rsid w:val="003F6BE4"/>
    <w:rsid w:val="00400FFE"/>
    <w:rsid w:val="00403CF8"/>
    <w:rsid w:val="00407459"/>
    <w:rsid w:val="00413BBA"/>
    <w:rsid w:val="00414D01"/>
    <w:rsid w:val="004170FE"/>
    <w:rsid w:val="004209E6"/>
    <w:rsid w:val="0042324B"/>
    <w:rsid w:val="004234E8"/>
    <w:rsid w:val="00426805"/>
    <w:rsid w:val="00427D24"/>
    <w:rsid w:val="00430150"/>
    <w:rsid w:val="004302F9"/>
    <w:rsid w:val="00430F3D"/>
    <w:rsid w:val="0043229B"/>
    <w:rsid w:val="004345F6"/>
    <w:rsid w:val="00435287"/>
    <w:rsid w:val="004352BF"/>
    <w:rsid w:val="004367EF"/>
    <w:rsid w:val="00440A22"/>
    <w:rsid w:val="004417E0"/>
    <w:rsid w:val="00442CCA"/>
    <w:rsid w:val="00444647"/>
    <w:rsid w:val="00446C16"/>
    <w:rsid w:val="00452F78"/>
    <w:rsid w:val="0045550E"/>
    <w:rsid w:val="00456456"/>
    <w:rsid w:val="00462367"/>
    <w:rsid w:val="0046490C"/>
    <w:rsid w:val="00470287"/>
    <w:rsid w:val="00470733"/>
    <w:rsid w:val="00472444"/>
    <w:rsid w:val="00475573"/>
    <w:rsid w:val="00475E06"/>
    <w:rsid w:val="0047763B"/>
    <w:rsid w:val="00477C53"/>
    <w:rsid w:val="0048250E"/>
    <w:rsid w:val="00485380"/>
    <w:rsid w:val="00491AA4"/>
    <w:rsid w:val="00492ACD"/>
    <w:rsid w:val="00493D87"/>
    <w:rsid w:val="004950D4"/>
    <w:rsid w:val="004979AA"/>
    <w:rsid w:val="004A0506"/>
    <w:rsid w:val="004A153E"/>
    <w:rsid w:val="004A2342"/>
    <w:rsid w:val="004A2F62"/>
    <w:rsid w:val="004A3B35"/>
    <w:rsid w:val="004B044B"/>
    <w:rsid w:val="004B0550"/>
    <w:rsid w:val="004B1DB8"/>
    <w:rsid w:val="004B2F01"/>
    <w:rsid w:val="004B35F2"/>
    <w:rsid w:val="004B4182"/>
    <w:rsid w:val="004B4538"/>
    <w:rsid w:val="004B503B"/>
    <w:rsid w:val="004B6C56"/>
    <w:rsid w:val="004B6FB6"/>
    <w:rsid w:val="004B701D"/>
    <w:rsid w:val="004C3423"/>
    <w:rsid w:val="004C571D"/>
    <w:rsid w:val="004C5885"/>
    <w:rsid w:val="004D35A2"/>
    <w:rsid w:val="004D3E9C"/>
    <w:rsid w:val="004D5415"/>
    <w:rsid w:val="004D5FD1"/>
    <w:rsid w:val="004D7828"/>
    <w:rsid w:val="004E1C9A"/>
    <w:rsid w:val="004E1E57"/>
    <w:rsid w:val="004F6313"/>
    <w:rsid w:val="004F7C93"/>
    <w:rsid w:val="004F7D75"/>
    <w:rsid w:val="00500AE3"/>
    <w:rsid w:val="00506105"/>
    <w:rsid w:val="00513162"/>
    <w:rsid w:val="00515D95"/>
    <w:rsid w:val="00520F8C"/>
    <w:rsid w:val="00525809"/>
    <w:rsid w:val="00535130"/>
    <w:rsid w:val="00537302"/>
    <w:rsid w:val="00543D5A"/>
    <w:rsid w:val="00552062"/>
    <w:rsid w:val="005542BC"/>
    <w:rsid w:val="00555509"/>
    <w:rsid w:val="00557276"/>
    <w:rsid w:val="005605A0"/>
    <w:rsid w:val="00561C5B"/>
    <w:rsid w:val="00564F2D"/>
    <w:rsid w:val="0056631C"/>
    <w:rsid w:val="00566BF2"/>
    <w:rsid w:val="00566CDA"/>
    <w:rsid w:val="0056727E"/>
    <w:rsid w:val="00567BA6"/>
    <w:rsid w:val="00570033"/>
    <w:rsid w:val="00570147"/>
    <w:rsid w:val="0057307E"/>
    <w:rsid w:val="00573A4C"/>
    <w:rsid w:val="00574B79"/>
    <w:rsid w:val="00574D12"/>
    <w:rsid w:val="005800B4"/>
    <w:rsid w:val="0058070B"/>
    <w:rsid w:val="0058296F"/>
    <w:rsid w:val="00586731"/>
    <w:rsid w:val="00587A64"/>
    <w:rsid w:val="00595E80"/>
    <w:rsid w:val="0059650E"/>
    <w:rsid w:val="00596953"/>
    <w:rsid w:val="005A2FD2"/>
    <w:rsid w:val="005A306D"/>
    <w:rsid w:val="005A6030"/>
    <w:rsid w:val="005A7CB4"/>
    <w:rsid w:val="005A7D1C"/>
    <w:rsid w:val="005B552E"/>
    <w:rsid w:val="005B57AD"/>
    <w:rsid w:val="005B722E"/>
    <w:rsid w:val="005B730B"/>
    <w:rsid w:val="005C02FE"/>
    <w:rsid w:val="005C31B6"/>
    <w:rsid w:val="005C50AC"/>
    <w:rsid w:val="005C6406"/>
    <w:rsid w:val="005C716C"/>
    <w:rsid w:val="005D0F2E"/>
    <w:rsid w:val="005D1423"/>
    <w:rsid w:val="005D69D1"/>
    <w:rsid w:val="005E210D"/>
    <w:rsid w:val="005E35DB"/>
    <w:rsid w:val="005E45AF"/>
    <w:rsid w:val="005E4942"/>
    <w:rsid w:val="005F2425"/>
    <w:rsid w:val="005F27BE"/>
    <w:rsid w:val="005F4C4B"/>
    <w:rsid w:val="005F5EC7"/>
    <w:rsid w:val="005F7207"/>
    <w:rsid w:val="005F7FCF"/>
    <w:rsid w:val="00603A53"/>
    <w:rsid w:val="00603D03"/>
    <w:rsid w:val="0060583B"/>
    <w:rsid w:val="00607691"/>
    <w:rsid w:val="006102BE"/>
    <w:rsid w:val="0061062C"/>
    <w:rsid w:val="00613183"/>
    <w:rsid w:val="006133F0"/>
    <w:rsid w:val="00616888"/>
    <w:rsid w:val="006176BE"/>
    <w:rsid w:val="00617780"/>
    <w:rsid w:val="006212CB"/>
    <w:rsid w:val="006279F9"/>
    <w:rsid w:val="006369EE"/>
    <w:rsid w:val="00637653"/>
    <w:rsid w:val="00640A31"/>
    <w:rsid w:val="0064700E"/>
    <w:rsid w:val="00650183"/>
    <w:rsid w:val="00650677"/>
    <w:rsid w:val="006556FD"/>
    <w:rsid w:val="00657BCD"/>
    <w:rsid w:val="0066316C"/>
    <w:rsid w:val="00663402"/>
    <w:rsid w:val="006636CF"/>
    <w:rsid w:val="0066476A"/>
    <w:rsid w:val="006736A9"/>
    <w:rsid w:val="00673BC7"/>
    <w:rsid w:val="006742C9"/>
    <w:rsid w:val="00674975"/>
    <w:rsid w:val="00675D39"/>
    <w:rsid w:val="006761BC"/>
    <w:rsid w:val="006812B8"/>
    <w:rsid w:val="00683192"/>
    <w:rsid w:val="00683931"/>
    <w:rsid w:val="0068560B"/>
    <w:rsid w:val="0068783D"/>
    <w:rsid w:val="006A1277"/>
    <w:rsid w:val="006A2602"/>
    <w:rsid w:val="006A2D41"/>
    <w:rsid w:val="006A3944"/>
    <w:rsid w:val="006A63EC"/>
    <w:rsid w:val="006A67E1"/>
    <w:rsid w:val="006C01C2"/>
    <w:rsid w:val="006C0EEB"/>
    <w:rsid w:val="006C36FB"/>
    <w:rsid w:val="006C7D62"/>
    <w:rsid w:val="006D0B23"/>
    <w:rsid w:val="006D2ED6"/>
    <w:rsid w:val="006D3802"/>
    <w:rsid w:val="006D5685"/>
    <w:rsid w:val="006D5CAB"/>
    <w:rsid w:val="006D788A"/>
    <w:rsid w:val="006E1987"/>
    <w:rsid w:val="006E23B2"/>
    <w:rsid w:val="006E4ADF"/>
    <w:rsid w:val="006E5207"/>
    <w:rsid w:val="006F1AB3"/>
    <w:rsid w:val="006F231C"/>
    <w:rsid w:val="006F5C70"/>
    <w:rsid w:val="006F66AB"/>
    <w:rsid w:val="006F6A20"/>
    <w:rsid w:val="007009FF"/>
    <w:rsid w:val="00703449"/>
    <w:rsid w:val="007047B2"/>
    <w:rsid w:val="00704A8B"/>
    <w:rsid w:val="00704DE7"/>
    <w:rsid w:val="00705A32"/>
    <w:rsid w:val="00706868"/>
    <w:rsid w:val="00706B38"/>
    <w:rsid w:val="007078B8"/>
    <w:rsid w:val="00715E32"/>
    <w:rsid w:val="007162D1"/>
    <w:rsid w:val="00716463"/>
    <w:rsid w:val="0071706E"/>
    <w:rsid w:val="007221C6"/>
    <w:rsid w:val="00727292"/>
    <w:rsid w:val="0073427D"/>
    <w:rsid w:val="00736D0B"/>
    <w:rsid w:val="00740876"/>
    <w:rsid w:val="00742F6A"/>
    <w:rsid w:val="007446E8"/>
    <w:rsid w:val="00751553"/>
    <w:rsid w:val="0075165E"/>
    <w:rsid w:val="00751965"/>
    <w:rsid w:val="00754E10"/>
    <w:rsid w:val="007618A7"/>
    <w:rsid w:val="00762A29"/>
    <w:rsid w:val="0076327D"/>
    <w:rsid w:val="00767070"/>
    <w:rsid w:val="00767745"/>
    <w:rsid w:val="007707FC"/>
    <w:rsid w:val="00770BE3"/>
    <w:rsid w:val="0077177A"/>
    <w:rsid w:val="007728A8"/>
    <w:rsid w:val="00775B81"/>
    <w:rsid w:val="007825F1"/>
    <w:rsid w:val="0078403B"/>
    <w:rsid w:val="00784CBA"/>
    <w:rsid w:val="00785A76"/>
    <w:rsid w:val="00787852"/>
    <w:rsid w:val="00787D6A"/>
    <w:rsid w:val="007915BC"/>
    <w:rsid w:val="00793D68"/>
    <w:rsid w:val="007947DB"/>
    <w:rsid w:val="007967FA"/>
    <w:rsid w:val="00796A87"/>
    <w:rsid w:val="00797E7A"/>
    <w:rsid w:val="007A0EA6"/>
    <w:rsid w:val="007A2D9E"/>
    <w:rsid w:val="007A56E6"/>
    <w:rsid w:val="007A6732"/>
    <w:rsid w:val="007B0381"/>
    <w:rsid w:val="007B0F3D"/>
    <w:rsid w:val="007B148D"/>
    <w:rsid w:val="007B18C8"/>
    <w:rsid w:val="007B28DE"/>
    <w:rsid w:val="007B7A5F"/>
    <w:rsid w:val="007C3208"/>
    <w:rsid w:val="007C36BE"/>
    <w:rsid w:val="007C6CA5"/>
    <w:rsid w:val="007D42C3"/>
    <w:rsid w:val="007D53ED"/>
    <w:rsid w:val="007D6001"/>
    <w:rsid w:val="007D68B8"/>
    <w:rsid w:val="007D7A19"/>
    <w:rsid w:val="007D7F94"/>
    <w:rsid w:val="007E1B76"/>
    <w:rsid w:val="007E219A"/>
    <w:rsid w:val="007E37BF"/>
    <w:rsid w:val="007E3B01"/>
    <w:rsid w:val="007E6593"/>
    <w:rsid w:val="007F034F"/>
    <w:rsid w:val="007F1101"/>
    <w:rsid w:val="007F2CB1"/>
    <w:rsid w:val="00803D20"/>
    <w:rsid w:val="008112A0"/>
    <w:rsid w:val="0081696D"/>
    <w:rsid w:val="00816E01"/>
    <w:rsid w:val="008173D0"/>
    <w:rsid w:val="00822285"/>
    <w:rsid w:val="00823235"/>
    <w:rsid w:val="008249F1"/>
    <w:rsid w:val="00824AF2"/>
    <w:rsid w:val="00826686"/>
    <w:rsid w:val="00835563"/>
    <w:rsid w:val="00836511"/>
    <w:rsid w:val="00836B02"/>
    <w:rsid w:val="00836EC6"/>
    <w:rsid w:val="0083741E"/>
    <w:rsid w:val="00837985"/>
    <w:rsid w:val="00840E3D"/>
    <w:rsid w:val="00841C2E"/>
    <w:rsid w:val="00841D8C"/>
    <w:rsid w:val="00842220"/>
    <w:rsid w:val="008433A0"/>
    <w:rsid w:val="00844111"/>
    <w:rsid w:val="00844F74"/>
    <w:rsid w:val="00846382"/>
    <w:rsid w:val="00850F57"/>
    <w:rsid w:val="0085260E"/>
    <w:rsid w:val="008536C2"/>
    <w:rsid w:val="0085538E"/>
    <w:rsid w:val="008574A7"/>
    <w:rsid w:val="008600C7"/>
    <w:rsid w:val="008617D0"/>
    <w:rsid w:val="00861A60"/>
    <w:rsid w:val="00862357"/>
    <w:rsid w:val="00862D02"/>
    <w:rsid w:val="008637B9"/>
    <w:rsid w:val="00864194"/>
    <w:rsid w:val="00870399"/>
    <w:rsid w:val="0087073F"/>
    <w:rsid w:val="008711EC"/>
    <w:rsid w:val="008718FE"/>
    <w:rsid w:val="00872946"/>
    <w:rsid w:val="00883928"/>
    <w:rsid w:val="00883DDE"/>
    <w:rsid w:val="00887977"/>
    <w:rsid w:val="00891D73"/>
    <w:rsid w:val="00892A44"/>
    <w:rsid w:val="00893FBF"/>
    <w:rsid w:val="0089597D"/>
    <w:rsid w:val="00896A1C"/>
    <w:rsid w:val="008974DA"/>
    <w:rsid w:val="008A2DE8"/>
    <w:rsid w:val="008A312D"/>
    <w:rsid w:val="008A3E09"/>
    <w:rsid w:val="008A3E57"/>
    <w:rsid w:val="008A52D9"/>
    <w:rsid w:val="008A77A7"/>
    <w:rsid w:val="008B3F34"/>
    <w:rsid w:val="008B6411"/>
    <w:rsid w:val="008C027D"/>
    <w:rsid w:val="008C3200"/>
    <w:rsid w:val="008C4213"/>
    <w:rsid w:val="008C56B9"/>
    <w:rsid w:val="008D05E0"/>
    <w:rsid w:val="008D2600"/>
    <w:rsid w:val="008D5A66"/>
    <w:rsid w:val="008E0AC0"/>
    <w:rsid w:val="008E215C"/>
    <w:rsid w:val="008E221A"/>
    <w:rsid w:val="008E3FFE"/>
    <w:rsid w:val="008E4070"/>
    <w:rsid w:val="008E4495"/>
    <w:rsid w:val="008E60BE"/>
    <w:rsid w:val="008E6B74"/>
    <w:rsid w:val="008F0FAF"/>
    <w:rsid w:val="008F46CD"/>
    <w:rsid w:val="008F6480"/>
    <w:rsid w:val="008F7740"/>
    <w:rsid w:val="00900CA2"/>
    <w:rsid w:val="00903653"/>
    <w:rsid w:val="009059A2"/>
    <w:rsid w:val="0090665E"/>
    <w:rsid w:val="00907EF4"/>
    <w:rsid w:val="00910A52"/>
    <w:rsid w:val="00911479"/>
    <w:rsid w:val="009119CB"/>
    <w:rsid w:val="0091484D"/>
    <w:rsid w:val="00921E56"/>
    <w:rsid w:val="00922486"/>
    <w:rsid w:val="009250F9"/>
    <w:rsid w:val="00925E71"/>
    <w:rsid w:val="00927707"/>
    <w:rsid w:val="00932195"/>
    <w:rsid w:val="0093329F"/>
    <w:rsid w:val="00935A71"/>
    <w:rsid w:val="00937043"/>
    <w:rsid w:val="009445D3"/>
    <w:rsid w:val="00945FB9"/>
    <w:rsid w:val="0095075B"/>
    <w:rsid w:val="00951885"/>
    <w:rsid w:val="00952EF6"/>
    <w:rsid w:val="00955A8A"/>
    <w:rsid w:val="00956B58"/>
    <w:rsid w:val="0096400D"/>
    <w:rsid w:val="009641E2"/>
    <w:rsid w:val="00966600"/>
    <w:rsid w:val="009671D9"/>
    <w:rsid w:val="00971352"/>
    <w:rsid w:val="00975E5B"/>
    <w:rsid w:val="00977C8F"/>
    <w:rsid w:val="00977F94"/>
    <w:rsid w:val="0098067B"/>
    <w:rsid w:val="009863E9"/>
    <w:rsid w:val="00990189"/>
    <w:rsid w:val="009923A5"/>
    <w:rsid w:val="00992E20"/>
    <w:rsid w:val="009936FC"/>
    <w:rsid w:val="00993925"/>
    <w:rsid w:val="00993977"/>
    <w:rsid w:val="009949DB"/>
    <w:rsid w:val="009956B1"/>
    <w:rsid w:val="009A05D1"/>
    <w:rsid w:val="009A28AC"/>
    <w:rsid w:val="009A3A5B"/>
    <w:rsid w:val="009A3F2A"/>
    <w:rsid w:val="009A770A"/>
    <w:rsid w:val="009A7A48"/>
    <w:rsid w:val="009B2AAC"/>
    <w:rsid w:val="009B3521"/>
    <w:rsid w:val="009B541C"/>
    <w:rsid w:val="009B6237"/>
    <w:rsid w:val="009C006E"/>
    <w:rsid w:val="009C18CA"/>
    <w:rsid w:val="009C22F9"/>
    <w:rsid w:val="009C4460"/>
    <w:rsid w:val="009D4522"/>
    <w:rsid w:val="009D7192"/>
    <w:rsid w:val="009E0E38"/>
    <w:rsid w:val="009E1A35"/>
    <w:rsid w:val="009E367B"/>
    <w:rsid w:val="009E4884"/>
    <w:rsid w:val="009F09AA"/>
    <w:rsid w:val="009F0AA8"/>
    <w:rsid w:val="009F2C16"/>
    <w:rsid w:val="009F2C1B"/>
    <w:rsid w:val="009F335C"/>
    <w:rsid w:val="009F35A7"/>
    <w:rsid w:val="009F50C6"/>
    <w:rsid w:val="009F6861"/>
    <w:rsid w:val="00A002B5"/>
    <w:rsid w:val="00A0260C"/>
    <w:rsid w:val="00A041B5"/>
    <w:rsid w:val="00A04F8C"/>
    <w:rsid w:val="00A05158"/>
    <w:rsid w:val="00A11861"/>
    <w:rsid w:val="00A13BF5"/>
    <w:rsid w:val="00A14837"/>
    <w:rsid w:val="00A14A65"/>
    <w:rsid w:val="00A170AD"/>
    <w:rsid w:val="00A225E3"/>
    <w:rsid w:val="00A23A26"/>
    <w:rsid w:val="00A24A8F"/>
    <w:rsid w:val="00A25708"/>
    <w:rsid w:val="00A25BF0"/>
    <w:rsid w:val="00A2712A"/>
    <w:rsid w:val="00A3026E"/>
    <w:rsid w:val="00A34749"/>
    <w:rsid w:val="00A35203"/>
    <w:rsid w:val="00A3668A"/>
    <w:rsid w:val="00A4051C"/>
    <w:rsid w:val="00A41B74"/>
    <w:rsid w:val="00A422A6"/>
    <w:rsid w:val="00A4576A"/>
    <w:rsid w:val="00A45AD0"/>
    <w:rsid w:val="00A45EE9"/>
    <w:rsid w:val="00A53C14"/>
    <w:rsid w:val="00A61410"/>
    <w:rsid w:val="00A6198A"/>
    <w:rsid w:val="00A65108"/>
    <w:rsid w:val="00A655FB"/>
    <w:rsid w:val="00A7067F"/>
    <w:rsid w:val="00A707A7"/>
    <w:rsid w:val="00A718FD"/>
    <w:rsid w:val="00A72341"/>
    <w:rsid w:val="00A74E57"/>
    <w:rsid w:val="00A776ED"/>
    <w:rsid w:val="00A80E50"/>
    <w:rsid w:val="00A8137F"/>
    <w:rsid w:val="00A83663"/>
    <w:rsid w:val="00A83B0F"/>
    <w:rsid w:val="00A84216"/>
    <w:rsid w:val="00A86B09"/>
    <w:rsid w:val="00A90022"/>
    <w:rsid w:val="00A90BFA"/>
    <w:rsid w:val="00A92663"/>
    <w:rsid w:val="00A92BF3"/>
    <w:rsid w:val="00A943C8"/>
    <w:rsid w:val="00A950A4"/>
    <w:rsid w:val="00A9520D"/>
    <w:rsid w:val="00A95DEB"/>
    <w:rsid w:val="00A9605A"/>
    <w:rsid w:val="00A9747D"/>
    <w:rsid w:val="00AA00A6"/>
    <w:rsid w:val="00AA6BA8"/>
    <w:rsid w:val="00AA7F5A"/>
    <w:rsid w:val="00AB20B4"/>
    <w:rsid w:val="00AB2340"/>
    <w:rsid w:val="00AB588F"/>
    <w:rsid w:val="00AB5FE4"/>
    <w:rsid w:val="00AB659D"/>
    <w:rsid w:val="00AB734D"/>
    <w:rsid w:val="00AC229F"/>
    <w:rsid w:val="00AD7671"/>
    <w:rsid w:val="00AE13D4"/>
    <w:rsid w:val="00AE3136"/>
    <w:rsid w:val="00AE3333"/>
    <w:rsid w:val="00AE354A"/>
    <w:rsid w:val="00AE53E8"/>
    <w:rsid w:val="00AE6FE4"/>
    <w:rsid w:val="00AF2059"/>
    <w:rsid w:val="00AF3D84"/>
    <w:rsid w:val="00AF4161"/>
    <w:rsid w:val="00AF43A9"/>
    <w:rsid w:val="00AF580B"/>
    <w:rsid w:val="00B007C8"/>
    <w:rsid w:val="00B11572"/>
    <w:rsid w:val="00B11B1E"/>
    <w:rsid w:val="00B14410"/>
    <w:rsid w:val="00B15E61"/>
    <w:rsid w:val="00B166A5"/>
    <w:rsid w:val="00B1765B"/>
    <w:rsid w:val="00B22F8D"/>
    <w:rsid w:val="00B24F35"/>
    <w:rsid w:val="00B320FA"/>
    <w:rsid w:val="00B32107"/>
    <w:rsid w:val="00B32C88"/>
    <w:rsid w:val="00B34747"/>
    <w:rsid w:val="00B4144B"/>
    <w:rsid w:val="00B42A1B"/>
    <w:rsid w:val="00B42E49"/>
    <w:rsid w:val="00B50903"/>
    <w:rsid w:val="00B52E22"/>
    <w:rsid w:val="00B56D93"/>
    <w:rsid w:val="00B62C97"/>
    <w:rsid w:val="00B62FFE"/>
    <w:rsid w:val="00B65013"/>
    <w:rsid w:val="00B7123A"/>
    <w:rsid w:val="00B714B7"/>
    <w:rsid w:val="00B72304"/>
    <w:rsid w:val="00B739A9"/>
    <w:rsid w:val="00B7435C"/>
    <w:rsid w:val="00B7624E"/>
    <w:rsid w:val="00B76F38"/>
    <w:rsid w:val="00B77FE7"/>
    <w:rsid w:val="00B8085D"/>
    <w:rsid w:val="00B80FB5"/>
    <w:rsid w:val="00B81EFF"/>
    <w:rsid w:val="00B836BB"/>
    <w:rsid w:val="00B83A58"/>
    <w:rsid w:val="00B84122"/>
    <w:rsid w:val="00B862B0"/>
    <w:rsid w:val="00B87177"/>
    <w:rsid w:val="00B9454E"/>
    <w:rsid w:val="00B95F8E"/>
    <w:rsid w:val="00B97C1D"/>
    <w:rsid w:val="00BA2B7C"/>
    <w:rsid w:val="00BB142A"/>
    <w:rsid w:val="00BB1436"/>
    <w:rsid w:val="00BB34B9"/>
    <w:rsid w:val="00BB35C2"/>
    <w:rsid w:val="00BB427D"/>
    <w:rsid w:val="00BB553B"/>
    <w:rsid w:val="00BB7161"/>
    <w:rsid w:val="00BC28D7"/>
    <w:rsid w:val="00BC2D0B"/>
    <w:rsid w:val="00BC376C"/>
    <w:rsid w:val="00BC5897"/>
    <w:rsid w:val="00BC6321"/>
    <w:rsid w:val="00BC7817"/>
    <w:rsid w:val="00BD116E"/>
    <w:rsid w:val="00BD247F"/>
    <w:rsid w:val="00BD3819"/>
    <w:rsid w:val="00BD476B"/>
    <w:rsid w:val="00BD642D"/>
    <w:rsid w:val="00BD6542"/>
    <w:rsid w:val="00BD6988"/>
    <w:rsid w:val="00BE0D4F"/>
    <w:rsid w:val="00BE1A77"/>
    <w:rsid w:val="00BE42CF"/>
    <w:rsid w:val="00BE4742"/>
    <w:rsid w:val="00BE7383"/>
    <w:rsid w:val="00BE754D"/>
    <w:rsid w:val="00BE7F51"/>
    <w:rsid w:val="00BF1DB9"/>
    <w:rsid w:val="00BF6D10"/>
    <w:rsid w:val="00BF6E79"/>
    <w:rsid w:val="00C03F6C"/>
    <w:rsid w:val="00C050A8"/>
    <w:rsid w:val="00C11B43"/>
    <w:rsid w:val="00C12108"/>
    <w:rsid w:val="00C121D9"/>
    <w:rsid w:val="00C13453"/>
    <w:rsid w:val="00C220F9"/>
    <w:rsid w:val="00C2541C"/>
    <w:rsid w:val="00C26862"/>
    <w:rsid w:val="00C26CF1"/>
    <w:rsid w:val="00C30458"/>
    <w:rsid w:val="00C31DA6"/>
    <w:rsid w:val="00C33260"/>
    <w:rsid w:val="00C3695B"/>
    <w:rsid w:val="00C410F0"/>
    <w:rsid w:val="00C4598F"/>
    <w:rsid w:val="00C45D09"/>
    <w:rsid w:val="00C50360"/>
    <w:rsid w:val="00C54E12"/>
    <w:rsid w:val="00C55468"/>
    <w:rsid w:val="00C622C3"/>
    <w:rsid w:val="00C62717"/>
    <w:rsid w:val="00C63BD5"/>
    <w:rsid w:val="00C66319"/>
    <w:rsid w:val="00C71F49"/>
    <w:rsid w:val="00C74906"/>
    <w:rsid w:val="00C775B8"/>
    <w:rsid w:val="00C81B40"/>
    <w:rsid w:val="00C81FEA"/>
    <w:rsid w:val="00C83969"/>
    <w:rsid w:val="00C84D07"/>
    <w:rsid w:val="00C86C95"/>
    <w:rsid w:val="00C959F0"/>
    <w:rsid w:val="00CA05EB"/>
    <w:rsid w:val="00CA3515"/>
    <w:rsid w:val="00CA3A05"/>
    <w:rsid w:val="00CA5250"/>
    <w:rsid w:val="00CA5381"/>
    <w:rsid w:val="00CA59A0"/>
    <w:rsid w:val="00CB0C61"/>
    <w:rsid w:val="00CB14E9"/>
    <w:rsid w:val="00CB6D90"/>
    <w:rsid w:val="00CB72C3"/>
    <w:rsid w:val="00CC40EE"/>
    <w:rsid w:val="00CC45E4"/>
    <w:rsid w:val="00CD019F"/>
    <w:rsid w:val="00CD0A7C"/>
    <w:rsid w:val="00CD1876"/>
    <w:rsid w:val="00CD27C5"/>
    <w:rsid w:val="00CD2DDD"/>
    <w:rsid w:val="00CE0FA2"/>
    <w:rsid w:val="00CE4169"/>
    <w:rsid w:val="00CE66FD"/>
    <w:rsid w:val="00CE7894"/>
    <w:rsid w:val="00CF06A1"/>
    <w:rsid w:val="00CF10CD"/>
    <w:rsid w:val="00CF1467"/>
    <w:rsid w:val="00CF48D6"/>
    <w:rsid w:val="00CF57D6"/>
    <w:rsid w:val="00CF6C1B"/>
    <w:rsid w:val="00D019D5"/>
    <w:rsid w:val="00D040FE"/>
    <w:rsid w:val="00D04D75"/>
    <w:rsid w:val="00D115E5"/>
    <w:rsid w:val="00D13412"/>
    <w:rsid w:val="00D168FD"/>
    <w:rsid w:val="00D16F64"/>
    <w:rsid w:val="00D23225"/>
    <w:rsid w:val="00D2472C"/>
    <w:rsid w:val="00D27887"/>
    <w:rsid w:val="00D279BA"/>
    <w:rsid w:val="00D35117"/>
    <w:rsid w:val="00D404B5"/>
    <w:rsid w:val="00D447CB"/>
    <w:rsid w:val="00D46CD7"/>
    <w:rsid w:val="00D47D16"/>
    <w:rsid w:val="00D505F4"/>
    <w:rsid w:val="00D51069"/>
    <w:rsid w:val="00D51CE1"/>
    <w:rsid w:val="00D52854"/>
    <w:rsid w:val="00D535F4"/>
    <w:rsid w:val="00D562F2"/>
    <w:rsid w:val="00D569F4"/>
    <w:rsid w:val="00D61B93"/>
    <w:rsid w:val="00D64F53"/>
    <w:rsid w:val="00D67E4A"/>
    <w:rsid w:val="00D710A8"/>
    <w:rsid w:val="00D71879"/>
    <w:rsid w:val="00D71C47"/>
    <w:rsid w:val="00D763FD"/>
    <w:rsid w:val="00D8180A"/>
    <w:rsid w:val="00D871C5"/>
    <w:rsid w:val="00D87694"/>
    <w:rsid w:val="00D90AD1"/>
    <w:rsid w:val="00D941F7"/>
    <w:rsid w:val="00D97C2C"/>
    <w:rsid w:val="00DA0F30"/>
    <w:rsid w:val="00DA4DDF"/>
    <w:rsid w:val="00DA5225"/>
    <w:rsid w:val="00DB0804"/>
    <w:rsid w:val="00DB2FC4"/>
    <w:rsid w:val="00DB45F1"/>
    <w:rsid w:val="00DB537B"/>
    <w:rsid w:val="00DC2AD3"/>
    <w:rsid w:val="00DC382A"/>
    <w:rsid w:val="00DD0516"/>
    <w:rsid w:val="00DD0B8C"/>
    <w:rsid w:val="00DD2401"/>
    <w:rsid w:val="00DD412B"/>
    <w:rsid w:val="00DE1923"/>
    <w:rsid w:val="00DE2B33"/>
    <w:rsid w:val="00DE3AEA"/>
    <w:rsid w:val="00DE638B"/>
    <w:rsid w:val="00DE72EE"/>
    <w:rsid w:val="00DF37E5"/>
    <w:rsid w:val="00E0306B"/>
    <w:rsid w:val="00E034FE"/>
    <w:rsid w:val="00E041E5"/>
    <w:rsid w:val="00E04888"/>
    <w:rsid w:val="00E06E2A"/>
    <w:rsid w:val="00E0763B"/>
    <w:rsid w:val="00E10302"/>
    <w:rsid w:val="00E11594"/>
    <w:rsid w:val="00E17EC5"/>
    <w:rsid w:val="00E2078D"/>
    <w:rsid w:val="00E26BFD"/>
    <w:rsid w:val="00E27E90"/>
    <w:rsid w:val="00E33D02"/>
    <w:rsid w:val="00E34F2C"/>
    <w:rsid w:val="00E35B9F"/>
    <w:rsid w:val="00E35D6B"/>
    <w:rsid w:val="00E35D79"/>
    <w:rsid w:val="00E361DB"/>
    <w:rsid w:val="00E36872"/>
    <w:rsid w:val="00E422E0"/>
    <w:rsid w:val="00E46014"/>
    <w:rsid w:val="00E4641E"/>
    <w:rsid w:val="00E519AE"/>
    <w:rsid w:val="00E54FF7"/>
    <w:rsid w:val="00E57AF7"/>
    <w:rsid w:val="00E6241B"/>
    <w:rsid w:val="00E63B1D"/>
    <w:rsid w:val="00E64518"/>
    <w:rsid w:val="00E64FCC"/>
    <w:rsid w:val="00E703B6"/>
    <w:rsid w:val="00E72200"/>
    <w:rsid w:val="00E72B1B"/>
    <w:rsid w:val="00E72E7F"/>
    <w:rsid w:val="00E737FF"/>
    <w:rsid w:val="00E75228"/>
    <w:rsid w:val="00E75D47"/>
    <w:rsid w:val="00E766F5"/>
    <w:rsid w:val="00E77055"/>
    <w:rsid w:val="00E778F9"/>
    <w:rsid w:val="00E77948"/>
    <w:rsid w:val="00E82948"/>
    <w:rsid w:val="00E8650E"/>
    <w:rsid w:val="00E90218"/>
    <w:rsid w:val="00E913BB"/>
    <w:rsid w:val="00E92E19"/>
    <w:rsid w:val="00E95F2E"/>
    <w:rsid w:val="00E95F9B"/>
    <w:rsid w:val="00EA1508"/>
    <w:rsid w:val="00EA1541"/>
    <w:rsid w:val="00EA32E4"/>
    <w:rsid w:val="00EA7E36"/>
    <w:rsid w:val="00EB0898"/>
    <w:rsid w:val="00EB627B"/>
    <w:rsid w:val="00EB6D94"/>
    <w:rsid w:val="00EC4183"/>
    <w:rsid w:val="00EC4C05"/>
    <w:rsid w:val="00EC6468"/>
    <w:rsid w:val="00EC6708"/>
    <w:rsid w:val="00ED1AB6"/>
    <w:rsid w:val="00ED207C"/>
    <w:rsid w:val="00ED325A"/>
    <w:rsid w:val="00ED3F41"/>
    <w:rsid w:val="00ED5615"/>
    <w:rsid w:val="00ED6676"/>
    <w:rsid w:val="00ED692E"/>
    <w:rsid w:val="00ED69AF"/>
    <w:rsid w:val="00EE1847"/>
    <w:rsid w:val="00EE240E"/>
    <w:rsid w:val="00EE2AA9"/>
    <w:rsid w:val="00EE6211"/>
    <w:rsid w:val="00EE688E"/>
    <w:rsid w:val="00EE6A6D"/>
    <w:rsid w:val="00EF03E2"/>
    <w:rsid w:val="00EF33ED"/>
    <w:rsid w:val="00EF5B24"/>
    <w:rsid w:val="00EF7F8B"/>
    <w:rsid w:val="00F00171"/>
    <w:rsid w:val="00F0024F"/>
    <w:rsid w:val="00F008D9"/>
    <w:rsid w:val="00F03814"/>
    <w:rsid w:val="00F04F7B"/>
    <w:rsid w:val="00F05277"/>
    <w:rsid w:val="00F07241"/>
    <w:rsid w:val="00F07A09"/>
    <w:rsid w:val="00F10931"/>
    <w:rsid w:val="00F1390C"/>
    <w:rsid w:val="00F14D98"/>
    <w:rsid w:val="00F20C5E"/>
    <w:rsid w:val="00F2234A"/>
    <w:rsid w:val="00F32BCE"/>
    <w:rsid w:val="00F36A1D"/>
    <w:rsid w:val="00F404B8"/>
    <w:rsid w:val="00F419E5"/>
    <w:rsid w:val="00F42447"/>
    <w:rsid w:val="00F44278"/>
    <w:rsid w:val="00F47F0C"/>
    <w:rsid w:val="00F519D3"/>
    <w:rsid w:val="00F51B65"/>
    <w:rsid w:val="00F52AAB"/>
    <w:rsid w:val="00F52EB6"/>
    <w:rsid w:val="00F55260"/>
    <w:rsid w:val="00F56DDD"/>
    <w:rsid w:val="00F6316B"/>
    <w:rsid w:val="00F65AE0"/>
    <w:rsid w:val="00F66334"/>
    <w:rsid w:val="00F671E0"/>
    <w:rsid w:val="00F67A1A"/>
    <w:rsid w:val="00F74E38"/>
    <w:rsid w:val="00F76120"/>
    <w:rsid w:val="00F76D6F"/>
    <w:rsid w:val="00F778B0"/>
    <w:rsid w:val="00F83B7B"/>
    <w:rsid w:val="00F83BC2"/>
    <w:rsid w:val="00F92EC1"/>
    <w:rsid w:val="00F93812"/>
    <w:rsid w:val="00F944DD"/>
    <w:rsid w:val="00F94C47"/>
    <w:rsid w:val="00FA0421"/>
    <w:rsid w:val="00FA2E05"/>
    <w:rsid w:val="00FA3389"/>
    <w:rsid w:val="00FA3476"/>
    <w:rsid w:val="00FA4909"/>
    <w:rsid w:val="00FA495F"/>
    <w:rsid w:val="00FA5548"/>
    <w:rsid w:val="00FB0C10"/>
    <w:rsid w:val="00FB172D"/>
    <w:rsid w:val="00FB2CFA"/>
    <w:rsid w:val="00FB3C36"/>
    <w:rsid w:val="00FB4280"/>
    <w:rsid w:val="00FB4B12"/>
    <w:rsid w:val="00FB7CCE"/>
    <w:rsid w:val="00FC01C8"/>
    <w:rsid w:val="00FC5027"/>
    <w:rsid w:val="00FC50C7"/>
    <w:rsid w:val="00FC511D"/>
    <w:rsid w:val="00FC68BC"/>
    <w:rsid w:val="00FC6901"/>
    <w:rsid w:val="00FD11D4"/>
    <w:rsid w:val="00FD225D"/>
    <w:rsid w:val="00FD2384"/>
    <w:rsid w:val="00FD3275"/>
    <w:rsid w:val="00FE1FFF"/>
    <w:rsid w:val="00FE452E"/>
    <w:rsid w:val="00FF4275"/>
    <w:rsid w:val="00FF4A4C"/>
    <w:rsid w:val="00FF4C15"/>
    <w:rsid w:val="00FF4C93"/>
    <w:rsid w:val="00FF7FC8"/>
    <w:rsid w:val="01028A59"/>
    <w:rsid w:val="01A77403"/>
    <w:rsid w:val="01C35578"/>
    <w:rsid w:val="01FC6CF4"/>
    <w:rsid w:val="0203A864"/>
    <w:rsid w:val="0212CB40"/>
    <w:rsid w:val="02A05813"/>
    <w:rsid w:val="02A67A83"/>
    <w:rsid w:val="02DCAFB9"/>
    <w:rsid w:val="0332FBC7"/>
    <w:rsid w:val="033E7172"/>
    <w:rsid w:val="0385A76A"/>
    <w:rsid w:val="039EDB28"/>
    <w:rsid w:val="03BA3103"/>
    <w:rsid w:val="048DD1F2"/>
    <w:rsid w:val="0497FBF6"/>
    <w:rsid w:val="04B1AD41"/>
    <w:rsid w:val="04ED710E"/>
    <w:rsid w:val="05016A63"/>
    <w:rsid w:val="0508459F"/>
    <w:rsid w:val="050C9173"/>
    <w:rsid w:val="0513BEFA"/>
    <w:rsid w:val="05539283"/>
    <w:rsid w:val="05742E70"/>
    <w:rsid w:val="068E2E66"/>
    <w:rsid w:val="06D91A43"/>
    <w:rsid w:val="07772DDB"/>
    <w:rsid w:val="0787A40A"/>
    <w:rsid w:val="07A1CCB9"/>
    <w:rsid w:val="07F1376E"/>
    <w:rsid w:val="07F90BFA"/>
    <w:rsid w:val="08601BD0"/>
    <w:rsid w:val="08678C8D"/>
    <w:rsid w:val="08A606FE"/>
    <w:rsid w:val="08B9A7A2"/>
    <w:rsid w:val="08F473E1"/>
    <w:rsid w:val="09193144"/>
    <w:rsid w:val="09438C0C"/>
    <w:rsid w:val="09A8AEC8"/>
    <w:rsid w:val="0A29331C"/>
    <w:rsid w:val="0A351958"/>
    <w:rsid w:val="0AFF1D90"/>
    <w:rsid w:val="0B08432B"/>
    <w:rsid w:val="0B1EF713"/>
    <w:rsid w:val="0B86781C"/>
    <w:rsid w:val="0BA12176"/>
    <w:rsid w:val="0BE0290A"/>
    <w:rsid w:val="0C2FEC9E"/>
    <w:rsid w:val="0CA06761"/>
    <w:rsid w:val="0CB1707B"/>
    <w:rsid w:val="0CEFE624"/>
    <w:rsid w:val="0D4620B0"/>
    <w:rsid w:val="0D6420E2"/>
    <w:rsid w:val="0D8126B7"/>
    <w:rsid w:val="0DB0B47B"/>
    <w:rsid w:val="0DC0D3D5"/>
    <w:rsid w:val="0DC6BCBE"/>
    <w:rsid w:val="0DD1C718"/>
    <w:rsid w:val="0DF3048D"/>
    <w:rsid w:val="0E0F9EE7"/>
    <w:rsid w:val="0E110564"/>
    <w:rsid w:val="0E64FB5F"/>
    <w:rsid w:val="0E71462E"/>
    <w:rsid w:val="0E8BB685"/>
    <w:rsid w:val="0EFD2841"/>
    <w:rsid w:val="0F606594"/>
    <w:rsid w:val="0F874C0A"/>
    <w:rsid w:val="0F977FB3"/>
    <w:rsid w:val="0FFCD7D7"/>
    <w:rsid w:val="10475339"/>
    <w:rsid w:val="10637F00"/>
    <w:rsid w:val="10B01303"/>
    <w:rsid w:val="11AC3B81"/>
    <w:rsid w:val="11E6D9BA"/>
    <w:rsid w:val="11E83F98"/>
    <w:rsid w:val="11FF880C"/>
    <w:rsid w:val="12C98CC7"/>
    <w:rsid w:val="131383C4"/>
    <w:rsid w:val="139DB6D6"/>
    <w:rsid w:val="13DEE7C1"/>
    <w:rsid w:val="13EE0BE2"/>
    <w:rsid w:val="14FC45A1"/>
    <w:rsid w:val="15775CC2"/>
    <w:rsid w:val="157AB822"/>
    <w:rsid w:val="16012D89"/>
    <w:rsid w:val="16211F15"/>
    <w:rsid w:val="163AF7C9"/>
    <w:rsid w:val="1652789A"/>
    <w:rsid w:val="1662A73E"/>
    <w:rsid w:val="16DE6F65"/>
    <w:rsid w:val="16E7D7EA"/>
    <w:rsid w:val="16EE6521"/>
    <w:rsid w:val="16EF89E6"/>
    <w:rsid w:val="173E5A99"/>
    <w:rsid w:val="175F76A4"/>
    <w:rsid w:val="17722149"/>
    <w:rsid w:val="177493EF"/>
    <w:rsid w:val="181B726D"/>
    <w:rsid w:val="1860BAA5"/>
    <w:rsid w:val="188665C9"/>
    <w:rsid w:val="18905731"/>
    <w:rsid w:val="18FC7FE5"/>
    <w:rsid w:val="190F03F4"/>
    <w:rsid w:val="19245DFB"/>
    <w:rsid w:val="19313A4C"/>
    <w:rsid w:val="193EEBA8"/>
    <w:rsid w:val="196293D1"/>
    <w:rsid w:val="198FF202"/>
    <w:rsid w:val="19A4E504"/>
    <w:rsid w:val="19D54468"/>
    <w:rsid w:val="1A177BC8"/>
    <w:rsid w:val="1A272AA8"/>
    <w:rsid w:val="1A653BC3"/>
    <w:rsid w:val="1AC3E687"/>
    <w:rsid w:val="1AD3FBF7"/>
    <w:rsid w:val="1ADFC0D5"/>
    <w:rsid w:val="1B078DC3"/>
    <w:rsid w:val="1B2CF570"/>
    <w:rsid w:val="1BA1D5F9"/>
    <w:rsid w:val="1BBE02DB"/>
    <w:rsid w:val="1BC26375"/>
    <w:rsid w:val="1BC8619F"/>
    <w:rsid w:val="1BD04392"/>
    <w:rsid w:val="1BF77B21"/>
    <w:rsid w:val="1C1E6B2C"/>
    <w:rsid w:val="1C6DFDCF"/>
    <w:rsid w:val="1C941A39"/>
    <w:rsid w:val="1CC5030E"/>
    <w:rsid w:val="1D10AC8D"/>
    <w:rsid w:val="1D39334B"/>
    <w:rsid w:val="1D7B834C"/>
    <w:rsid w:val="1DF9CCE1"/>
    <w:rsid w:val="1E44F2DE"/>
    <w:rsid w:val="1E68553D"/>
    <w:rsid w:val="1E988779"/>
    <w:rsid w:val="1F0691FA"/>
    <w:rsid w:val="1F188809"/>
    <w:rsid w:val="1F6CACC7"/>
    <w:rsid w:val="1F89BD6E"/>
    <w:rsid w:val="1FED629F"/>
    <w:rsid w:val="2043DF63"/>
    <w:rsid w:val="20670254"/>
    <w:rsid w:val="20CA59C9"/>
    <w:rsid w:val="210E547D"/>
    <w:rsid w:val="2158877E"/>
    <w:rsid w:val="21653AF6"/>
    <w:rsid w:val="21B8DB18"/>
    <w:rsid w:val="220B62F2"/>
    <w:rsid w:val="220D4D97"/>
    <w:rsid w:val="22547E17"/>
    <w:rsid w:val="225A316B"/>
    <w:rsid w:val="229FD4D1"/>
    <w:rsid w:val="22E2A4EE"/>
    <w:rsid w:val="22F9774B"/>
    <w:rsid w:val="22FCB1BE"/>
    <w:rsid w:val="232FBC50"/>
    <w:rsid w:val="24549635"/>
    <w:rsid w:val="24842D98"/>
    <w:rsid w:val="24F4D62A"/>
    <w:rsid w:val="2504466E"/>
    <w:rsid w:val="253DE521"/>
    <w:rsid w:val="2587C98D"/>
    <w:rsid w:val="25F16B7B"/>
    <w:rsid w:val="267A1FDB"/>
    <w:rsid w:val="273FE5D4"/>
    <w:rsid w:val="27BAB512"/>
    <w:rsid w:val="27D5F83A"/>
    <w:rsid w:val="27D732D9"/>
    <w:rsid w:val="281C3A20"/>
    <w:rsid w:val="285839C2"/>
    <w:rsid w:val="288DBC4A"/>
    <w:rsid w:val="28EDD146"/>
    <w:rsid w:val="2920814E"/>
    <w:rsid w:val="294FFBD9"/>
    <w:rsid w:val="29DAE365"/>
    <w:rsid w:val="29DBFB8E"/>
    <w:rsid w:val="2A298CAB"/>
    <w:rsid w:val="2A35F78D"/>
    <w:rsid w:val="2A3ED489"/>
    <w:rsid w:val="2AD8E761"/>
    <w:rsid w:val="2B5086B6"/>
    <w:rsid w:val="2B88CAC2"/>
    <w:rsid w:val="2B92A4F3"/>
    <w:rsid w:val="2BF3B221"/>
    <w:rsid w:val="2C35EAA6"/>
    <w:rsid w:val="2C7397AF"/>
    <w:rsid w:val="2C7D294A"/>
    <w:rsid w:val="2C985A8E"/>
    <w:rsid w:val="2CAEC4EB"/>
    <w:rsid w:val="2CCB70F4"/>
    <w:rsid w:val="2CD41298"/>
    <w:rsid w:val="2D261105"/>
    <w:rsid w:val="2D2C31AC"/>
    <w:rsid w:val="2D3343E6"/>
    <w:rsid w:val="2D395965"/>
    <w:rsid w:val="2D829F44"/>
    <w:rsid w:val="2DADDA4F"/>
    <w:rsid w:val="2E24EA28"/>
    <w:rsid w:val="2E4F89CA"/>
    <w:rsid w:val="2E93CF55"/>
    <w:rsid w:val="2E9E70A8"/>
    <w:rsid w:val="2EDF987A"/>
    <w:rsid w:val="2EF1AC4D"/>
    <w:rsid w:val="2F268D86"/>
    <w:rsid w:val="30317F9D"/>
    <w:rsid w:val="3069F462"/>
    <w:rsid w:val="30AD5CF4"/>
    <w:rsid w:val="30B571B8"/>
    <w:rsid w:val="30C57982"/>
    <w:rsid w:val="32372580"/>
    <w:rsid w:val="3237D836"/>
    <w:rsid w:val="32678DA7"/>
    <w:rsid w:val="328EC39F"/>
    <w:rsid w:val="33186F73"/>
    <w:rsid w:val="331F9F8B"/>
    <w:rsid w:val="332CB513"/>
    <w:rsid w:val="33372B1C"/>
    <w:rsid w:val="341DF5E0"/>
    <w:rsid w:val="3442BF43"/>
    <w:rsid w:val="3466DE46"/>
    <w:rsid w:val="346CE50E"/>
    <w:rsid w:val="348768B5"/>
    <w:rsid w:val="3495FB44"/>
    <w:rsid w:val="34CD8A04"/>
    <w:rsid w:val="3561739A"/>
    <w:rsid w:val="35E55339"/>
    <w:rsid w:val="35FD34EA"/>
    <w:rsid w:val="3616C135"/>
    <w:rsid w:val="3710BB4A"/>
    <w:rsid w:val="37CA8E11"/>
    <w:rsid w:val="37D018FB"/>
    <w:rsid w:val="37D1CBB9"/>
    <w:rsid w:val="37F173E2"/>
    <w:rsid w:val="382EA10B"/>
    <w:rsid w:val="3835E178"/>
    <w:rsid w:val="3859A7A5"/>
    <w:rsid w:val="385B2BD0"/>
    <w:rsid w:val="387BBB62"/>
    <w:rsid w:val="387C3431"/>
    <w:rsid w:val="38BDA6CE"/>
    <w:rsid w:val="38C550DD"/>
    <w:rsid w:val="3903C632"/>
    <w:rsid w:val="3A2AB8B2"/>
    <w:rsid w:val="3A49C87E"/>
    <w:rsid w:val="3AA11628"/>
    <w:rsid w:val="3AD4D0EE"/>
    <w:rsid w:val="3B9EBBBB"/>
    <w:rsid w:val="3BF17C9D"/>
    <w:rsid w:val="3C0E6FED"/>
    <w:rsid w:val="3C175D43"/>
    <w:rsid w:val="3C9C8BB0"/>
    <w:rsid w:val="3CA4BE8C"/>
    <w:rsid w:val="3CAC0282"/>
    <w:rsid w:val="3CE7C971"/>
    <w:rsid w:val="3D1B8FCB"/>
    <w:rsid w:val="3D737750"/>
    <w:rsid w:val="3E28D6FC"/>
    <w:rsid w:val="3E385C11"/>
    <w:rsid w:val="3E51EBCD"/>
    <w:rsid w:val="3E570840"/>
    <w:rsid w:val="3E5A1654"/>
    <w:rsid w:val="3E68E91B"/>
    <w:rsid w:val="3E974FF2"/>
    <w:rsid w:val="3F0802E8"/>
    <w:rsid w:val="3F24892F"/>
    <w:rsid w:val="3F516D64"/>
    <w:rsid w:val="3F8F4116"/>
    <w:rsid w:val="3FBAF302"/>
    <w:rsid w:val="3FFC85C7"/>
    <w:rsid w:val="40112630"/>
    <w:rsid w:val="4043A3EB"/>
    <w:rsid w:val="4053308D"/>
    <w:rsid w:val="409C3603"/>
    <w:rsid w:val="4113F108"/>
    <w:rsid w:val="4139EA78"/>
    <w:rsid w:val="41805DB6"/>
    <w:rsid w:val="419E4B2D"/>
    <w:rsid w:val="4233D0B5"/>
    <w:rsid w:val="424FC34F"/>
    <w:rsid w:val="42596098"/>
    <w:rsid w:val="429EFBE2"/>
    <w:rsid w:val="42CF2264"/>
    <w:rsid w:val="42E90977"/>
    <w:rsid w:val="430D6647"/>
    <w:rsid w:val="43202A26"/>
    <w:rsid w:val="433963ED"/>
    <w:rsid w:val="43F877B4"/>
    <w:rsid w:val="4434127C"/>
    <w:rsid w:val="445306CD"/>
    <w:rsid w:val="44908DCF"/>
    <w:rsid w:val="450814B0"/>
    <w:rsid w:val="451FE7E9"/>
    <w:rsid w:val="45355F49"/>
    <w:rsid w:val="459A3C30"/>
    <w:rsid w:val="45ABD4C9"/>
    <w:rsid w:val="45D3CF85"/>
    <w:rsid w:val="4650DE80"/>
    <w:rsid w:val="4657CAE8"/>
    <w:rsid w:val="4677883A"/>
    <w:rsid w:val="4693A6F6"/>
    <w:rsid w:val="4717E269"/>
    <w:rsid w:val="47341453"/>
    <w:rsid w:val="47466591"/>
    <w:rsid w:val="4787FD0D"/>
    <w:rsid w:val="4788E6E7"/>
    <w:rsid w:val="47BEE3C6"/>
    <w:rsid w:val="47C86843"/>
    <w:rsid w:val="47D54DFB"/>
    <w:rsid w:val="480845C8"/>
    <w:rsid w:val="480F88E2"/>
    <w:rsid w:val="48222099"/>
    <w:rsid w:val="485D4249"/>
    <w:rsid w:val="48632F7C"/>
    <w:rsid w:val="4867D2E6"/>
    <w:rsid w:val="4914B4D2"/>
    <w:rsid w:val="49ED92C1"/>
    <w:rsid w:val="4A010087"/>
    <w:rsid w:val="4A579E7B"/>
    <w:rsid w:val="4A7778FC"/>
    <w:rsid w:val="4AB7204C"/>
    <w:rsid w:val="4AD5E856"/>
    <w:rsid w:val="4B2DFD97"/>
    <w:rsid w:val="4B34F82E"/>
    <w:rsid w:val="4B4725F4"/>
    <w:rsid w:val="4B4A9DE9"/>
    <w:rsid w:val="4B6B4766"/>
    <w:rsid w:val="4B94E30B"/>
    <w:rsid w:val="4BEB5EC0"/>
    <w:rsid w:val="4C1358E0"/>
    <w:rsid w:val="4C1F0B98"/>
    <w:rsid w:val="4C857C16"/>
    <w:rsid w:val="4CEB350C"/>
    <w:rsid w:val="4D35DFA2"/>
    <w:rsid w:val="4D59FE32"/>
    <w:rsid w:val="4DD9BF13"/>
    <w:rsid w:val="4E30FBE0"/>
    <w:rsid w:val="4E35F40E"/>
    <w:rsid w:val="4E54BE8A"/>
    <w:rsid w:val="4F4AF9A2"/>
    <w:rsid w:val="4F62F5C7"/>
    <w:rsid w:val="4FB480A8"/>
    <w:rsid w:val="4FD1488E"/>
    <w:rsid w:val="4FD77996"/>
    <w:rsid w:val="4FE0315E"/>
    <w:rsid w:val="5001726A"/>
    <w:rsid w:val="500D2E44"/>
    <w:rsid w:val="50295080"/>
    <w:rsid w:val="503BBCA5"/>
    <w:rsid w:val="505595C7"/>
    <w:rsid w:val="508B5AED"/>
    <w:rsid w:val="510026EE"/>
    <w:rsid w:val="510DFFFB"/>
    <w:rsid w:val="51505109"/>
    <w:rsid w:val="51ED2218"/>
    <w:rsid w:val="529876AE"/>
    <w:rsid w:val="52C6DF7C"/>
    <w:rsid w:val="53117F75"/>
    <w:rsid w:val="535D2C8E"/>
    <w:rsid w:val="5380D38A"/>
    <w:rsid w:val="53BEA56A"/>
    <w:rsid w:val="53F3B609"/>
    <w:rsid w:val="53F40480"/>
    <w:rsid w:val="54295076"/>
    <w:rsid w:val="5445A0BD"/>
    <w:rsid w:val="54AE0F87"/>
    <w:rsid w:val="553FAA29"/>
    <w:rsid w:val="55664324"/>
    <w:rsid w:val="55DFA2D3"/>
    <w:rsid w:val="5669C78F"/>
    <w:rsid w:val="56D53C78"/>
    <w:rsid w:val="56FC82D2"/>
    <w:rsid w:val="57953309"/>
    <w:rsid w:val="57D4D8C7"/>
    <w:rsid w:val="580897DC"/>
    <w:rsid w:val="587B88ED"/>
    <w:rsid w:val="59164AF9"/>
    <w:rsid w:val="595C7538"/>
    <w:rsid w:val="596B9BD7"/>
    <w:rsid w:val="59A48DD0"/>
    <w:rsid w:val="59A5D65C"/>
    <w:rsid w:val="5A675AF2"/>
    <w:rsid w:val="5A6F979A"/>
    <w:rsid w:val="5A870B34"/>
    <w:rsid w:val="5A8A14E1"/>
    <w:rsid w:val="5AFDFC7D"/>
    <w:rsid w:val="5B2EF14F"/>
    <w:rsid w:val="5B4DA116"/>
    <w:rsid w:val="5B70A935"/>
    <w:rsid w:val="5C07BE28"/>
    <w:rsid w:val="5C0D6FD8"/>
    <w:rsid w:val="5CA917DE"/>
    <w:rsid w:val="5D490B1E"/>
    <w:rsid w:val="5E08B5FC"/>
    <w:rsid w:val="5E66F394"/>
    <w:rsid w:val="5F6F8516"/>
    <w:rsid w:val="5F88AD73"/>
    <w:rsid w:val="5FA4E56B"/>
    <w:rsid w:val="601D9BFE"/>
    <w:rsid w:val="602EF40C"/>
    <w:rsid w:val="6034C028"/>
    <w:rsid w:val="60C23F7E"/>
    <w:rsid w:val="614D82F7"/>
    <w:rsid w:val="615F3F1B"/>
    <w:rsid w:val="617A6985"/>
    <w:rsid w:val="61AF830F"/>
    <w:rsid w:val="61B85B13"/>
    <w:rsid w:val="620353E4"/>
    <w:rsid w:val="62D36044"/>
    <w:rsid w:val="630E32B5"/>
    <w:rsid w:val="638159B2"/>
    <w:rsid w:val="64B811D8"/>
    <w:rsid w:val="6549F66C"/>
    <w:rsid w:val="65D0179F"/>
    <w:rsid w:val="660D5B21"/>
    <w:rsid w:val="66194EF5"/>
    <w:rsid w:val="666AE9B2"/>
    <w:rsid w:val="66D6C507"/>
    <w:rsid w:val="6736CB4E"/>
    <w:rsid w:val="67583547"/>
    <w:rsid w:val="67D8BE68"/>
    <w:rsid w:val="67E816D6"/>
    <w:rsid w:val="685D0C9C"/>
    <w:rsid w:val="68690FEB"/>
    <w:rsid w:val="6881DB12"/>
    <w:rsid w:val="68C350C4"/>
    <w:rsid w:val="68DCE11C"/>
    <w:rsid w:val="6909813B"/>
    <w:rsid w:val="6916675C"/>
    <w:rsid w:val="6921F5DC"/>
    <w:rsid w:val="6A28BBB8"/>
    <w:rsid w:val="6A51EE5D"/>
    <w:rsid w:val="6A92953C"/>
    <w:rsid w:val="6ADC315B"/>
    <w:rsid w:val="6B1C2D28"/>
    <w:rsid w:val="6B40E16E"/>
    <w:rsid w:val="6BBD3DE9"/>
    <w:rsid w:val="6BE9C2AF"/>
    <w:rsid w:val="6BF67592"/>
    <w:rsid w:val="6C28A217"/>
    <w:rsid w:val="6C54C311"/>
    <w:rsid w:val="6C6A4016"/>
    <w:rsid w:val="6C87387B"/>
    <w:rsid w:val="6C952642"/>
    <w:rsid w:val="6CC5443B"/>
    <w:rsid w:val="6CD355F0"/>
    <w:rsid w:val="6CEE9AE0"/>
    <w:rsid w:val="6D0FA8A6"/>
    <w:rsid w:val="6D43019B"/>
    <w:rsid w:val="6DB0BCBC"/>
    <w:rsid w:val="6DFE00CB"/>
    <w:rsid w:val="6E0CBCEB"/>
    <w:rsid w:val="6E48AD39"/>
    <w:rsid w:val="6E65F18D"/>
    <w:rsid w:val="6EABEB65"/>
    <w:rsid w:val="6EDD9B72"/>
    <w:rsid w:val="6EF1B2FF"/>
    <w:rsid w:val="6EF855FE"/>
    <w:rsid w:val="6F1BDD00"/>
    <w:rsid w:val="6F1F9271"/>
    <w:rsid w:val="6F24D8AE"/>
    <w:rsid w:val="6F4C81D5"/>
    <w:rsid w:val="6FDA1E69"/>
    <w:rsid w:val="6FF4C121"/>
    <w:rsid w:val="6FFA57F5"/>
    <w:rsid w:val="70643F85"/>
    <w:rsid w:val="706D9852"/>
    <w:rsid w:val="70ED4607"/>
    <w:rsid w:val="7143B0AE"/>
    <w:rsid w:val="714E47A2"/>
    <w:rsid w:val="715E9EE3"/>
    <w:rsid w:val="7343BDE8"/>
    <w:rsid w:val="73F54201"/>
    <w:rsid w:val="743499F5"/>
    <w:rsid w:val="745FF654"/>
    <w:rsid w:val="7481BD4A"/>
    <w:rsid w:val="7594A72B"/>
    <w:rsid w:val="75E7D2DA"/>
    <w:rsid w:val="760597EE"/>
    <w:rsid w:val="76CE4B01"/>
    <w:rsid w:val="76DC37DD"/>
    <w:rsid w:val="774C1598"/>
    <w:rsid w:val="7773B292"/>
    <w:rsid w:val="77805EFA"/>
    <w:rsid w:val="7783A33B"/>
    <w:rsid w:val="780313DD"/>
    <w:rsid w:val="7843DB7F"/>
    <w:rsid w:val="7861BDC8"/>
    <w:rsid w:val="786BCF60"/>
    <w:rsid w:val="786C3AE2"/>
    <w:rsid w:val="788DFD6D"/>
    <w:rsid w:val="78D6FE6D"/>
    <w:rsid w:val="78FA24CF"/>
    <w:rsid w:val="794C1027"/>
    <w:rsid w:val="79B4F94C"/>
    <w:rsid w:val="79D73236"/>
    <w:rsid w:val="79E0C194"/>
    <w:rsid w:val="79E24B46"/>
    <w:rsid w:val="79EB3BD3"/>
    <w:rsid w:val="7A3FA55F"/>
    <w:rsid w:val="7AB720B0"/>
    <w:rsid w:val="7ABC18DE"/>
    <w:rsid w:val="7ABE479D"/>
    <w:rsid w:val="7B80CE7E"/>
    <w:rsid w:val="7BEAAF93"/>
    <w:rsid w:val="7BF0B334"/>
    <w:rsid w:val="7CEFE4C8"/>
    <w:rsid w:val="7D1AEEA2"/>
    <w:rsid w:val="7D589654"/>
    <w:rsid w:val="7DD2D789"/>
    <w:rsid w:val="7DD2E04F"/>
    <w:rsid w:val="7DEC4262"/>
    <w:rsid w:val="7DEEC172"/>
    <w:rsid w:val="7E2421C7"/>
    <w:rsid w:val="7E2B2C7B"/>
    <w:rsid w:val="7E666C5A"/>
    <w:rsid w:val="7EBB5CB8"/>
    <w:rsid w:val="7EBE05CA"/>
    <w:rsid w:val="7EC966B4"/>
    <w:rsid w:val="7F1661FE"/>
    <w:rsid w:val="7F257783"/>
    <w:rsid w:val="7F712E40"/>
    <w:rsid w:val="7F81CEA5"/>
    <w:rsid w:val="7F839F95"/>
    <w:rsid w:val="7FB6889E"/>
    <w:rsid w:val="7FBAF37F"/>
    <w:rsid w:val="7FFDD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CDF4B7"/>
  <w15:docId w15:val="{610594C5-FBE6-4D59-B099-01E309A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4"/>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345C6C"/>
    <w:rPr>
      <w:rFonts w:ascii="Arial" w:hAnsi="Arial"/>
      <w:b/>
      <w:color w:val="000000"/>
      <w:kern w:val="28"/>
      <w:sz w:val="25"/>
      <w:szCs w:val="26"/>
      <w:lang w:val="eu-ES" w:eastAsia="en-US"/>
    </w:rPr>
  </w:style>
  <w:style w:type="character" w:customStyle="1" w:styleId="atitulo2Car">
    <w:name w:val="atitulo2 Car"/>
    <w:link w:val="atitulo2"/>
    <w:uiPriority w:val="99"/>
    <w:locked/>
    <w:rsid w:val="00345C6C"/>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345C6C"/>
    <w:pPr>
      <w:spacing w:after="0"/>
      <w:ind w:left="720" w:firstLine="0"/>
      <w:contextualSpacing/>
      <w:jc w:val="left"/>
    </w:pPr>
  </w:style>
  <w:style w:type="character" w:customStyle="1" w:styleId="PiedepginaCar">
    <w:name w:val="Pie de página Car"/>
    <w:basedOn w:val="Fuentedeprrafopredeter"/>
    <w:link w:val="Piedepgina"/>
    <w:uiPriority w:val="99"/>
    <w:rsid w:val="00345C6C"/>
    <w:rPr>
      <w:spacing w:val="6"/>
      <w:lang w:val="eu-ES" w:eastAsia="en-US"/>
    </w:rPr>
  </w:style>
  <w:style w:type="character" w:customStyle="1" w:styleId="Ttulo5Car">
    <w:name w:val="Título 5 Car"/>
    <w:basedOn w:val="Fuentedeprrafopredeter"/>
    <w:link w:val="Ttulo5"/>
    <w:uiPriority w:val="99"/>
    <w:rsid w:val="00345C6C"/>
    <w:rPr>
      <w:b/>
      <w:sz w:val="28"/>
      <w:lang w:eastAsia="en-US"/>
    </w:rPr>
  </w:style>
  <w:style w:type="character" w:customStyle="1" w:styleId="markedcontent">
    <w:name w:val="markedcontent"/>
    <w:basedOn w:val="Fuentedeprrafopredeter"/>
    <w:rsid w:val="00345C6C"/>
  </w:style>
  <w:style w:type="paragraph" w:styleId="Textonotapie">
    <w:name w:val="footnote text"/>
    <w:basedOn w:val="Normal"/>
    <w:link w:val="TextonotapieCar"/>
    <w:unhideWhenUsed/>
    <w:rsid w:val="00345C6C"/>
    <w:pPr>
      <w:spacing w:after="0"/>
    </w:pPr>
  </w:style>
  <w:style w:type="character" w:customStyle="1" w:styleId="TextonotapieCar">
    <w:name w:val="Texto nota pie Car"/>
    <w:basedOn w:val="Fuentedeprrafopredeter"/>
    <w:link w:val="Textonotapie"/>
    <w:rsid w:val="00345C6C"/>
    <w:rPr>
      <w:lang w:val="eu-ES" w:eastAsia="en-US"/>
    </w:rPr>
  </w:style>
  <w:style w:type="character" w:styleId="Refdenotaalpie">
    <w:name w:val="footnote reference"/>
    <w:basedOn w:val="Fuentedeprrafopredeter"/>
    <w:unhideWhenUsed/>
    <w:rsid w:val="00345C6C"/>
    <w:rPr>
      <w:vertAlign w:val="superscript"/>
    </w:rPr>
  </w:style>
  <w:style w:type="character" w:styleId="Refdecomentario">
    <w:name w:val="annotation reference"/>
    <w:basedOn w:val="Fuentedeprrafopredeter"/>
    <w:semiHidden/>
    <w:unhideWhenUsed/>
    <w:rsid w:val="00B72304"/>
    <w:rPr>
      <w:sz w:val="16"/>
      <w:szCs w:val="16"/>
    </w:rPr>
  </w:style>
  <w:style w:type="paragraph" w:styleId="Textocomentario">
    <w:name w:val="annotation text"/>
    <w:basedOn w:val="Normal"/>
    <w:link w:val="TextocomentarioCar"/>
    <w:semiHidden/>
    <w:unhideWhenUsed/>
    <w:rsid w:val="00B72304"/>
  </w:style>
  <w:style w:type="character" w:customStyle="1" w:styleId="TextocomentarioCar">
    <w:name w:val="Texto comentario Car"/>
    <w:basedOn w:val="Fuentedeprrafopredeter"/>
    <w:link w:val="Textocomentario"/>
    <w:semiHidden/>
    <w:rsid w:val="00B72304"/>
    <w:rPr>
      <w:lang w:val="eu-ES" w:eastAsia="en-US"/>
    </w:rPr>
  </w:style>
  <w:style w:type="paragraph" w:styleId="Asuntodelcomentario">
    <w:name w:val="annotation subject"/>
    <w:basedOn w:val="Textocomentario"/>
    <w:next w:val="Textocomentario"/>
    <w:link w:val="AsuntodelcomentarioCar"/>
    <w:semiHidden/>
    <w:unhideWhenUsed/>
    <w:rsid w:val="00B72304"/>
    <w:rPr>
      <w:b/>
      <w:bCs/>
    </w:rPr>
  </w:style>
  <w:style w:type="character" w:customStyle="1" w:styleId="AsuntodelcomentarioCar">
    <w:name w:val="Asunto del comentario Car"/>
    <w:basedOn w:val="TextocomentarioCar"/>
    <w:link w:val="Asuntodelcomentario"/>
    <w:semiHidden/>
    <w:rsid w:val="00B72304"/>
    <w:rPr>
      <w:b/>
      <w:bCs/>
      <w:lang w:val="eu-ES" w:eastAsia="en-US"/>
    </w:rPr>
  </w:style>
  <w:style w:type="character" w:customStyle="1" w:styleId="Ttulo3Car">
    <w:name w:val="Título 3 Car"/>
    <w:basedOn w:val="Fuentedeprrafopredeter"/>
    <w:link w:val="Ttulo3"/>
    <w:uiPriority w:val="9"/>
    <w:rsid w:val="00B83A58"/>
    <w:rPr>
      <w:rFonts w:ascii="Arial" w:hAnsi="Arial" w:cs="Arial"/>
      <w:b/>
      <w:bCs/>
      <w:szCs w:val="26"/>
      <w:lang w:val="eu-ES" w:eastAsia="en-US"/>
    </w:rPr>
  </w:style>
  <w:style w:type="character" w:styleId="Hipervnculovisitado">
    <w:name w:val="FollowedHyperlink"/>
    <w:basedOn w:val="Fuentedeprrafopredeter"/>
    <w:semiHidden/>
    <w:unhideWhenUsed/>
    <w:rsid w:val="00B83A58"/>
    <w:rPr>
      <w:color w:val="800080" w:themeColor="followedHyperlink"/>
      <w:u w:val="single"/>
    </w:rPr>
  </w:style>
  <w:style w:type="character" w:styleId="nfasis">
    <w:name w:val="Emphasis"/>
    <w:basedOn w:val="Fuentedeprrafopredeter"/>
    <w:uiPriority w:val="20"/>
    <w:qFormat/>
    <w:rsid w:val="00F944DD"/>
    <w:rPr>
      <w:i/>
      <w:iCs/>
    </w:rPr>
  </w:style>
  <w:style w:type="paragraph" w:styleId="TtuloTDC">
    <w:name w:val="TOC Heading"/>
    <w:basedOn w:val="Ttulo1"/>
    <w:next w:val="Normal"/>
    <w:uiPriority w:val="39"/>
    <w:unhideWhenUsed/>
    <w:qFormat/>
    <w:rsid w:val="009A7A48"/>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sz w:val="25"/>
      <w:lang w:eastAsia="es-ES"/>
    </w:rPr>
  </w:style>
  <w:style w:type="paragraph" w:styleId="Revisin">
    <w:name w:val="Revision"/>
    <w:hidden/>
    <w:uiPriority w:val="99"/>
    <w:semiHidden/>
    <w:rsid w:val="009A7A48"/>
    <w:rPr>
      <w:lang w:eastAsia="en-US"/>
    </w:rPr>
  </w:style>
  <w:style w:type="paragraph" w:customStyle="1" w:styleId="Default">
    <w:name w:val="Default"/>
    <w:rsid w:val="00A90022"/>
    <w:pPr>
      <w:autoSpaceDE w:val="0"/>
      <w:autoSpaceDN w:val="0"/>
      <w:adjustRightInd w:val="0"/>
    </w:pPr>
    <w:rPr>
      <w:color w:val="000000"/>
      <w:sz w:val="24"/>
      <w:szCs w:val="24"/>
    </w:rPr>
  </w:style>
  <w:style w:type="character" w:customStyle="1" w:styleId="normaltextrun">
    <w:name w:val="normaltextrun"/>
    <w:basedOn w:val="Fuentedeprrafopredeter"/>
    <w:rsid w:val="004345F6"/>
  </w:style>
  <w:style w:type="paragraph" w:styleId="NormalWeb">
    <w:name w:val="Normal (Web)"/>
    <w:basedOn w:val="Normal"/>
    <w:uiPriority w:val="99"/>
    <w:semiHidden/>
    <w:unhideWhenUsed/>
    <w:rsid w:val="004345F6"/>
    <w:pPr>
      <w:spacing w:before="100" w:beforeAutospacing="1" w:after="100" w:afterAutospacing="1"/>
      <w:ind w:firstLine="0"/>
      <w:jc w:val="left"/>
    </w:pPr>
    <w:rPr>
      <w:sz w:val="24"/>
      <w:szCs w:val="24"/>
      <w:lang w:eastAsia="es-ES"/>
    </w:rPr>
  </w:style>
  <w:style w:type="character" w:customStyle="1" w:styleId="hgkelc">
    <w:name w:val="hgkelc"/>
    <w:basedOn w:val="Fuentedeprrafopredeter"/>
    <w:rsid w:val="00DD0B8C"/>
  </w:style>
  <w:style w:type="character" w:customStyle="1" w:styleId="eop">
    <w:name w:val="eop"/>
    <w:basedOn w:val="Fuentedeprrafopredeter"/>
    <w:rsid w:val="00F67A1A"/>
  </w:style>
  <w:style w:type="paragraph" w:customStyle="1" w:styleId="paragraph">
    <w:name w:val="paragraph"/>
    <w:basedOn w:val="Normal"/>
    <w:rsid w:val="009C18CA"/>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562">
      <w:bodyDiv w:val="1"/>
      <w:marLeft w:val="0"/>
      <w:marRight w:val="0"/>
      <w:marTop w:val="0"/>
      <w:marBottom w:val="0"/>
      <w:divBdr>
        <w:top w:val="none" w:sz="0" w:space="0" w:color="auto"/>
        <w:left w:val="none" w:sz="0" w:space="0" w:color="auto"/>
        <w:bottom w:val="none" w:sz="0" w:space="0" w:color="auto"/>
        <w:right w:val="none" w:sz="0" w:space="0" w:color="auto"/>
      </w:divBdr>
    </w:div>
    <w:div w:id="68233929">
      <w:bodyDiv w:val="1"/>
      <w:marLeft w:val="0"/>
      <w:marRight w:val="0"/>
      <w:marTop w:val="0"/>
      <w:marBottom w:val="0"/>
      <w:divBdr>
        <w:top w:val="none" w:sz="0" w:space="0" w:color="auto"/>
        <w:left w:val="none" w:sz="0" w:space="0" w:color="auto"/>
        <w:bottom w:val="none" w:sz="0" w:space="0" w:color="auto"/>
        <w:right w:val="none" w:sz="0" w:space="0" w:color="auto"/>
      </w:divBdr>
    </w:div>
    <w:div w:id="105927191">
      <w:bodyDiv w:val="1"/>
      <w:marLeft w:val="0"/>
      <w:marRight w:val="0"/>
      <w:marTop w:val="0"/>
      <w:marBottom w:val="0"/>
      <w:divBdr>
        <w:top w:val="none" w:sz="0" w:space="0" w:color="auto"/>
        <w:left w:val="none" w:sz="0" w:space="0" w:color="auto"/>
        <w:bottom w:val="none" w:sz="0" w:space="0" w:color="auto"/>
        <w:right w:val="none" w:sz="0" w:space="0" w:color="auto"/>
      </w:divBdr>
    </w:div>
    <w:div w:id="108209940">
      <w:bodyDiv w:val="1"/>
      <w:marLeft w:val="0"/>
      <w:marRight w:val="0"/>
      <w:marTop w:val="0"/>
      <w:marBottom w:val="0"/>
      <w:divBdr>
        <w:top w:val="none" w:sz="0" w:space="0" w:color="auto"/>
        <w:left w:val="none" w:sz="0" w:space="0" w:color="auto"/>
        <w:bottom w:val="none" w:sz="0" w:space="0" w:color="auto"/>
        <w:right w:val="none" w:sz="0" w:space="0" w:color="auto"/>
      </w:divBdr>
    </w:div>
    <w:div w:id="123355064">
      <w:bodyDiv w:val="1"/>
      <w:marLeft w:val="0"/>
      <w:marRight w:val="0"/>
      <w:marTop w:val="0"/>
      <w:marBottom w:val="0"/>
      <w:divBdr>
        <w:top w:val="none" w:sz="0" w:space="0" w:color="auto"/>
        <w:left w:val="none" w:sz="0" w:space="0" w:color="auto"/>
        <w:bottom w:val="none" w:sz="0" w:space="0" w:color="auto"/>
        <w:right w:val="none" w:sz="0" w:space="0" w:color="auto"/>
      </w:divBdr>
    </w:div>
    <w:div w:id="166140417">
      <w:bodyDiv w:val="1"/>
      <w:marLeft w:val="0"/>
      <w:marRight w:val="0"/>
      <w:marTop w:val="0"/>
      <w:marBottom w:val="0"/>
      <w:divBdr>
        <w:top w:val="none" w:sz="0" w:space="0" w:color="auto"/>
        <w:left w:val="none" w:sz="0" w:space="0" w:color="auto"/>
        <w:bottom w:val="none" w:sz="0" w:space="0" w:color="auto"/>
        <w:right w:val="none" w:sz="0" w:space="0" w:color="auto"/>
      </w:divBdr>
    </w:div>
    <w:div w:id="199589885">
      <w:bodyDiv w:val="1"/>
      <w:marLeft w:val="0"/>
      <w:marRight w:val="0"/>
      <w:marTop w:val="0"/>
      <w:marBottom w:val="0"/>
      <w:divBdr>
        <w:top w:val="none" w:sz="0" w:space="0" w:color="auto"/>
        <w:left w:val="none" w:sz="0" w:space="0" w:color="auto"/>
        <w:bottom w:val="none" w:sz="0" w:space="0" w:color="auto"/>
        <w:right w:val="none" w:sz="0" w:space="0" w:color="auto"/>
      </w:divBdr>
    </w:div>
    <w:div w:id="240718713">
      <w:bodyDiv w:val="1"/>
      <w:marLeft w:val="0"/>
      <w:marRight w:val="0"/>
      <w:marTop w:val="0"/>
      <w:marBottom w:val="0"/>
      <w:divBdr>
        <w:top w:val="none" w:sz="0" w:space="0" w:color="auto"/>
        <w:left w:val="none" w:sz="0" w:space="0" w:color="auto"/>
        <w:bottom w:val="none" w:sz="0" w:space="0" w:color="auto"/>
        <w:right w:val="none" w:sz="0" w:space="0" w:color="auto"/>
      </w:divBdr>
    </w:div>
    <w:div w:id="248775428">
      <w:bodyDiv w:val="1"/>
      <w:marLeft w:val="0"/>
      <w:marRight w:val="0"/>
      <w:marTop w:val="0"/>
      <w:marBottom w:val="0"/>
      <w:divBdr>
        <w:top w:val="none" w:sz="0" w:space="0" w:color="auto"/>
        <w:left w:val="none" w:sz="0" w:space="0" w:color="auto"/>
        <w:bottom w:val="none" w:sz="0" w:space="0" w:color="auto"/>
        <w:right w:val="none" w:sz="0" w:space="0" w:color="auto"/>
      </w:divBdr>
    </w:div>
    <w:div w:id="320692413">
      <w:bodyDiv w:val="1"/>
      <w:marLeft w:val="0"/>
      <w:marRight w:val="0"/>
      <w:marTop w:val="0"/>
      <w:marBottom w:val="0"/>
      <w:divBdr>
        <w:top w:val="none" w:sz="0" w:space="0" w:color="auto"/>
        <w:left w:val="none" w:sz="0" w:space="0" w:color="auto"/>
        <w:bottom w:val="none" w:sz="0" w:space="0" w:color="auto"/>
        <w:right w:val="none" w:sz="0" w:space="0" w:color="auto"/>
      </w:divBdr>
    </w:div>
    <w:div w:id="382602904">
      <w:bodyDiv w:val="1"/>
      <w:marLeft w:val="0"/>
      <w:marRight w:val="0"/>
      <w:marTop w:val="0"/>
      <w:marBottom w:val="0"/>
      <w:divBdr>
        <w:top w:val="none" w:sz="0" w:space="0" w:color="auto"/>
        <w:left w:val="none" w:sz="0" w:space="0" w:color="auto"/>
        <w:bottom w:val="none" w:sz="0" w:space="0" w:color="auto"/>
        <w:right w:val="none" w:sz="0" w:space="0" w:color="auto"/>
      </w:divBdr>
    </w:div>
    <w:div w:id="497622484">
      <w:bodyDiv w:val="1"/>
      <w:marLeft w:val="0"/>
      <w:marRight w:val="0"/>
      <w:marTop w:val="0"/>
      <w:marBottom w:val="0"/>
      <w:divBdr>
        <w:top w:val="none" w:sz="0" w:space="0" w:color="auto"/>
        <w:left w:val="none" w:sz="0" w:space="0" w:color="auto"/>
        <w:bottom w:val="none" w:sz="0" w:space="0" w:color="auto"/>
        <w:right w:val="none" w:sz="0" w:space="0" w:color="auto"/>
      </w:divBdr>
    </w:div>
    <w:div w:id="573273155">
      <w:bodyDiv w:val="1"/>
      <w:marLeft w:val="0"/>
      <w:marRight w:val="0"/>
      <w:marTop w:val="0"/>
      <w:marBottom w:val="0"/>
      <w:divBdr>
        <w:top w:val="none" w:sz="0" w:space="0" w:color="auto"/>
        <w:left w:val="none" w:sz="0" w:space="0" w:color="auto"/>
        <w:bottom w:val="none" w:sz="0" w:space="0" w:color="auto"/>
        <w:right w:val="none" w:sz="0" w:space="0" w:color="auto"/>
      </w:divBdr>
    </w:div>
    <w:div w:id="698505010">
      <w:bodyDiv w:val="1"/>
      <w:marLeft w:val="0"/>
      <w:marRight w:val="0"/>
      <w:marTop w:val="0"/>
      <w:marBottom w:val="0"/>
      <w:divBdr>
        <w:top w:val="none" w:sz="0" w:space="0" w:color="auto"/>
        <w:left w:val="none" w:sz="0" w:space="0" w:color="auto"/>
        <w:bottom w:val="none" w:sz="0" w:space="0" w:color="auto"/>
        <w:right w:val="none" w:sz="0" w:space="0" w:color="auto"/>
      </w:divBdr>
    </w:div>
    <w:div w:id="700400079">
      <w:bodyDiv w:val="1"/>
      <w:marLeft w:val="0"/>
      <w:marRight w:val="0"/>
      <w:marTop w:val="0"/>
      <w:marBottom w:val="0"/>
      <w:divBdr>
        <w:top w:val="none" w:sz="0" w:space="0" w:color="auto"/>
        <w:left w:val="none" w:sz="0" w:space="0" w:color="auto"/>
        <w:bottom w:val="none" w:sz="0" w:space="0" w:color="auto"/>
        <w:right w:val="none" w:sz="0" w:space="0" w:color="auto"/>
      </w:divBdr>
    </w:div>
    <w:div w:id="716272148">
      <w:bodyDiv w:val="1"/>
      <w:marLeft w:val="0"/>
      <w:marRight w:val="0"/>
      <w:marTop w:val="0"/>
      <w:marBottom w:val="0"/>
      <w:divBdr>
        <w:top w:val="none" w:sz="0" w:space="0" w:color="auto"/>
        <w:left w:val="none" w:sz="0" w:space="0" w:color="auto"/>
        <w:bottom w:val="none" w:sz="0" w:space="0" w:color="auto"/>
        <w:right w:val="none" w:sz="0" w:space="0" w:color="auto"/>
      </w:divBdr>
    </w:div>
    <w:div w:id="751438741">
      <w:bodyDiv w:val="1"/>
      <w:marLeft w:val="0"/>
      <w:marRight w:val="0"/>
      <w:marTop w:val="0"/>
      <w:marBottom w:val="0"/>
      <w:divBdr>
        <w:top w:val="none" w:sz="0" w:space="0" w:color="auto"/>
        <w:left w:val="none" w:sz="0" w:space="0" w:color="auto"/>
        <w:bottom w:val="none" w:sz="0" w:space="0" w:color="auto"/>
        <w:right w:val="none" w:sz="0" w:space="0" w:color="auto"/>
      </w:divBdr>
    </w:div>
    <w:div w:id="751467608">
      <w:bodyDiv w:val="1"/>
      <w:marLeft w:val="0"/>
      <w:marRight w:val="0"/>
      <w:marTop w:val="0"/>
      <w:marBottom w:val="0"/>
      <w:divBdr>
        <w:top w:val="none" w:sz="0" w:space="0" w:color="auto"/>
        <w:left w:val="none" w:sz="0" w:space="0" w:color="auto"/>
        <w:bottom w:val="none" w:sz="0" w:space="0" w:color="auto"/>
        <w:right w:val="none" w:sz="0" w:space="0" w:color="auto"/>
      </w:divBdr>
    </w:div>
    <w:div w:id="789007408">
      <w:bodyDiv w:val="1"/>
      <w:marLeft w:val="0"/>
      <w:marRight w:val="0"/>
      <w:marTop w:val="0"/>
      <w:marBottom w:val="0"/>
      <w:divBdr>
        <w:top w:val="none" w:sz="0" w:space="0" w:color="auto"/>
        <w:left w:val="none" w:sz="0" w:space="0" w:color="auto"/>
        <w:bottom w:val="none" w:sz="0" w:space="0" w:color="auto"/>
        <w:right w:val="none" w:sz="0" w:space="0" w:color="auto"/>
      </w:divBdr>
      <w:divsChild>
        <w:div w:id="659894794">
          <w:marLeft w:val="0"/>
          <w:marRight w:val="0"/>
          <w:marTop w:val="0"/>
          <w:marBottom w:val="0"/>
          <w:divBdr>
            <w:top w:val="none" w:sz="0" w:space="0" w:color="auto"/>
            <w:left w:val="none" w:sz="0" w:space="0" w:color="auto"/>
            <w:bottom w:val="none" w:sz="0" w:space="0" w:color="auto"/>
            <w:right w:val="none" w:sz="0" w:space="0" w:color="auto"/>
          </w:divBdr>
          <w:divsChild>
            <w:div w:id="6551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7563">
      <w:bodyDiv w:val="1"/>
      <w:marLeft w:val="0"/>
      <w:marRight w:val="0"/>
      <w:marTop w:val="0"/>
      <w:marBottom w:val="0"/>
      <w:divBdr>
        <w:top w:val="none" w:sz="0" w:space="0" w:color="auto"/>
        <w:left w:val="none" w:sz="0" w:space="0" w:color="auto"/>
        <w:bottom w:val="none" w:sz="0" w:space="0" w:color="auto"/>
        <w:right w:val="none" w:sz="0" w:space="0" w:color="auto"/>
      </w:divBdr>
    </w:div>
    <w:div w:id="1000355531">
      <w:bodyDiv w:val="1"/>
      <w:marLeft w:val="0"/>
      <w:marRight w:val="0"/>
      <w:marTop w:val="0"/>
      <w:marBottom w:val="0"/>
      <w:divBdr>
        <w:top w:val="none" w:sz="0" w:space="0" w:color="auto"/>
        <w:left w:val="none" w:sz="0" w:space="0" w:color="auto"/>
        <w:bottom w:val="none" w:sz="0" w:space="0" w:color="auto"/>
        <w:right w:val="none" w:sz="0" w:space="0" w:color="auto"/>
      </w:divBdr>
    </w:div>
    <w:div w:id="1216088206">
      <w:bodyDiv w:val="1"/>
      <w:marLeft w:val="0"/>
      <w:marRight w:val="0"/>
      <w:marTop w:val="0"/>
      <w:marBottom w:val="0"/>
      <w:divBdr>
        <w:top w:val="none" w:sz="0" w:space="0" w:color="auto"/>
        <w:left w:val="none" w:sz="0" w:space="0" w:color="auto"/>
        <w:bottom w:val="none" w:sz="0" w:space="0" w:color="auto"/>
        <w:right w:val="none" w:sz="0" w:space="0" w:color="auto"/>
      </w:divBdr>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
    <w:div w:id="1302925367">
      <w:bodyDiv w:val="1"/>
      <w:marLeft w:val="0"/>
      <w:marRight w:val="0"/>
      <w:marTop w:val="0"/>
      <w:marBottom w:val="0"/>
      <w:divBdr>
        <w:top w:val="none" w:sz="0" w:space="0" w:color="auto"/>
        <w:left w:val="none" w:sz="0" w:space="0" w:color="auto"/>
        <w:bottom w:val="none" w:sz="0" w:space="0" w:color="auto"/>
        <w:right w:val="none" w:sz="0" w:space="0" w:color="auto"/>
      </w:divBdr>
    </w:div>
    <w:div w:id="1309357615">
      <w:bodyDiv w:val="1"/>
      <w:marLeft w:val="0"/>
      <w:marRight w:val="0"/>
      <w:marTop w:val="0"/>
      <w:marBottom w:val="0"/>
      <w:divBdr>
        <w:top w:val="none" w:sz="0" w:space="0" w:color="auto"/>
        <w:left w:val="none" w:sz="0" w:space="0" w:color="auto"/>
        <w:bottom w:val="none" w:sz="0" w:space="0" w:color="auto"/>
        <w:right w:val="none" w:sz="0" w:space="0" w:color="auto"/>
      </w:divBdr>
    </w:div>
    <w:div w:id="1461612394">
      <w:bodyDiv w:val="1"/>
      <w:marLeft w:val="0"/>
      <w:marRight w:val="0"/>
      <w:marTop w:val="0"/>
      <w:marBottom w:val="0"/>
      <w:divBdr>
        <w:top w:val="none" w:sz="0" w:space="0" w:color="auto"/>
        <w:left w:val="none" w:sz="0" w:space="0" w:color="auto"/>
        <w:bottom w:val="none" w:sz="0" w:space="0" w:color="auto"/>
        <w:right w:val="none" w:sz="0" w:space="0" w:color="auto"/>
      </w:divBdr>
    </w:div>
    <w:div w:id="1525167433">
      <w:bodyDiv w:val="1"/>
      <w:marLeft w:val="0"/>
      <w:marRight w:val="0"/>
      <w:marTop w:val="0"/>
      <w:marBottom w:val="0"/>
      <w:divBdr>
        <w:top w:val="none" w:sz="0" w:space="0" w:color="auto"/>
        <w:left w:val="none" w:sz="0" w:space="0" w:color="auto"/>
        <w:bottom w:val="none" w:sz="0" w:space="0" w:color="auto"/>
        <w:right w:val="none" w:sz="0" w:space="0" w:color="auto"/>
      </w:divBdr>
    </w:div>
    <w:div w:id="1547332483">
      <w:bodyDiv w:val="1"/>
      <w:marLeft w:val="0"/>
      <w:marRight w:val="0"/>
      <w:marTop w:val="0"/>
      <w:marBottom w:val="0"/>
      <w:divBdr>
        <w:top w:val="none" w:sz="0" w:space="0" w:color="auto"/>
        <w:left w:val="none" w:sz="0" w:space="0" w:color="auto"/>
        <w:bottom w:val="none" w:sz="0" w:space="0" w:color="auto"/>
        <w:right w:val="none" w:sz="0" w:space="0" w:color="auto"/>
      </w:divBdr>
    </w:div>
    <w:div w:id="1575432640">
      <w:bodyDiv w:val="1"/>
      <w:marLeft w:val="0"/>
      <w:marRight w:val="0"/>
      <w:marTop w:val="0"/>
      <w:marBottom w:val="0"/>
      <w:divBdr>
        <w:top w:val="none" w:sz="0" w:space="0" w:color="auto"/>
        <w:left w:val="none" w:sz="0" w:space="0" w:color="auto"/>
        <w:bottom w:val="none" w:sz="0" w:space="0" w:color="auto"/>
        <w:right w:val="none" w:sz="0" w:space="0" w:color="auto"/>
      </w:divBdr>
    </w:div>
    <w:div w:id="1588074353">
      <w:bodyDiv w:val="1"/>
      <w:marLeft w:val="0"/>
      <w:marRight w:val="0"/>
      <w:marTop w:val="0"/>
      <w:marBottom w:val="0"/>
      <w:divBdr>
        <w:top w:val="none" w:sz="0" w:space="0" w:color="auto"/>
        <w:left w:val="none" w:sz="0" w:space="0" w:color="auto"/>
        <w:bottom w:val="none" w:sz="0" w:space="0" w:color="auto"/>
        <w:right w:val="none" w:sz="0" w:space="0" w:color="auto"/>
      </w:divBdr>
    </w:div>
    <w:div w:id="1756441194">
      <w:bodyDiv w:val="1"/>
      <w:marLeft w:val="0"/>
      <w:marRight w:val="0"/>
      <w:marTop w:val="0"/>
      <w:marBottom w:val="0"/>
      <w:divBdr>
        <w:top w:val="none" w:sz="0" w:space="0" w:color="auto"/>
        <w:left w:val="none" w:sz="0" w:space="0" w:color="auto"/>
        <w:bottom w:val="none" w:sz="0" w:space="0" w:color="auto"/>
        <w:right w:val="none" w:sz="0" w:space="0" w:color="auto"/>
      </w:divBdr>
    </w:div>
    <w:div w:id="1908420521">
      <w:bodyDiv w:val="1"/>
      <w:marLeft w:val="0"/>
      <w:marRight w:val="0"/>
      <w:marTop w:val="0"/>
      <w:marBottom w:val="0"/>
      <w:divBdr>
        <w:top w:val="none" w:sz="0" w:space="0" w:color="auto"/>
        <w:left w:val="none" w:sz="0" w:space="0" w:color="auto"/>
        <w:bottom w:val="none" w:sz="0" w:space="0" w:color="auto"/>
        <w:right w:val="none" w:sz="0" w:space="0" w:color="auto"/>
      </w:divBdr>
    </w:div>
    <w:div w:id="1945992909">
      <w:bodyDiv w:val="1"/>
      <w:marLeft w:val="0"/>
      <w:marRight w:val="0"/>
      <w:marTop w:val="0"/>
      <w:marBottom w:val="0"/>
      <w:divBdr>
        <w:top w:val="none" w:sz="0" w:space="0" w:color="auto"/>
        <w:left w:val="none" w:sz="0" w:space="0" w:color="auto"/>
        <w:bottom w:val="none" w:sz="0" w:space="0" w:color="auto"/>
        <w:right w:val="none" w:sz="0" w:space="0" w:color="auto"/>
      </w:divBdr>
    </w:div>
    <w:div w:id="2003045691">
      <w:bodyDiv w:val="1"/>
      <w:marLeft w:val="0"/>
      <w:marRight w:val="0"/>
      <w:marTop w:val="0"/>
      <w:marBottom w:val="0"/>
      <w:divBdr>
        <w:top w:val="none" w:sz="0" w:space="0" w:color="auto"/>
        <w:left w:val="none" w:sz="0" w:space="0" w:color="auto"/>
        <w:bottom w:val="none" w:sz="0" w:space="0" w:color="auto"/>
        <w:right w:val="none" w:sz="0" w:space="0" w:color="auto"/>
      </w:divBdr>
    </w:div>
    <w:div w:id="2037853430">
      <w:bodyDiv w:val="1"/>
      <w:marLeft w:val="0"/>
      <w:marRight w:val="0"/>
      <w:marTop w:val="0"/>
      <w:marBottom w:val="0"/>
      <w:divBdr>
        <w:top w:val="none" w:sz="0" w:space="0" w:color="auto"/>
        <w:left w:val="none" w:sz="0" w:space="0" w:color="auto"/>
        <w:bottom w:val="none" w:sz="0" w:space="0" w:color="auto"/>
        <w:right w:val="none" w:sz="0" w:space="0" w:color="auto"/>
      </w:divBdr>
    </w:div>
    <w:div w:id="20685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391BAE8-E90B-4061-9DFB-0914D8644B16}">
    <t:Anchor>
      <t:Comment id="1122304888"/>
    </t:Anchor>
    <t:History>
      <t:Event id="{FABE28CE-66F9-4E24-B4D4-318F28CB8B6A}" time="2023-11-09T10:17:39.075Z">
        <t:Attribution userId="S::jgarcilo@comptos.org::a3610a7e-53b1-4569-8a6b-0fe398ecfa63" userProvider="AD" userName="Garcia Logroño, Jose Javier (Cámara de Comptos)"/>
        <t:Anchor>
          <t:Comment id="1280493374"/>
        </t:Anchor>
        <t:Create/>
      </t:Event>
      <t:Event id="{8B00EC07-1160-48B3-9A8C-0B2551170471}" time="2023-11-09T10:17:39.075Z">
        <t:Attribution userId="S::jgarcilo@comptos.org::a3610a7e-53b1-4569-8a6b-0fe398ecfa63" userProvider="AD" userName="Garcia Logroño, Jose Javier (Cámara de Comptos)"/>
        <t:Anchor>
          <t:Comment id="1280493374"/>
        </t:Anchor>
        <t:Assign userId="S::metxartz@comptos.org::13fdbe6d-1317-4349-9d59-71c82ba9e442" userProvider="AD" userName="Etxarte Zambrano, Maite (Camara de Comptos)"/>
      </t:Event>
      <t:Event id="{25F81FF9-36F7-4A73-8662-FEE25AE3FD11}" time="2023-11-09T10:17:39.075Z">
        <t:Attribution userId="S::jgarcilo@comptos.org::a3610a7e-53b1-4569-8a6b-0fe398ecfa63" userProvider="AD" userName="Garcia Logroño, Jose Javier (Cámara de Comptos)"/>
        <t:Anchor>
          <t:Comment id="1280493374"/>
        </t:Anchor>
        <t:SetTitle title="@Etxarte Zambrano, Maite (Camara de Comptos) : Comprobemos que no hay ninguna entidad local justo en el límite..."/>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BC1A-F7EB-4CB1-B7AA-70901494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13620</Words>
  <Characters>96686</Characters>
  <Application>Microsoft Office Word</Application>
  <DocSecurity>0</DocSecurity>
  <Lines>805</Lines>
  <Paragraphs>220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d156363</dc:creator>
  <cp:keywords/>
  <dc:description/>
  <cp:lastModifiedBy>Martin Cestao, Nerea</cp:lastModifiedBy>
  <cp:revision>6</cp:revision>
  <cp:lastPrinted>2023-11-21T13:10:00Z</cp:lastPrinted>
  <dcterms:created xsi:type="dcterms:W3CDTF">2023-12-12T08:15:00Z</dcterms:created>
  <dcterms:modified xsi:type="dcterms:W3CDTF">2024-01-17T11:59:00Z</dcterms:modified>
</cp:coreProperties>
</file>