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BB90" w14:textId="69944514" w:rsidR="00F425E0" w:rsidRDefault="00B07455" w:rsidP="00F425E0">
      <w:pPr>
        <w:rPr>
          <w:rFonts w:cs="Arial"/>
        </w:rPr>
      </w:pPr>
      <w:r>
        <w:t xml:space="preserve">UPN talde parlamentarioari atxikitako foru parlamentari </w:t>
      </w:r>
      <w:proofErr w:type="spellStart"/>
      <w:r>
        <w:t>Félix</w:t>
      </w:r>
      <w:proofErr w:type="spellEnd"/>
      <w:r>
        <w:t xml:space="preserve"> Zapatero Soria jaunak 11-23/PES-00152 informazio eskaera egin du, Nafarroako eper gorri basatiaren </w:t>
      </w:r>
      <w:r w:rsidR="00A6337F">
        <w:t>p</w:t>
      </w:r>
      <w:r>
        <w:t>opulazioa murriztearen inguruan. Hona hemen Landa Garapeneko eta Ingurumeneko kontseilariak horri buruz ematen dion informazioa:</w:t>
      </w:r>
    </w:p>
    <w:p w14:paraId="34FE44F3" w14:textId="77777777" w:rsidR="00F425E0" w:rsidRDefault="00BF330F" w:rsidP="00BF330F">
      <w:pPr>
        <w:pStyle w:val="Prrafodelista"/>
        <w:numPr>
          <w:ilvl w:val="0"/>
          <w:numId w:val="18"/>
        </w:numPr>
        <w:rPr>
          <w:rFonts w:cs="Arial"/>
          <w:color w:val="000000"/>
        </w:rPr>
      </w:pPr>
      <w:r>
        <w:rPr>
          <w:color w:val="000000"/>
        </w:rPr>
        <w:t xml:space="preserve">Egindako galderari dagokionez, Basoen eta Ehizaren Zerbitzuaren eskumeneko esparruan daude ehizaren plangintza osoaren inguruko eskumenak, ehiza faunaren populazioen jarraipena eta kontrola, ehiza debekualdiei eta harrapatu eta merkaturatu beharreko espezieei buruzko urteko xedapenen proposamenak egitea, eta ehiza arloko laguntzen diseinua eta kudeaketa. </w:t>
      </w:r>
    </w:p>
    <w:p w14:paraId="19A7FC9D" w14:textId="77777777" w:rsidR="00F425E0" w:rsidRDefault="00BF330F" w:rsidP="00BF330F">
      <w:pPr>
        <w:ind w:firstLine="540"/>
        <w:rPr>
          <w:rFonts w:cs="Arial"/>
          <w:color w:val="000000"/>
          <w:szCs w:val="24"/>
        </w:rPr>
      </w:pPr>
      <w:r>
        <w:rPr>
          <w:color w:val="000000"/>
        </w:rPr>
        <w:t>Horren ondorioz, Basoen eta Ehizaren Zerbitzuak hartutako kudeaketa neurriak honako hauek dira:</w:t>
      </w:r>
    </w:p>
    <w:p w14:paraId="5C92E0CF" w14:textId="77777777" w:rsidR="00F425E0" w:rsidRDefault="00BF330F" w:rsidP="00BF330F">
      <w:pPr>
        <w:ind w:firstLine="540"/>
        <w:rPr>
          <w:rFonts w:cs="Arial"/>
          <w:b/>
          <w:color w:val="000000"/>
          <w:szCs w:val="24"/>
        </w:rPr>
      </w:pPr>
      <w:r>
        <w:rPr>
          <w:b/>
          <w:color w:val="000000"/>
        </w:rPr>
        <w:t>•</w:t>
      </w:r>
      <w:r>
        <w:rPr>
          <w:b/>
          <w:color w:val="000000"/>
        </w:rPr>
        <w:tab/>
        <w:t xml:space="preserve">Populazioaren jarraipena eta populazioen beherakadaren kausen azterketa </w:t>
      </w:r>
    </w:p>
    <w:p w14:paraId="09C753DF" w14:textId="4FEE4C59" w:rsidR="00F425E0" w:rsidRDefault="00BF330F" w:rsidP="00BF330F">
      <w:pPr>
        <w:ind w:firstLine="540"/>
        <w:rPr>
          <w:rFonts w:cs="Arial"/>
          <w:color w:val="000000"/>
          <w:szCs w:val="24"/>
        </w:rPr>
      </w:pPr>
      <w:r>
        <w:rPr>
          <w:color w:val="000000"/>
        </w:rPr>
        <w:t xml:space="preserve"> 90eko hamarkadaren hasieratik, Basozainak-Ingurumena Zaintzeko Taldeko langileek laginketa batzuk egin dituzte otsailean eta martxoan, espezie horren ugalketa populazioen urte arteko bilakaera baloratzeko. </w:t>
      </w:r>
      <w:r w:rsidR="00E0716A">
        <w:rPr>
          <w:color w:val="000000"/>
        </w:rPr>
        <w:t>Uztailean</w:t>
      </w:r>
      <w:r>
        <w:rPr>
          <w:color w:val="000000"/>
        </w:rPr>
        <w:t xml:space="preserve"> eta abuztuan, aldiz, espeziearen urteko produktibitatea zehazten dute, barrutien zaindariekin lankidetzan. Populazioaren jarraipenetik ondoriozta daitekeenez, Foru Komunitatean eper gorriaren populazioak behera egin du, gutxienez azken bi hamarkadetan.</w:t>
      </w:r>
    </w:p>
    <w:p w14:paraId="3EE9505A" w14:textId="77777777" w:rsidR="00F425E0" w:rsidRDefault="00BF330F" w:rsidP="00BF330F">
      <w:pPr>
        <w:ind w:firstLine="540"/>
        <w:rPr>
          <w:rFonts w:cs="Arial"/>
          <w:color w:val="000000"/>
          <w:szCs w:val="24"/>
        </w:rPr>
      </w:pPr>
      <w:r>
        <w:rPr>
          <w:color w:val="000000"/>
        </w:rPr>
        <w:t>Beherakada horren arrazoi nagusien artean, nabarmentzekoak dira azken hamarkadetan paisaia eraldatzeko eta areagotzeko egindako jarduketak (lurzatiak biltzea, ureztapen berriak, etab.). Nekazaritza optimizazio horrek nabarmen murriztu edota hondatu du espeziearentzako azalera potentziala.</w:t>
      </w:r>
    </w:p>
    <w:p w14:paraId="17BC6B55" w14:textId="77777777" w:rsidR="00F425E0" w:rsidRDefault="00BF330F" w:rsidP="00BF330F">
      <w:pPr>
        <w:ind w:firstLine="540"/>
        <w:rPr>
          <w:rFonts w:cs="Arial"/>
          <w:b/>
          <w:color w:val="000000"/>
          <w:szCs w:val="24"/>
        </w:rPr>
      </w:pPr>
      <w:r>
        <w:rPr>
          <w:b/>
          <w:color w:val="000000"/>
        </w:rPr>
        <w:t>•</w:t>
      </w:r>
      <w:r>
        <w:rPr>
          <w:b/>
          <w:color w:val="000000"/>
        </w:rPr>
        <w:tab/>
        <w:t>Eper gorriaren aprobetxamendua iraunkortasun irizpideen arabera antolatzea, debekualdiei buruzko urteko foru aginduen bidez.</w:t>
      </w:r>
    </w:p>
    <w:p w14:paraId="326E5F2A" w14:textId="77777777" w:rsidR="00F425E0" w:rsidRDefault="00BF330F" w:rsidP="00BF330F">
      <w:pPr>
        <w:ind w:firstLine="540"/>
        <w:rPr>
          <w:rFonts w:cs="Arial"/>
          <w:color w:val="000000"/>
          <w:szCs w:val="24"/>
        </w:rPr>
      </w:pPr>
      <w:r>
        <w:rPr>
          <w:color w:val="000000"/>
        </w:rPr>
        <w:t>Azken urteotan, barrutietan ehizatu beharreko egunen gehieneko kopurua murrizten joan da, eta presioa espeziearen egoeraren arabera doitzen saiatu da. Onartutako azken erregulazioan, ehizatu beharreko gehieneko zenbatekoa populazio parametro zehatzek zehazten dute.</w:t>
      </w:r>
    </w:p>
    <w:p w14:paraId="4F45AC71" w14:textId="31DE933A" w:rsidR="00F425E0" w:rsidRDefault="00BF330F" w:rsidP="00BF330F">
      <w:pPr>
        <w:ind w:firstLine="540"/>
        <w:rPr>
          <w:rFonts w:cs="Arial"/>
          <w:color w:val="000000"/>
          <w:szCs w:val="24"/>
        </w:rPr>
      </w:pPr>
      <w:r>
        <w:rPr>
          <w:color w:val="000000"/>
        </w:rPr>
        <w:lastRenderedPageBreak/>
        <w:t>-</w:t>
      </w:r>
      <w:r>
        <w:rPr>
          <w:color w:val="000000"/>
        </w:rPr>
        <w:tab/>
        <w:t>2023-2024 Debekualdiei buruzko Foru Agindua (186E/2023 Foru Agindua, uztailaren 14koa, Landa Garapeneko eta Ingurumeneko kontseilariak emana, 2023-2024</w:t>
      </w:r>
      <w:r w:rsidR="00362791">
        <w:rPr>
          <w:color w:val="000000"/>
        </w:rPr>
        <w:t xml:space="preserve"> </w:t>
      </w:r>
      <w:r>
        <w:rPr>
          <w:color w:val="000000"/>
        </w:rPr>
        <w:t>denboraldirako ehiza debekualdiei buruzko xedapen orokorra onesten duena).</w:t>
      </w:r>
    </w:p>
    <w:p w14:paraId="3EF55141" w14:textId="77777777" w:rsidR="00BF330F" w:rsidRPr="00BF330F" w:rsidRDefault="00BF330F" w:rsidP="00BF330F">
      <w:pPr>
        <w:ind w:firstLine="540"/>
        <w:rPr>
          <w:rFonts w:cs="Arial"/>
          <w:color w:val="000000"/>
          <w:szCs w:val="24"/>
        </w:rPr>
      </w:pPr>
      <w:r>
        <w:rPr>
          <w:color w:val="000000"/>
        </w:rPr>
        <w:t xml:space="preserve">11. artikulua. Eperra. </w:t>
      </w:r>
    </w:p>
    <w:p w14:paraId="643AFB29" w14:textId="77777777" w:rsidR="00F425E0" w:rsidRDefault="00BF330F" w:rsidP="00BF330F">
      <w:pPr>
        <w:pStyle w:val="Prrafodelista"/>
        <w:numPr>
          <w:ilvl w:val="0"/>
          <w:numId w:val="19"/>
        </w:numPr>
        <w:rPr>
          <w:rFonts w:cs="Arial"/>
          <w:color w:val="000000"/>
        </w:rPr>
      </w:pPr>
      <w:r>
        <w:rPr>
          <w:color w:val="000000"/>
        </w:rPr>
        <w:t xml:space="preserve">Baimena ematen da eperra ehizatzeko 2023ko azaroaren 1etik 2024ko urtarrilaren 29ra arte, ostegun, larunbat eta igandeetan, baita Espainiako, Nafarroako eta herriko jaiegunetan ere. </w:t>
      </w:r>
    </w:p>
    <w:p w14:paraId="45C237D9" w14:textId="77777777" w:rsidR="00F425E0" w:rsidRDefault="00BF330F" w:rsidP="00BF330F">
      <w:pPr>
        <w:ind w:firstLine="540"/>
        <w:rPr>
          <w:rFonts w:cs="Arial"/>
          <w:color w:val="000000"/>
          <w:szCs w:val="24"/>
        </w:rPr>
      </w:pPr>
      <w:r>
        <w:rPr>
          <w:color w:val="000000"/>
        </w:rPr>
        <w:t xml:space="preserve">2. Honako hau izanen da gehieneko egun kopurua barruti bakoitzeko: </w:t>
      </w:r>
    </w:p>
    <w:p w14:paraId="46E56582" w14:textId="77777777" w:rsidR="00F425E0" w:rsidRDefault="00BF330F" w:rsidP="00BF330F">
      <w:pPr>
        <w:pStyle w:val="Prrafodelista"/>
        <w:numPr>
          <w:ilvl w:val="0"/>
          <w:numId w:val="20"/>
        </w:numPr>
        <w:rPr>
          <w:rFonts w:cs="Arial"/>
          <w:color w:val="000000"/>
        </w:rPr>
      </w:pPr>
      <w:r>
        <w:rPr>
          <w:color w:val="000000"/>
        </w:rPr>
        <w:t xml:space="preserve">Barrutiak 2023ko udaberrian dituen ugaltzaileen kopurua ehiza antolatzeko planean ezarritako potentzialtasunaren % 50etik beherakoa baldin bada: 0 egun. </w:t>
      </w:r>
    </w:p>
    <w:p w14:paraId="697418B8" w14:textId="77777777" w:rsidR="00F425E0" w:rsidRDefault="00BF330F" w:rsidP="00BF330F">
      <w:pPr>
        <w:pStyle w:val="Prrafodelista"/>
        <w:numPr>
          <w:ilvl w:val="0"/>
          <w:numId w:val="20"/>
        </w:numPr>
        <w:rPr>
          <w:rFonts w:cs="Arial"/>
          <w:color w:val="000000"/>
        </w:rPr>
      </w:pPr>
      <w:r>
        <w:rPr>
          <w:color w:val="000000"/>
        </w:rPr>
        <w:t xml:space="preserve">Barrutiak 2023ko udaberrian dituen ugaltzaileen kopurua ehiza antolatzeko planean ezarritako potentzialtasunaren % 50 edo handiagoa baldin bada: </w:t>
      </w:r>
    </w:p>
    <w:p w14:paraId="25E54BA6" w14:textId="77777777" w:rsidR="00F425E0" w:rsidRDefault="00BF330F" w:rsidP="00BF330F">
      <w:pPr>
        <w:pStyle w:val="Prrafodelista"/>
        <w:numPr>
          <w:ilvl w:val="0"/>
          <w:numId w:val="21"/>
        </w:numPr>
        <w:rPr>
          <w:rFonts w:cs="Arial"/>
          <w:color w:val="000000"/>
        </w:rPr>
      </w:pPr>
      <w:r>
        <w:rPr>
          <w:color w:val="000000"/>
        </w:rPr>
        <w:t xml:space="preserve">2023ko udaberrian ugaltzaileen kopurua txikiagoa baldin bada 2022ko aldi berekoa baino: egun bat. </w:t>
      </w:r>
    </w:p>
    <w:p w14:paraId="6893DBFF" w14:textId="77777777" w:rsidR="00F425E0" w:rsidRDefault="00BF330F" w:rsidP="00BF330F">
      <w:pPr>
        <w:pStyle w:val="Prrafodelista"/>
        <w:numPr>
          <w:ilvl w:val="0"/>
          <w:numId w:val="21"/>
        </w:numPr>
        <w:rPr>
          <w:rFonts w:cs="Arial"/>
          <w:color w:val="000000"/>
        </w:rPr>
      </w:pPr>
      <w:r>
        <w:rPr>
          <w:color w:val="000000"/>
        </w:rPr>
        <w:t xml:space="preserve">2023ko udaberrian ugaltzaileen kopurua 2022ko aldi berekoa edo handiagoa baldin bada: bi egun. </w:t>
      </w:r>
    </w:p>
    <w:p w14:paraId="0B6BA46D" w14:textId="77777777" w:rsidR="00F425E0" w:rsidRDefault="00BF330F" w:rsidP="00BF330F">
      <w:pPr>
        <w:pStyle w:val="Prrafodelista"/>
        <w:numPr>
          <w:ilvl w:val="0"/>
          <w:numId w:val="21"/>
        </w:numPr>
        <w:rPr>
          <w:rFonts w:cs="Arial"/>
          <w:color w:val="000000"/>
        </w:rPr>
      </w:pPr>
      <w:r>
        <w:rPr>
          <w:color w:val="000000"/>
        </w:rPr>
        <w:t xml:space="preserve">Barrutiak 2023ko udaberrian 2022ko aldi berean baino ugaltzaile kopuru handiagoa baldin badu eta ugaltzaileen eta eper ehiztarien arteko erlazioa 12,5etik gorakoa bada: hiru egun. </w:t>
      </w:r>
    </w:p>
    <w:p w14:paraId="3B8F9475" w14:textId="77777777" w:rsidR="00F425E0" w:rsidRDefault="00BF330F" w:rsidP="00BF330F">
      <w:pPr>
        <w:pStyle w:val="Prrafodelista"/>
        <w:numPr>
          <w:ilvl w:val="0"/>
          <w:numId w:val="21"/>
        </w:numPr>
        <w:rPr>
          <w:rFonts w:cs="Arial"/>
          <w:color w:val="000000"/>
        </w:rPr>
      </w:pPr>
      <w:r>
        <w:rPr>
          <w:color w:val="000000"/>
        </w:rPr>
        <w:t>Barrutiko dentsitatea 2023ko udaberrian 0.2 animalia/</w:t>
      </w:r>
      <w:proofErr w:type="spellStart"/>
      <w:r>
        <w:rPr>
          <w:color w:val="000000"/>
        </w:rPr>
        <w:t>ha</w:t>
      </w:r>
      <w:proofErr w:type="spellEnd"/>
      <w:r>
        <w:rPr>
          <w:color w:val="000000"/>
        </w:rPr>
        <w:t xml:space="preserve">-tik gorakoa bada, eta potentzialtasuna % 30etik gorakoa bada aurreko denboraldiarekin alderatuta: hiru egun. </w:t>
      </w:r>
    </w:p>
    <w:p w14:paraId="0E3F2273" w14:textId="77777777" w:rsidR="00F425E0" w:rsidRDefault="00BF330F" w:rsidP="00BF330F">
      <w:pPr>
        <w:ind w:firstLine="540"/>
        <w:rPr>
          <w:rFonts w:cs="Arial"/>
          <w:color w:val="000000"/>
          <w:szCs w:val="24"/>
        </w:rPr>
      </w:pPr>
      <w:r>
        <w:rPr>
          <w:color w:val="000000"/>
        </w:rPr>
        <w:t>3. Apartatu bakoitzari dagozkion barrutien zerrenda Nafarroako Gobernuaren atarian argitaratuko da.</w:t>
      </w:r>
    </w:p>
    <w:p w14:paraId="2719565E" w14:textId="77777777" w:rsidR="00F425E0" w:rsidRDefault="00BF330F" w:rsidP="00BF330F">
      <w:pPr>
        <w:ind w:firstLine="540"/>
        <w:rPr>
          <w:rFonts w:cs="Arial"/>
          <w:b/>
          <w:color w:val="000000"/>
          <w:szCs w:val="24"/>
        </w:rPr>
      </w:pPr>
      <w:r>
        <w:rPr>
          <w:b/>
          <w:color w:val="000000"/>
        </w:rPr>
        <w:t>Ehiza arloko laguntzak</w:t>
      </w:r>
    </w:p>
    <w:p w14:paraId="12131DA8" w14:textId="77777777" w:rsidR="00726E33" w:rsidRDefault="00BF330F" w:rsidP="00BF330F">
      <w:pPr>
        <w:ind w:firstLine="540"/>
        <w:rPr>
          <w:rFonts w:cs="Arial"/>
          <w:color w:val="000000"/>
          <w:szCs w:val="24"/>
        </w:rPr>
      </w:pPr>
      <w:r>
        <w:rPr>
          <w:color w:val="000000"/>
        </w:rPr>
        <w:t>-</w:t>
      </w:r>
      <w:r>
        <w:rPr>
          <w:color w:val="000000"/>
        </w:rPr>
        <w:tab/>
        <w:t xml:space="preserve">Nafarroako toki erakundeentzako laguntzak espezie zinegetikoek eragindako kalteak prebenitzeko eta ehiza espezieen habitata hobetzeko, 2023. </w:t>
      </w:r>
      <w:r>
        <w:rPr>
          <w:color w:val="000000"/>
        </w:rPr>
        <w:lastRenderedPageBreak/>
        <w:t>(Ingurumeneko zuzendari nagusiaren 27/2023 Ebazpena, martxoaren 21ekoa, zeinaren bidez deialdia onesten baita). Baimendutako gastu konpromisoa: 40.000 €</w:t>
      </w:r>
    </w:p>
    <w:p w14:paraId="026570C7" w14:textId="77777777" w:rsidR="00F425E0" w:rsidRDefault="00BF330F" w:rsidP="00BF330F">
      <w:pPr>
        <w:ind w:firstLine="540"/>
        <w:rPr>
          <w:rFonts w:cs="Arial"/>
          <w:color w:val="000000"/>
          <w:szCs w:val="24"/>
        </w:rPr>
      </w:pPr>
      <w:r>
        <w:rPr>
          <w:color w:val="000000"/>
        </w:rPr>
        <w:t>-</w:t>
      </w:r>
      <w:r>
        <w:rPr>
          <w:color w:val="000000"/>
        </w:rPr>
        <w:tab/>
        <w:t xml:space="preserve">Nafarroako toki erakundeentzako laguntzak, </w:t>
      </w:r>
      <w:proofErr w:type="spellStart"/>
      <w:r>
        <w:rPr>
          <w:color w:val="000000"/>
        </w:rPr>
        <w:t>ehizazainak</w:t>
      </w:r>
      <w:proofErr w:type="spellEnd"/>
      <w:r>
        <w:rPr>
          <w:color w:val="000000"/>
        </w:rPr>
        <w:t xml:space="preserve"> kontratatzeko, 2023 (Ingurumeneko zuzendari nagusiaren 13/2023 Ebazpena, martxoaren 8koa, zeinaren bidez deialdia onesten baita). Baimendutako gastu konpromisoa: 100.000 €</w:t>
      </w:r>
    </w:p>
    <w:p w14:paraId="08A4455C" w14:textId="77777777" w:rsidR="00BF330F" w:rsidRPr="00BF330F" w:rsidRDefault="00BF330F" w:rsidP="00BF330F">
      <w:pPr>
        <w:ind w:firstLine="540"/>
        <w:rPr>
          <w:rFonts w:cs="Arial"/>
          <w:color w:val="000000"/>
          <w:szCs w:val="24"/>
        </w:rPr>
      </w:pPr>
      <w:r>
        <w:rPr>
          <w:color w:val="000000"/>
        </w:rPr>
        <w:t>-</w:t>
      </w:r>
      <w:r>
        <w:rPr>
          <w:color w:val="000000"/>
        </w:rPr>
        <w:tab/>
        <w:t xml:space="preserve">Ehiztarien tokiko elkarteentzako 2023ko laguntzak, </w:t>
      </w:r>
      <w:proofErr w:type="spellStart"/>
      <w:r>
        <w:rPr>
          <w:color w:val="000000"/>
        </w:rPr>
        <w:t>ehizazainak</w:t>
      </w:r>
      <w:proofErr w:type="spellEnd"/>
      <w:r>
        <w:rPr>
          <w:color w:val="000000"/>
        </w:rPr>
        <w:t xml:space="preserve"> kontratatzeko, kalteak prebenitzeko eta ehiza espezieen habitata hobetzeko, 2023 urterako. (Ingurumeneko zuzendari nagusiaren 75/2023 Ebazpena, maiatzaren 23koa, zeinaren bidez deialdia onesten baita). Baimendutako gastu konpromisoa:</w:t>
      </w:r>
    </w:p>
    <w:p w14:paraId="21057D58" w14:textId="77777777" w:rsidR="00BF330F" w:rsidRPr="00BF330F" w:rsidRDefault="00BF330F" w:rsidP="00BF330F">
      <w:pPr>
        <w:ind w:firstLine="540"/>
        <w:rPr>
          <w:rFonts w:cs="Arial"/>
          <w:color w:val="000000"/>
          <w:szCs w:val="24"/>
        </w:rPr>
      </w:pPr>
      <w:proofErr w:type="spellStart"/>
      <w:r>
        <w:rPr>
          <w:color w:val="000000"/>
        </w:rPr>
        <w:t>Ehizazainak</w:t>
      </w:r>
      <w:proofErr w:type="spellEnd"/>
      <w:r>
        <w:rPr>
          <w:color w:val="000000"/>
        </w:rPr>
        <w:t>: 122.623 €</w:t>
      </w:r>
    </w:p>
    <w:p w14:paraId="6AA655CD" w14:textId="77777777" w:rsidR="00F425E0" w:rsidRDefault="00BF330F" w:rsidP="00BF330F">
      <w:pPr>
        <w:ind w:firstLine="540"/>
        <w:rPr>
          <w:rFonts w:cs="Arial"/>
          <w:color w:val="000000"/>
          <w:szCs w:val="24"/>
        </w:rPr>
      </w:pPr>
      <w:r>
        <w:rPr>
          <w:color w:val="000000"/>
        </w:rPr>
        <w:t>Kalteak prebenitzeko eta ehiza espezieen habitata hobetzeko: 132.900 €</w:t>
      </w:r>
    </w:p>
    <w:p w14:paraId="0A3676F3" w14:textId="77777777" w:rsidR="00F425E0" w:rsidRDefault="00BF330F" w:rsidP="00BF330F">
      <w:pPr>
        <w:ind w:firstLine="540"/>
        <w:rPr>
          <w:rFonts w:cs="Arial"/>
          <w:color w:val="000000"/>
          <w:szCs w:val="24"/>
        </w:rPr>
      </w:pPr>
      <w:r>
        <w:rPr>
          <w:color w:val="000000"/>
        </w:rPr>
        <w:t>Azkenik, adierazi behar da 2017tik eper gorri autoktonoa itxian hazteko proiektu pilotu bat egiten ari direla Nafarroan, Nafarroako barrutietan arrautzak, txitak eta espezie horretako helduak harrapatuta. Proiektuak barne hartzen du analisi genetikoak egitea hazkuntzarako ale egokiak aukeratzeko.</w:t>
      </w:r>
    </w:p>
    <w:p w14:paraId="667DFF6C" w14:textId="77777777" w:rsidR="00F425E0" w:rsidRDefault="00A56CCF" w:rsidP="00A56CCF">
      <w:pPr>
        <w:ind w:firstLine="540"/>
        <w:rPr>
          <w:rFonts w:cs="Arial"/>
          <w:color w:val="000000"/>
          <w:szCs w:val="24"/>
        </w:rPr>
      </w:pPr>
      <w:r>
        <w:rPr>
          <w:color w:val="000000"/>
        </w:rPr>
        <w:t>Hori guztia jakinarazten dut, Nafarroako Parlamentuko Erregelamenduaren 215. artikuluan ezarritakoa betez.</w:t>
      </w:r>
    </w:p>
    <w:p w14:paraId="0ABCC674" w14:textId="77777777" w:rsidR="00934199" w:rsidRPr="00A56CCF" w:rsidRDefault="00A56CCF" w:rsidP="00697CA3">
      <w:pPr>
        <w:jc w:val="center"/>
        <w:rPr>
          <w:rFonts w:cs="Arial"/>
          <w:color w:val="000000"/>
          <w:szCs w:val="24"/>
        </w:rPr>
      </w:pPr>
      <w:r>
        <w:rPr>
          <w:color w:val="000000"/>
        </w:rPr>
        <w:t>Iruñean, 2023ko azaroaren 22an</w:t>
      </w:r>
    </w:p>
    <w:p w14:paraId="0715F90E" w14:textId="77777777" w:rsidR="00F425E0" w:rsidRDefault="00F425E0" w:rsidP="0083638A">
      <w:pPr>
        <w:ind w:firstLine="540"/>
        <w:jc w:val="center"/>
        <w:rPr>
          <w:rFonts w:cs="Arial"/>
          <w:color w:val="000000"/>
          <w:szCs w:val="24"/>
        </w:rPr>
      </w:pPr>
      <w:r>
        <w:rPr>
          <w:color w:val="000000"/>
        </w:rPr>
        <w:t xml:space="preserve">Landa Garapeneko eta Ingurumeneko kontseilaria: José </w:t>
      </w:r>
      <w:proofErr w:type="spellStart"/>
      <w:r>
        <w:rPr>
          <w:color w:val="000000"/>
        </w:rPr>
        <w:t>María</w:t>
      </w:r>
      <w:proofErr w:type="spellEnd"/>
      <w:r>
        <w:rPr>
          <w:color w:val="000000"/>
        </w:rPr>
        <w:t xml:space="preserve"> Aierdi Fernández de Barrena</w:t>
      </w:r>
    </w:p>
    <w:p w14:paraId="7100484D" w14:textId="77777777" w:rsidR="00D77C2F" w:rsidRPr="00E07A7D" w:rsidRDefault="00D77C2F" w:rsidP="0083638A">
      <w:pPr>
        <w:jc w:val="center"/>
        <w:rPr>
          <w:rFonts w:cs="Arial"/>
          <w:color w:val="000000"/>
          <w:szCs w:val="24"/>
        </w:rPr>
      </w:pPr>
    </w:p>
    <w:sectPr w:rsidR="00D77C2F" w:rsidRPr="00E07A7D" w:rsidSect="00F425E0">
      <w:headerReference w:type="default" r:id="rId10"/>
      <w:footerReference w:type="even" r:id="rId11"/>
      <w:pgSz w:w="11906" w:h="16838" w:code="9"/>
      <w:pgMar w:top="1985" w:right="1701" w:bottom="184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C94C" w14:textId="77777777" w:rsidR="003A1CE7" w:rsidRDefault="003A1CE7" w:rsidP="00381BB8">
      <w:pPr>
        <w:pStyle w:val="Encabezado"/>
      </w:pPr>
      <w:r>
        <w:separator/>
      </w:r>
    </w:p>
  </w:endnote>
  <w:endnote w:type="continuationSeparator" w:id="0">
    <w:p w14:paraId="2AA77A98" w14:textId="77777777" w:rsidR="003A1CE7" w:rsidRDefault="003A1CE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3EB"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6D1F4F">
      <w:rPr>
        <w:rStyle w:val="Nmerodepgina"/>
        <w:rFonts w:cs="Arial"/>
      </w:rPr>
      <w:t>4</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35AA" w14:textId="77777777" w:rsidR="003A1CE7" w:rsidRDefault="003A1CE7" w:rsidP="00381BB8">
      <w:pPr>
        <w:pStyle w:val="Encabezado"/>
      </w:pPr>
      <w:r>
        <w:separator/>
      </w:r>
    </w:p>
  </w:footnote>
  <w:footnote w:type="continuationSeparator" w:id="0">
    <w:p w14:paraId="3E91ECE6" w14:textId="77777777" w:rsidR="003A1CE7" w:rsidRDefault="003A1CE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3504" w14:textId="77777777"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397759"/>
    <w:multiLevelType w:val="hybridMultilevel"/>
    <w:tmpl w:val="819815DA"/>
    <w:lvl w:ilvl="0" w:tplc="C242F30A">
      <w:start w:val="1"/>
      <w:numFmt w:val="decimal"/>
      <w:lvlText w:val="%1)"/>
      <w:lvlJc w:val="left"/>
      <w:pPr>
        <w:ind w:left="1410" w:hanging="87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FA54EF"/>
    <w:multiLevelType w:val="hybridMultilevel"/>
    <w:tmpl w:val="D0C807BC"/>
    <w:lvl w:ilvl="0" w:tplc="792E45B6">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C154964"/>
    <w:multiLevelType w:val="hybridMultilevel"/>
    <w:tmpl w:val="6010E404"/>
    <w:lvl w:ilvl="0" w:tplc="D4A8CBF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06948"/>
    <w:multiLevelType w:val="hybridMultilevel"/>
    <w:tmpl w:val="A1CC98A4"/>
    <w:lvl w:ilvl="0" w:tplc="5FD49AF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943491224">
    <w:abstractNumId w:val="8"/>
  </w:num>
  <w:num w:numId="2" w16cid:durableId="1285429848">
    <w:abstractNumId w:val="3"/>
  </w:num>
  <w:num w:numId="3" w16cid:durableId="149713559">
    <w:abstractNumId w:val="10"/>
  </w:num>
  <w:num w:numId="4" w16cid:durableId="5333240">
    <w:abstractNumId w:val="18"/>
  </w:num>
  <w:num w:numId="5" w16cid:durableId="2115830434">
    <w:abstractNumId w:val="1"/>
  </w:num>
  <w:num w:numId="6" w16cid:durableId="1186291730">
    <w:abstractNumId w:val="16"/>
  </w:num>
  <w:num w:numId="7" w16cid:durableId="850988686">
    <w:abstractNumId w:val="5"/>
  </w:num>
  <w:num w:numId="8" w16cid:durableId="148988648">
    <w:abstractNumId w:val="4"/>
  </w:num>
  <w:num w:numId="9" w16cid:durableId="1736777561">
    <w:abstractNumId w:val="7"/>
  </w:num>
  <w:num w:numId="10" w16cid:durableId="104733499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4056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019798">
    <w:abstractNumId w:val="19"/>
  </w:num>
  <w:num w:numId="13" w16cid:durableId="679740583">
    <w:abstractNumId w:val="2"/>
  </w:num>
  <w:num w:numId="14" w16cid:durableId="1953512299">
    <w:abstractNumId w:val="15"/>
  </w:num>
  <w:num w:numId="15" w16cid:durableId="28382498">
    <w:abstractNumId w:val="0"/>
  </w:num>
  <w:num w:numId="16" w16cid:durableId="1657955595">
    <w:abstractNumId w:val="11"/>
  </w:num>
  <w:num w:numId="17" w16cid:durableId="2002924868">
    <w:abstractNumId w:val="13"/>
  </w:num>
  <w:num w:numId="18" w16cid:durableId="1281186528">
    <w:abstractNumId w:val="6"/>
  </w:num>
  <w:num w:numId="19" w16cid:durableId="304706193">
    <w:abstractNumId w:val="9"/>
  </w:num>
  <w:num w:numId="20" w16cid:durableId="1741707869">
    <w:abstractNumId w:val="14"/>
  </w:num>
  <w:num w:numId="21" w16cid:durableId="17052545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E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3B0F"/>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65D6"/>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791"/>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CE7"/>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8E"/>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1F4F"/>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6E33"/>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37F"/>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30F"/>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06D3"/>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47C"/>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16A"/>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5E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E3A3BB"/>
  <w15:chartTrackingRefBased/>
  <w15:docId w15:val="{C966C59E-C08D-4E80-BAFD-3E2A49C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uiPriority w:val="99"/>
    <w:semiHidden/>
    <w:unhideWhenUsed/>
    <w:pPr>
      <w:spacing w:line="240" w:lineRule="auto"/>
    </w:pPr>
    <w:rPr>
      <w:sz w:val="20"/>
    </w:rPr>
  </w:style>
  <w:style w:type="character" w:styleId="Refdecomentario">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2023-11-20T23:00:00+00:00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2023-11-20T23:00:00+00:00</Star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F875E-1D4E-44C4-9F54-B762FFDE4A29}">
  <ds:schemaRefs>
    <ds:schemaRef ds:uri="http://schemas.microsoft.com/office/2006/metadata/properties"/>
    <ds:schemaRef ds:uri="d7955e38-e198-473d-b7eb-679bbff15bd5"/>
    <ds:schemaRef ds:uri="http://schemas.microsoft.com/sharepoint/v3"/>
    <ds:schemaRef ds:uri="http://purl.org/dc/terms/"/>
    <ds:schemaRef ds:uri="http://schemas.microsoft.com/sharepoint/v3/field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BF8FBEC-5E6E-4DBB-8D7F-48A6B954D305}">
  <ds:schemaRefs>
    <ds:schemaRef ds:uri="http://schemas.microsoft.com/sharepoint/v3/contenttype/forms"/>
  </ds:schemaRefs>
</ds:datastoreItem>
</file>

<file path=customXml/itemProps3.xml><?xml version="1.0" encoding="utf-8"?>
<ds:datastoreItem xmlns:ds="http://schemas.openxmlformats.org/officeDocument/2006/customXml" ds:itemID="{0EADA3DE-8FAB-4E0E-B2EE-5D00250E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PES</Template>
  <TotalTime>8</TotalTime>
  <Pages>3</Pages>
  <Words>572</Words>
  <Characters>4312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Martin Cestao, Nerea</cp:lastModifiedBy>
  <cp:revision>8</cp:revision>
  <cp:lastPrinted>2023-11-21T09:49:00Z</cp:lastPrinted>
  <dcterms:created xsi:type="dcterms:W3CDTF">2023-11-21T09:30:00Z</dcterms:created>
  <dcterms:modified xsi:type="dcterms:W3CDTF">2024-02-13T12:22:00Z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