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FA06F" w14:textId="77777777" w:rsidR="00EF3BC9" w:rsidRPr="00C13A4A" w:rsidRDefault="00C13A4A" w:rsidP="00436299">
      <w:pPr>
        <w:pStyle w:val="Prrafodelista"/>
        <w:tabs>
          <w:tab w:val="left" w:pos="3358"/>
        </w:tabs>
        <w:spacing w:line="247" w:lineRule="auto"/>
        <w:ind w:left="2841"/>
        <w:jc w:val="left"/>
        <w:rPr>
          <w:b/>
          <w:sz w:val="20"/>
        </w:rPr>
      </w:pPr>
      <w:r>
        <w:rPr>
          <w:b/>
          <w:sz w:val="20"/>
        </w:rPr>
        <w:t>11-24/MOC-00036. Erabakia, zeinaren bidez Nafarroako Parlamentuak erakundeak oro har eta Nafarroako toki-entitateak bereziki premiatzen baititu adieraz dezaten beharrezkoa dela onestea administrazio publikoen aurrekontu-egonkortasunerako eta zor publikorako helburuak ezartzen zituen akordioa</w:t>
      </w:r>
    </w:p>
    <w:p w14:paraId="424A6B63" w14:textId="77777777" w:rsidR="00EF3BC9" w:rsidRPr="00C13A4A" w:rsidRDefault="00EF3BC9">
      <w:pPr>
        <w:rPr>
          <w:b/>
          <w:lang w:val="es-ES"/>
        </w:rPr>
      </w:pPr>
    </w:p>
    <w:p w14:paraId="3C067D1F" w14:textId="77777777" w:rsidR="00EF3BC9" w:rsidRPr="00C13A4A" w:rsidRDefault="00EF3BC9">
      <w:pPr>
        <w:spacing w:before="7"/>
        <w:rPr>
          <w:b/>
          <w:lang w:val="es-ES"/>
        </w:rPr>
      </w:pPr>
    </w:p>
    <w:p w14:paraId="5FFAE507" w14:textId="77777777" w:rsidR="00EF3BC9" w:rsidRPr="00C13A4A" w:rsidRDefault="00C13A4A">
      <w:pPr>
        <w:pStyle w:val="Ttulo2"/>
        <w:jc w:val="both"/>
      </w:pPr>
      <w:r>
        <w:t>Osoko Bilkurak onetsi du</w:t>
      </w:r>
    </w:p>
    <w:p w14:paraId="3731246C" w14:textId="77777777" w:rsidR="00EF3BC9" w:rsidRPr="00C13A4A" w:rsidRDefault="00EF3BC9">
      <w:pPr>
        <w:spacing w:before="9"/>
        <w:rPr>
          <w:sz w:val="30"/>
          <w:lang w:val="es-ES"/>
        </w:rPr>
      </w:pPr>
    </w:p>
    <w:p w14:paraId="734F05C5" w14:textId="77777777" w:rsidR="00EF3BC9" w:rsidRPr="00C13A4A" w:rsidRDefault="00C13A4A">
      <w:pPr>
        <w:spacing w:line="304" w:lineRule="auto"/>
        <w:ind w:left="2841" w:right="1890" w:firstLine="486"/>
        <w:jc w:val="both"/>
        <w:rPr>
          <w:sz w:val="20"/>
        </w:rPr>
      </w:pPr>
      <w:r>
        <w:rPr>
          <w:sz w:val="20"/>
        </w:rPr>
        <w:t>Legebiltzarreko Erregelamenduko 125. artikuluan xedatua betez, agintzen da Nafarroako Parlamentuko Aldizkari Ofizialean argitara dadin Nafarroako Parlamentuko Osoko Bilkurak 2024ko martxoaren 21ean onetsitako erabaki hau, zeinaren bidez Nafarroako Parlamentuak erakundeak oro har eta Nafarroako toki-entitateak bereziki premiatzen baititu adieraz dezaten beharrezkoa dela onestea administrazio publikoen aurrekontu-egonkortasunerako eta zor publikorako helburuak ezartzen zituen akordioa. Hona testua:</w:t>
      </w:r>
    </w:p>
    <w:p w14:paraId="399D3BCC" w14:textId="77777777" w:rsidR="00EF3BC9" w:rsidRPr="00C13A4A" w:rsidRDefault="00EF3BC9">
      <w:pPr>
        <w:spacing w:before="9"/>
        <w:rPr>
          <w:sz w:val="20"/>
          <w:lang w:val="es-ES"/>
        </w:rPr>
      </w:pPr>
    </w:p>
    <w:p w14:paraId="600BC3DE" w14:textId="77777777" w:rsidR="00EF3BC9" w:rsidRPr="00C13A4A" w:rsidRDefault="00C13A4A" w:rsidP="00C13A4A">
      <w:pPr>
        <w:pStyle w:val="Prrafodelista"/>
        <w:numPr>
          <w:ilvl w:val="2"/>
          <w:numId w:val="1"/>
        </w:numPr>
        <w:tabs>
          <w:tab w:val="left" w:pos="3450"/>
        </w:tabs>
        <w:spacing w:after="120" w:line="283" w:lineRule="auto"/>
        <w:ind w:left="3447" w:right="2387" w:hanging="119"/>
        <w:rPr>
          <w:i/>
          <w:sz w:val="19"/>
        </w:rPr>
      </w:pPr>
      <w:r>
        <w:rPr>
          <w:i/>
          <w:sz w:val="19"/>
        </w:rPr>
        <w:t xml:space="preserve">1. Nafarroako Parlamentuak erakundeak oro har eta Nafarroako toki-entitateak bereziki premiatzen ditu adieraz dezaten beharrezkoa zela onestea administrazio publikoen eta azpisektore guztien 2024-2026 aldirako aurrekontu-egonkortasunerako eta zor publikorako helburuak eta Estatuaren 2024rako aurrekontuko gastu ez-finantzarioaren muga ezartzen zituen akordioa, bai eta Aurrekontu Egonkortasunari eta Finantza Iraunkortasunari buruzko apirilaren 27ko 2/2012 Lege Organikoan ezarritako </w:t>
      </w:r>
      <w:proofErr w:type="spellStart"/>
      <w:r>
        <w:rPr>
          <w:i/>
          <w:sz w:val="19"/>
        </w:rPr>
        <w:t>berrorekatze</w:t>
      </w:r>
      <w:proofErr w:type="spellEnd"/>
      <w:r>
        <w:rPr>
          <w:i/>
          <w:sz w:val="19"/>
        </w:rPr>
        <w:t>-plana Gorte Nagusietara igortzeko akordioa ere.</w:t>
      </w:r>
    </w:p>
    <w:p w14:paraId="2A13B2DA" w14:textId="3D8716F7" w:rsidR="00EF3BC9" w:rsidRPr="00C13A4A" w:rsidRDefault="00C13A4A" w:rsidP="00C13A4A">
      <w:pPr>
        <w:pStyle w:val="Prrafodelista"/>
        <w:numPr>
          <w:ilvl w:val="2"/>
          <w:numId w:val="1"/>
        </w:numPr>
        <w:tabs>
          <w:tab w:val="left" w:pos="3450"/>
        </w:tabs>
        <w:spacing w:after="120" w:line="283" w:lineRule="auto"/>
        <w:ind w:left="3447" w:right="2387" w:hanging="119"/>
        <w:rPr>
          <w:i/>
          <w:sz w:val="19"/>
        </w:rPr>
      </w:pPr>
      <w:r>
        <w:rPr>
          <w:i/>
          <w:sz w:val="19"/>
        </w:rPr>
        <w:t>Nafarroako Parlamentuak dio ez dagoela ados akordio hori onetsi ez izanarekin, urratu egin delako, nabarmen urratu ere, interes orokorra, eragotzi egin baita toki-entitateek baliabide gehiago edukitzea politika publikoak ezartzeko herritarren mesedetan.</w:t>
      </w:r>
    </w:p>
    <w:p w14:paraId="50C113FC" w14:textId="77777777" w:rsidR="00EF3BC9" w:rsidRPr="00C13A4A" w:rsidRDefault="00C13A4A" w:rsidP="00C13A4A">
      <w:pPr>
        <w:pStyle w:val="Prrafodelista"/>
        <w:numPr>
          <w:ilvl w:val="2"/>
          <w:numId w:val="1"/>
        </w:numPr>
        <w:tabs>
          <w:tab w:val="left" w:pos="3450"/>
        </w:tabs>
        <w:spacing w:line="283" w:lineRule="auto"/>
        <w:ind w:right="2388" w:hanging="121"/>
        <w:rPr>
          <w:i/>
          <w:sz w:val="19"/>
        </w:rPr>
      </w:pPr>
      <w:r>
        <w:rPr>
          <w:i/>
          <w:sz w:val="19"/>
        </w:rPr>
        <w:t>Nafarroako Parlamentuak Nafarroako Gobernua premiatzen du erabaki hau Espainiako Senatuari igor diezaion”.</w:t>
      </w:r>
    </w:p>
    <w:p w14:paraId="1A288CA1" w14:textId="77777777" w:rsidR="00EF3BC9" w:rsidRPr="00C13A4A" w:rsidRDefault="00EF3BC9">
      <w:pPr>
        <w:rPr>
          <w:i/>
          <w:sz w:val="20"/>
          <w:lang w:val="es-ES"/>
        </w:rPr>
      </w:pPr>
    </w:p>
    <w:p w14:paraId="20A7CD6A" w14:textId="77777777" w:rsidR="00EF3BC9" w:rsidRPr="00C13A4A" w:rsidRDefault="00EF3BC9">
      <w:pPr>
        <w:spacing w:before="9"/>
        <w:rPr>
          <w:i/>
          <w:lang w:val="es-ES"/>
        </w:rPr>
      </w:pPr>
    </w:p>
    <w:p w14:paraId="60801593" w14:textId="77777777" w:rsidR="00EF3BC9" w:rsidRPr="00C13A4A" w:rsidRDefault="00C13A4A">
      <w:pPr>
        <w:pStyle w:val="Ttulo2"/>
      </w:pPr>
      <w:r>
        <w:t>Iruñean, 2024ko martxoaren 26an</w:t>
      </w:r>
    </w:p>
    <w:p w14:paraId="2CC89FD7" w14:textId="77777777" w:rsidR="00EF3BC9" w:rsidRPr="00C13A4A" w:rsidRDefault="00C13A4A">
      <w:pPr>
        <w:spacing w:before="6"/>
        <w:ind w:left="2841"/>
        <w:rPr>
          <w:sz w:val="20"/>
        </w:rPr>
      </w:pPr>
      <w:r>
        <w:rPr>
          <w:sz w:val="20"/>
        </w:rPr>
        <w:t xml:space="preserve">Lehendakaria: Unai </w:t>
      </w:r>
      <w:proofErr w:type="spellStart"/>
      <w:r>
        <w:rPr>
          <w:sz w:val="20"/>
        </w:rPr>
        <w:t>Hualde</w:t>
      </w:r>
      <w:proofErr w:type="spellEnd"/>
      <w:r>
        <w:rPr>
          <w:sz w:val="20"/>
        </w:rPr>
        <w:t xml:space="preserve"> Iglesias</w:t>
      </w:r>
    </w:p>
    <w:sectPr w:rsidR="00EF3BC9" w:rsidRPr="00C13A4A">
      <w:pgSz w:w="11900" w:h="16840"/>
      <w:pgMar w:top="1600" w:right="180" w:bottom="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2767ED"/>
    <w:multiLevelType w:val="multilevel"/>
    <w:tmpl w:val="413C166A"/>
    <w:lvl w:ilvl="0">
      <w:start w:val="11"/>
      <w:numFmt w:val="decimal"/>
      <w:lvlText w:val="%1"/>
      <w:lvlJc w:val="left"/>
      <w:pPr>
        <w:ind w:left="2841" w:hanging="516"/>
        <w:jc w:val="left"/>
      </w:pPr>
      <w:rPr>
        <w:rFonts w:hint="default"/>
      </w:rPr>
    </w:lvl>
    <w:lvl w:ilvl="1">
      <w:start w:val="24"/>
      <w:numFmt w:val="decimal"/>
      <w:lvlText w:val="%1-%2"/>
      <w:lvlJc w:val="left"/>
      <w:pPr>
        <w:ind w:left="2841" w:hanging="516"/>
        <w:jc w:val="left"/>
      </w:pPr>
      <w:rPr>
        <w:rFonts w:ascii="Arial" w:eastAsia="Arial" w:hAnsi="Arial" w:cs="Arial" w:hint="default"/>
        <w:b/>
        <w:bCs/>
        <w:spacing w:val="-12"/>
        <w:w w:val="102"/>
        <w:sz w:val="20"/>
        <w:szCs w:val="20"/>
      </w:rPr>
    </w:lvl>
    <w:lvl w:ilvl="2">
      <w:numFmt w:val="bullet"/>
      <w:lvlText w:val="&quot;"/>
      <w:lvlJc w:val="left"/>
      <w:pPr>
        <w:ind w:left="3449" w:hanging="122"/>
      </w:pPr>
      <w:rPr>
        <w:rFonts w:ascii="Arial" w:eastAsia="Arial" w:hAnsi="Arial" w:cs="Arial" w:hint="default"/>
        <w:i/>
        <w:w w:val="99"/>
        <w:sz w:val="19"/>
        <w:szCs w:val="19"/>
      </w:rPr>
    </w:lvl>
    <w:lvl w:ilvl="3">
      <w:start w:val="2"/>
      <w:numFmt w:val="decimal"/>
      <w:lvlText w:val="%4."/>
      <w:lvlJc w:val="left"/>
      <w:pPr>
        <w:ind w:left="3449" w:hanging="238"/>
        <w:jc w:val="left"/>
      </w:pPr>
      <w:rPr>
        <w:rFonts w:ascii="Arial" w:eastAsia="Arial" w:hAnsi="Arial" w:cs="Arial" w:hint="default"/>
        <w:i/>
        <w:spacing w:val="-1"/>
        <w:w w:val="99"/>
        <w:sz w:val="19"/>
        <w:szCs w:val="19"/>
      </w:rPr>
    </w:lvl>
    <w:lvl w:ilvl="4">
      <w:numFmt w:val="bullet"/>
      <w:lvlText w:val="•"/>
      <w:lvlJc w:val="left"/>
      <w:pPr>
        <w:ind w:left="6133" w:hanging="238"/>
      </w:pPr>
      <w:rPr>
        <w:rFonts w:hint="default"/>
      </w:rPr>
    </w:lvl>
    <w:lvl w:ilvl="5">
      <w:numFmt w:val="bullet"/>
      <w:lvlText w:val="•"/>
      <w:lvlJc w:val="left"/>
      <w:pPr>
        <w:ind w:left="7031" w:hanging="238"/>
      </w:pPr>
      <w:rPr>
        <w:rFonts w:hint="default"/>
      </w:rPr>
    </w:lvl>
    <w:lvl w:ilvl="6">
      <w:numFmt w:val="bullet"/>
      <w:lvlText w:val="•"/>
      <w:lvlJc w:val="left"/>
      <w:pPr>
        <w:ind w:left="7928" w:hanging="238"/>
      </w:pPr>
      <w:rPr>
        <w:rFonts w:hint="default"/>
      </w:rPr>
    </w:lvl>
    <w:lvl w:ilvl="7">
      <w:numFmt w:val="bullet"/>
      <w:lvlText w:val="•"/>
      <w:lvlJc w:val="left"/>
      <w:pPr>
        <w:ind w:left="8826" w:hanging="238"/>
      </w:pPr>
      <w:rPr>
        <w:rFonts w:hint="default"/>
      </w:rPr>
    </w:lvl>
    <w:lvl w:ilvl="8">
      <w:numFmt w:val="bullet"/>
      <w:lvlText w:val="•"/>
      <w:lvlJc w:val="left"/>
      <w:pPr>
        <w:ind w:left="9724" w:hanging="238"/>
      </w:pPr>
      <w:rPr>
        <w:rFonts w:hint="default"/>
      </w:rPr>
    </w:lvl>
  </w:abstractNum>
  <w:num w:numId="1" w16cid:durableId="761682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EF3BC9"/>
    <w:rsid w:val="00436299"/>
    <w:rsid w:val="005B11E8"/>
    <w:rsid w:val="00C13A4A"/>
    <w:rsid w:val="00EF3B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2D5A6"/>
  <w15:docId w15:val="{D533501D-57E1-45AE-9088-04CBA98B5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tulo1">
    <w:name w:val="heading 1"/>
    <w:basedOn w:val="Normal"/>
    <w:uiPriority w:val="9"/>
    <w:qFormat/>
    <w:pPr>
      <w:ind w:left="2841" w:right="1890" w:hanging="996"/>
      <w:outlineLvl w:val="0"/>
    </w:pPr>
    <w:rPr>
      <w:b/>
      <w:bCs/>
      <w:sz w:val="20"/>
      <w:szCs w:val="20"/>
    </w:rPr>
  </w:style>
  <w:style w:type="paragraph" w:styleId="Ttulo2">
    <w:name w:val="heading 2"/>
    <w:basedOn w:val="Normal"/>
    <w:uiPriority w:val="9"/>
    <w:unhideWhenUsed/>
    <w:qFormat/>
    <w:pPr>
      <w:ind w:left="2841"/>
      <w:outlineLvl w:val="1"/>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sz w:val="19"/>
      <w:szCs w:val="19"/>
    </w:rPr>
  </w:style>
  <w:style w:type="paragraph" w:styleId="Prrafodelista">
    <w:name w:val="List Paragraph"/>
    <w:basedOn w:val="Normal"/>
    <w:uiPriority w:val="1"/>
    <w:qFormat/>
    <w:pPr>
      <w:ind w:left="3449" w:right="1890"/>
      <w:jc w:val="both"/>
    </w:pPr>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1524</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Mauleón, Fernando</cp:lastModifiedBy>
  <cp:revision>4</cp:revision>
  <dcterms:created xsi:type="dcterms:W3CDTF">2024-03-27T13:09:00Z</dcterms:created>
  <dcterms:modified xsi:type="dcterms:W3CDTF">2024-04-10T08:18:00Z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2024-03-27T00:00:00Z</vt:filetime>
  </property>
  <property fmtid="{D5CDD505-2E9C-101B-9397-08002B2CF9AE}" pid="3" name="LastSaved">
    <vt:filetime>2024-03-27T00:00:00Z</vt:filetime>
  </property>
</Properties>
</file>