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D15B" w14:textId="2E0B0F7E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24MOC-63</w:t>
      </w:r>
    </w:p>
    <w:p w14:paraId="460B4F0D" w14:textId="20214C45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Pablo Azcona Molinet</w:t>
      </w:r>
      <w:r w:rsidRPr="00882A6B">
        <w:rPr>
          <w:rFonts w:ascii="Calibri" w:hAnsi="Calibri" w:cs="Calibri"/>
          <w:b/>
          <w:bCs/>
          <w:kern w:val="0"/>
          <w:sz w:val="22"/>
          <w:szCs w:val="22"/>
        </w:rPr>
        <w:t xml:space="preserve">, </w:t>
      </w:r>
      <w:r w:rsidRPr="00882A6B">
        <w:rPr>
          <w:rFonts w:ascii="Calibri" w:hAnsi="Calibri" w:cs="Calibri"/>
          <w:kern w:val="0"/>
          <w:sz w:val="22"/>
          <w:szCs w:val="22"/>
        </w:rPr>
        <w:t>portavoz del Grupo Parlamentario Geroa Bai,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amparo de lo dispuesto en el Reglamento de esta Cámara, presenta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moción</w:t>
      </w:r>
      <w:r w:rsidRPr="00882A6B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para su debate en el Pleno</w:t>
      </w:r>
      <w:r w:rsidRPr="00882A6B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de esta Cámara a celebrar el próximo jueves 2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de mayo. El seguimiento se hará en la Comisión de Cohesión Territorial.</w:t>
      </w:r>
    </w:p>
    <w:p w14:paraId="3AE48EB3" w14:textId="4CF35E07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036B0276" w14:textId="7F8AEDC0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El Pleno del Tribunal Constitucional, por unanimidad, ha declarado inconstitucionales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los límites mínimos de 5.000, 25.000 y 50.000 euros en las sanciones previstas en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Ley Orgánica de Financiación de los Partidos Políticos para los que superen los límites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de sus gastos electorales. Una situación que, este mismo Parlamento ha considerado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perjudicial para las agrupaciones electorales municipales y pequeños partidos.</w:t>
      </w:r>
    </w:p>
    <w:p w14:paraId="2663E4EA" w14:textId="47A2C132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Hace poco más de un año esta Cámara aprobaba una moción en la que se solicitaba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 xml:space="preserve">al Congreso de los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882A6B">
        <w:rPr>
          <w:rFonts w:ascii="Calibri" w:hAnsi="Calibri" w:cs="Calibri"/>
          <w:kern w:val="0"/>
          <w:sz w:val="22"/>
          <w:szCs w:val="22"/>
        </w:rPr>
        <w:t>iputados a que pusiera una solución a esta situación, convocando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la Subcomisión para la reforma de la Ley Orgánica 5/1985, de 19 de junio, de Régimen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Electoral General, para poder abordar los cambios legislativos pertinentes.</w:t>
      </w:r>
    </w:p>
    <w:p w14:paraId="382DD64D" w14:textId="67EAA8EC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Una moción que llevaba después de que, el 14 de septiembre de 2021, el Congreso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los Diputados rechazara la toma en consideración de la Proposición de Ley sobre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modificación parcial de la Ley Orgánica de Régimen Electoral General y de la Ley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Orgánica de Financiación de Partidos Políticos aprobada en el Parlamento de Navarra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y remitida a la Cámara Baja.</w:t>
      </w:r>
    </w:p>
    <w:p w14:paraId="32CAFF49" w14:textId="25FC4427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Ahor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882A6B">
        <w:rPr>
          <w:rFonts w:ascii="Calibri" w:hAnsi="Calibri" w:cs="Calibri"/>
          <w:kern w:val="0"/>
          <w:sz w:val="22"/>
          <w:szCs w:val="22"/>
        </w:rPr>
        <w:t xml:space="preserve"> el Tribunal Constitucional reconoce ese agravio comparativo al que se ven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abocadas las agrupaciones electorales y pequeños partidos, al declarar estos límites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inconstitucionales.</w:t>
      </w:r>
    </w:p>
    <w:p w14:paraId="748ADDE5" w14:textId="2A46FFF8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Así que sigue siendo necesario sacar adelante el planteamiento que ha reiterado este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Parlamento que, con sus iniciativas, busca el impulso de la participación ciudadana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los asuntos públicos de nuestros municipios garantizando la posibilidad de que estas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agrupaciones puedan concurrir a los comicios en unas condiciones justas.</w:t>
      </w:r>
    </w:p>
    <w:p w14:paraId="3718C461" w14:textId="4FBB889C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Una modificación de la Ley que iría en el mismo sentido que lo ha venido reclamando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el Tribunal de Cuentas en sus últimos informes de fiscalización de las contabilidades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de las elecciones locales en los que se pone de manifiesto que “el límite máximo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gasto aplicable resulta manifiestamente insuficiente para el desarrollo de una campaña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electoral”. Algo que, ha llevado a este organismo a reclamar a las Cortes Generales,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más de una ocasión, que se modifique la Ley Orgánica sobre Financiación de Partidos.</w:t>
      </w:r>
    </w:p>
    <w:p w14:paraId="3B0617ED" w14:textId="2DAC21B9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El rechazo de esta propuesta aboca a un buen número de agrupaciones y pequeños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partidos a una situación ciertamente preocupante ya que siguen en pie los expedientes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sancionadores de procesos electorales anteriores y complicó, ciertamente, el trabajo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de muchas de estas agrupaciones en los últimos comicios locales, lo que llevó a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varias de ellas acabaran por no presentarse.</w:t>
      </w:r>
    </w:p>
    <w:p w14:paraId="688A7030" w14:textId="7A29E47A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lastRenderedPageBreak/>
        <w:t>Por todas estas razones, resulta fundamental seguir insistiendo en la resolución de este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problema y devolver el pleno derecho a la participación democrática de los vecinos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82A6B">
        <w:rPr>
          <w:rFonts w:ascii="Calibri" w:hAnsi="Calibri" w:cs="Calibri"/>
          <w:kern w:val="0"/>
          <w:sz w:val="22"/>
          <w:szCs w:val="22"/>
        </w:rPr>
        <w:t>vecinas de muchos municipios.</w:t>
      </w:r>
    </w:p>
    <w:p w14:paraId="21FEC458" w14:textId="4A931E2A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Por todo ello, se propone la siguiente propuesta de resolución:</w:t>
      </w:r>
    </w:p>
    <w:p w14:paraId="67304986" w14:textId="76CE8577" w:rsidR="008D7F85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82A6B">
        <w:rPr>
          <w:rFonts w:ascii="Calibri" w:hAnsi="Calibri" w:cs="Calibri"/>
          <w:kern w:val="0"/>
          <w:sz w:val="22"/>
          <w:szCs w:val="22"/>
        </w:rPr>
        <w:t>El Parlamento de Navarra insta al Congreso de los Diputados a que, inicie el trabajo para atender las reiteradas solicitudes que ha hecho esta Cámara Foral, para modificar Ley Orgánica 5/1985, de 19 de junio, del Régimen Electoral General recogiendo unos límites de gasto ajustados a las necesidades reales de las agrupaciones electorales y pequeños partidos locales y un régimen sancionador proporcional.</w:t>
      </w:r>
    </w:p>
    <w:p w14:paraId="019FE099" w14:textId="2305D4FD" w:rsid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Pamplona, 25 de abril de 2024</w:t>
      </w:r>
    </w:p>
    <w:p w14:paraId="7C8A5A9A" w14:textId="7651DB60" w:rsidR="00882A6B" w:rsidRPr="00882A6B" w:rsidRDefault="00882A6B" w:rsidP="001D4E0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</w:t>
      </w:r>
      <w:r w:rsidR="00FE7FB2">
        <w:rPr>
          <w:rFonts w:ascii="Calibri" w:hAnsi="Calibri" w:cs="Calibri"/>
          <w:kern w:val="0"/>
          <w:sz w:val="22"/>
          <w:szCs w:val="22"/>
        </w:rPr>
        <w:t>ortavoz</w:t>
      </w:r>
      <w:r>
        <w:rPr>
          <w:rFonts w:ascii="Calibri" w:hAnsi="Calibri" w:cs="Calibri"/>
          <w:kern w:val="0"/>
          <w:sz w:val="22"/>
          <w:szCs w:val="22"/>
        </w:rPr>
        <w:t>: Pablo Azcona Molinet</w:t>
      </w:r>
    </w:p>
    <w:sectPr w:rsidR="00882A6B" w:rsidRPr="00882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6B"/>
    <w:rsid w:val="001D4E0D"/>
    <w:rsid w:val="00882A6B"/>
    <w:rsid w:val="008D7F85"/>
    <w:rsid w:val="00A36075"/>
    <w:rsid w:val="00E2340F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4E56"/>
  <w15:chartTrackingRefBased/>
  <w15:docId w15:val="{4D9A366E-8AA0-482C-956A-88E6E444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2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2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2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A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A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A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A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A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A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2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2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2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2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2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2A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2A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2A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2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2A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2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2024-04-26T05:52:00Z</dcterms:created>
  <dcterms:modified xsi:type="dcterms:W3CDTF">2024-04-29T06:49:00Z</dcterms:modified>
</cp:coreProperties>
</file>