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D7757" w14:textId="77777777" w:rsidR="00343DF5" w:rsidRPr="00343DF5" w:rsidRDefault="00343DF5" w:rsidP="00343DF5">
      <w:pPr>
        <w:pStyle w:val="Style"/>
        <w:spacing w:before="100" w:beforeAutospacing="1" w:after="200" w:line="276" w:lineRule="auto"/>
        <w:ind w:leftChars="567" w:left="1247" w:rightChars="567" w:right="1247" w:firstLine="610"/>
        <w:jc w:val="both"/>
        <w:textAlignment w:val="baseline"/>
        <w:rPr>
          <w:rFonts w:asciiTheme="minorHAnsi" w:eastAsia="Arial" w:hAnsiTheme="minorHAnsi" w:cstheme="minorHAnsi"/>
          <w:sz w:val="20"/>
          <w:szCs w:val="20"/>
        </w:rPr>
      </w:pPr>
    </w:p>
    <w:p w14:paraId="1E3517BD" w14:textId="77777777" w:rsidR="00343DF5" w:rsidRPr="00343DF5" w:rsidRDefault="00343DF5" w:rsidP="00343DF5">
      <w:pPr>
        <w:pStyle w:val="Style"/>
        <w:spacing w:before="100" w:beforeAutospacing="1" w:after="200" w:line="276" w:lineRule="auto"/>
        <w:ind w:leftChars="567" w:left="1247" w:rightChars="567" w:right="1247" w:firstLine="610"/>
        <w:jc w:val="both"/>
        <w:textAlignment w:val="baseline"/>
        <w:rPr>
          <w:rFonts w:asciiTheme="minorHAnsi" w:eastAsia="Arial" w:hAnsiTheme="minorHAnsi" w:cstheme="minorHAnsi"/>
          <w:sz w:val="20"/>
          <w:szCs w:val="20"/>
        </w:rPr>
      </w:pPr>
    </w:p>
    <w:p w14:paraId="75863E0E" w14:textId="40221E6B" w:rsidR="00772A71" w:rsidRPr="00343DF5" w:rsidRDefault="00E777A6" w:rsidP="004B6113">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EH Bildu Nafarroa talde parlamentarioari atxikitako foru parlamentari Javier Arza Porras jaunak idatziz erantzuteko galdera egin du (11-24/PES-00131). Hona hemen galdera horrek dioena:</w:t>
      </w:r>
      <w:r>
        <w:rPr>
          <w:sz w:val="20"/>
          <w:rFonts w:asciiTheme="minorHAnsi" w:hAnsiTheme="minorHAnsi"/>
        </w:rPr>
        <w:t xml:space="preserve"> </w:t>
      </w:r>
    </w:p>
    <w:p w14:paraId="3A07A2E3" w14:textId="3738626D" w:rsidR="00772A71" w:rsidRPr="00343DF5" w:rsidRDefault="00E777A6" w:rsidP="004B6113">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Arrazoi arrazista islamofoboengatiko lan-diskriminazioko ekintza baten berri izan dugu prentsaren bidez https://www.eldiario.es/desalambre/mujer-pierde-trabajo-residencia-navarra-llevar-panuelo-alterar-paz-mayores_1_10942216.html</w:t>
      </w:r>
      <w:r>
        <w:rPr>
          <w:sz w:val="20"/>
          <w:rFonts w:asciiTheme="minorHAnsi" w:hAnsiTheme="minorHAnsi"/>
        </w:rPr>
        <w:t xml:space="preserve"> </w:t>
      </w:r>
      <w:r>
        <w:rPr>
          <w:sz w:val="20"/>
          <w:rFonts w:asciiTheme="minorHAnsi" w:hAnsiTheme="minorHAnsi"/>
        </w:rPr>
        <w:t xml:space="preserve">Gainera, zahar-egoitza batean (Erruki-etxea) gertatutako egitate bat da, eta Nafarroako Gobernuak hainbat postu itunduta ditu bertan.</w:t>
      </w:r>
      <w:r>
        <w:rPr>
          <w:sz w:val="20"/>
          <w:b/>
          <w:rFonts w:asciiTheme="minorHAnsi" w:hAnsiTheme="minorHAnsi"/>
        </w:rPr>
        <w:t xml:space="preserve"> </w:t>
      </w:r>
    </w:p>
    <w:p w14:paraId="44BCE5D7" w14:textId="77777777" w:rsidR="00343DF5" w:rsidRDefault="00E777A6" w:rsidP="00343DF5">
      <w:pPr>
        <w:pStyle w:val="Style"/>
        <w:spacing w:before="100" w:beforeAutospacing="1" w:after="200" w:line="276" w:lineRule="auto"/>
        <w:ind w:leftChars="567" w:left="1247" w:rightChars="567" w:right="1247"/>
        <w:jc w:val="both"/>
        <w:textAlignment w:val="baseline"/>
        <w:rPr>
          <w:bCs/>
          <w:sz w:val="20"/>
          <w:szCs w:val="20"/>
          <w:rFonts w:asciiTheme="minorHAnsi" w:hAnsiTheme="minorHAnsi" w:cstheme="minorHAnsi"/>
        </w:rPr>
      </w:pPr>
      <w:r>
        <w:rPr>
          <w:sz w:val="20"/>
          <w:rFonts w:asciiTheme="minorHAnsi" w:hAnsiTheme="minorHAnsi"/>
        </w:rPr>
        <w:t xml:space="preserve">Hori guztia dela-eta, jakin nahi dugu zer erantzun eman behar duen Nafarroako Gobernuak egitate horren aurrean, eta zer protokolo dituen arrazoi arrazistengatiko lan-diskriminazioko ekintzen aurrean, postu itunduak dituzten zentroetan.</w:t>
      </w:r>
      <w:r>
        <w:rPr>
          <w:sz w:val="20"/>
          <w:rFonts w:asciiTheme="minorHAnsi" w:hAnsiTheme="minorHAnsi"/>
        </w:rPr>
        <w:t xml:space="preserve"> </w:t>
      </w:r>
    </w:p>
    <w:p w14:paraId="3B589BAB" w14:textId="714C488B" w:rsidR="00772A71" w:rsidRPr="00343DF5" w:rsidRDefault="00343DF5" w:rsidP="00343DF5">
      <w:pPr>
        <w:pStyle w:val="Style"/>
        <w:spacing w:before="100" w:beforeAutospacing="1" w:after="200" w:line="276" w:lineRule="auto"/>
        <w:ind w:leftChars="567" w:left="1247" w:rightChars="567" w:right="1247"/>
        <w:jc w:val="both"/>
        <w:textAlignment w:val="baseline"/>
        <w:rPr>
          <w:bCs/>
          <w:sz w:val="20"/>
          <w:szCs w:val="20"/>
          <w:rFonts w:asciiTheme="minorHAnsi" w:hAnsiTheme="minorHAnsi" w:cstheme="minorHAnsi"/>
        </w:rPr>
      </w:pPr>
      <w:r>
        <w:rPr>
          <w:sz w:val="20"/>
          <w:rFonts w:asciiTheme="minorHAnsi" w:hAnsiTheme="minorHAnsi"/>
        </w:rPr>
        <w:t xml:space="preserve">Hona hemen Nafarroako Gobernuaren Etxebizitzako, Gazteriako eta Migrazio Politiketako kontseilariak horretaz ematen dion informazioa:</w:t>
      </w:r>
      <w:r>
        <w:rPr>
          <w:sz w:val="20"/>
          <w:rFonts w:asciiTheme="minorHAnsi" w:hAnsiTheme="minorHAnsi"/>
        </w:rPr>
        <w:t xml:space="preserve"> </w:t>
      </w:r>
    </w:p>
    <w:p w14:paraId="5158D21A" w14:textId="77777777"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Gizarte konplexu, plural eta aldakorretan oso beharrezkoa da arrazismoaren eta diskriminazioaren aurkako borroka ikur bihurtzea eskubide berdintasunarekin konpromisoa handiagoa duten politika publikoetarako.</w:t>
      </w:r>
      <w:r>
        <w:rPr>
          <w:sz w:val="20"/>
          <w:rFonts w:asciiTheme="minorHAnsi" w:hAnsiTheme="minorHAnsi"/>
        </w:rPr>
        <w:t xml:space="preserve"> </w:t>
      </w:r>
    </w:p>
    <w:p w14:paraId="57810743" w14:textId="77777777"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Nafarroako migratzaile asko diskriminatuta sentitzen dira beren jatorriagatik, hizkuntzagatik, nazionalitateagatik edota egoera sozioekonomikoagatik.</w:t>
      </w:r>
      <w:r>
        <w:rPr>
          <w:sz w:val="20"/>
          <w:rFonts w:asciiTheme="minorHAnsi" w:hAnsiTheme="minorHAnsi"/>
        </w:rPr>
        <w:t xml:space="preserve"> </w:t>
      </w:r>
      <w:r>
        <w:rPr>
          <w:sz w:val="20"/>
          <w:rFonts w:asciiTheme="minorHAnsi" w:hAnsiTheme="minorHAnsi"/>
        </w:rPr>
        <w:t xml:space="preserve">Diskriminazioaren pertzepzioa lotuta dago, halaber, beste gai batzuekin, hala nola egoera juridikoarekin edota iristeko urtearekin.</w:t>
      </w:r>
      <w:r>
        <w:rPr>
          <w:sz w:val="20"/>
          <w:rFonts w:asciiTheme="minorHAnsi" w:hAnsiTheme="minorHAnsi"/>
        </w:rPr>
        <w:t xml:space="preserve"> </w:t>
      </w:r>
    </w:p>
    <w:p w14:paraId="5B61F60D"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Hori dela-eta, 2023ko ekainean Arrazakeriaren eta Xenofobiaren aurka egiteko Arreta Zerbitzua sortu zen Nafarroan, arreta zerbitzu integrala emateko Nafarroan arrazismoaren nahiz xenofobiaren ondoriozko diskriminazioaren biktima direnei.</w:t>
      </w:r>
      <w:r>
        <w:rPr>
          <w:sz w:val="20"/>
          <w:rFonts w:asciiTheme="minorHAnsi" w:hAnsiTheme="minorHAnsi"/>
        </w:rPr>
        <w:t xml:space="preserve"> </w:t>
      </w:r>
    </w:p>
    <w:p w14:paraId="1511FC8E" w14:textId="785B2331"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Nafarroan Arrazakeriaren eta Xenofobiaren aurka egiteko Arreta Zerbitzuak (aurrerantzean SARX) jatorri etniko nahiz arrazazkoaren ondoriozko diskriminazioko edozein egoera nahiz demandarako arreta ematen du, nola herritarrena hala profesionalena.</w:t>
      </w:r>
      <w:r>
        <w:rPr>
          <w:sz w:val="20"/>
          <w:rFonts w:asciiTheme="minorHAnsi" w:hAnsiTheme="minorHAnsi"/>
        </w:rPr>
        <w:t xml:space="preserve"> </w:t>
      </w:r>
    </w:p>
    <w:p w14:paraId="18526166" w14:textId="36EBCEE1"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Arreta aurrez aurre ematen da, baita online eta telefonoz ere, modu doako eta konfidentzialean, Foru Komunitatean dauden guztientzako, aldez aurreko ezein betekizunik bete beharrik gabe.</w:t>
      </w:r>
      <w:r>
        <w:rPr>
          <w:sz w:val="20"/>
          <w:rFonts w:asciiTheme="minorHAnsi" w:hAnsiTheme="minorHAnsi"/>
        </w:rPr>
        <w:t xml:space="preserve"> </w:t>
      </w:r>
      <w:r>
        <w:rPr>
          <w:sz w:val="20"/>
          <w:rFonts w:asciiTheme="minorHAnsi" w:hAnsiTheme="minorHAnsi"/>
        </w:rPr>
        <w:t xml:space="preserve">Zerbitzuak arreta presentzialeko bi puntu finko ditu, Migrazio Politiketako Zuzendaritza Nagusiaren beste zerbitzu batzuekin partekatuak, bata Iruñean eta bestea Tuteran.</w:t>
      </w:r>
      <w:r>
        <w:rPr>
          <w:sz w:val="20"/>
          <w:rFonts w:asciiTheme="minorHAnsi" w:hAnsiTheme="minorHAnsi"/>
        </w:rPr>
        <w:t xml:space="preserve"> </w:t>
      </w:r>
      <w:r>
        <w:rPr>
          <w:sz w:val="20"/>
          <w:rFonts w:asciiTheme="minorHAnsi" w:hAnsiTheme="minorHAnsi"/>
        </w:rPr>
        <w:t xml:space="preserve">Foru Komunitateko beste toki batzuetan arreta presentziala behar duten kasuetarako, zerbitzuko langileak Nafarroako lurralde osoan zehar mugitzen dira.</w:t>
      </w:r>
      <w:r>
        <w:rPr>
          <w:sz w:val="20"/>
          <w:rFonts w:asciiTheme="minorHAnsi" w:hAnsiTheme="minorHAnsi"/>
        </w:rPr>
        <w:t xml:space="preserve"> </w:t>
      </w:r>
    </w:p>
    <w:p w14:paraId="52EAE1B9"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Arreta eta aholkularitza ematen dira Nafarroan arrazismoarekin eta xenofobiarekin lotutako askotariko alderdiei buruz. Zerbitzuan ezarritako arretarako protokoloari jarraikiz aholkularitza sozial, psikologiko eta juridiko pertsonalizatuak ematen dira, eta informazioa ere ematen zaie jatorriarengatiko nahiz arrazagatiko diskriminazioa jaso izana alegatzen dutenei arazoak onbideratzeko askotariko mekanismoei buruz, hala nola kontziliazioa, bitartekaritza edota justizia errestauratiboko zerbitzua.</w:t>
      </w:r>
      <w:r>
        <w:rPr>
          <w:sz w:val="20"/>
          <w:rFonts w:asciiTheme="minorHAnsi" w:hAnsiTheme="minorHAnsi"/>
        </w:rPr>
        <w:t xml:space="preserve"> </w:t>
      </w:r>
    </w:p>
    <w:p w14:paraId="5A7B2111" w14:textId="4E133BD3"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Delitutzat hartzen ahal den urratzea izanez gero, bulegoak aholkularitza juridikoa ematen du salaketa jartzeko prozesuari buruz, eta, kasua bada, zerbitzu Juridiko espezializatuetara bideratzeko laguntzen du.</w:t>
      </w:r>
      <w:r>
        <w:rPr>
          <w:sz w:val="20"/>
          <w:rFonts w:asciiTheme="minorHAnsi" w:hAnsiTheme="minorHAnsi"/>
        </w:rPr>
        <w:t xml:space="preserve"> </w:t>
      </w:r>
    </w:p>
    <w:p w14:paraId="30841173"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Xedea da arreta bermatzea arrazismoagatik, xenofobiagatik eta diskriminazio intersekzionalagatik gorroto-delituen biktima izan direnei, biktimizazio bikoitzak saihesteko, segurtasun juridikoa emateko eta mekanismoak ezartzeko Nafarroan arrazismoaren egoeraren berri izateko, baita ikuspegi errestauratiboko erreparazioa eta prestakuntza izatekoak ere.</w:t>
      </w:r>
      <w:r>
        <w:rPr>
          <w:sz w:val="20"/>
          <w:rFonts w:asciiTheme="minorHAnsi" w:hAnsiTheme="minorHAnsi"/>
        </w:rPr>
        <w:t xml:space="preserve"> </w:t>
      </w:r>
    </w:p>
    <w:p w14:paraId="6E03B66B" w14:textId="5F007B39"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Halaber, informazioa eta aholkularitza ematen zaie nola prebentzioan hala detekzioan eta biktimen arretan esku hartzen duten administrazio publikoetako eta erakunde sozialetako profesionalei.</w:t>
      </w:r>
      <w:r>
        <w:rPr>
          <w:sz w:val="20"/>
          <w:rFonts w:asciiTheme="minorHAnsi" w:hAnsiTheme="minorHAnsi"/>
        </w:rPr>
        <w:t xml:space="preserve"> </w:t>
      </w:r>
      <w:r>
        <w:rPr>
          <w:sz w:val="20"/>
          <w:rFonts w:asciiTheme="minorHAnsi" w:hAnsiTheme="minorHAnsi"/>
        </w:rPr>
        <w:t xml:space="preserve">Nagusiki, gizarte zerbitzuetako profesionalei, osasun langileei, hezkuntza komunitateari eta, noizean behin, beren zereginak egikaritzen daudela esku hartzea eskatzen duen arraza-diskriminazioko egoera baten aurrean egoten ahal diren langileei.</w:t>
      </w:r>
      <w:r>
        <w:rPr>
          <w:sz w:val="20"/>
          <w:rFonts w:asciiTheme="minorHAnsi" w:hAnsiTheme="minorHAnsi"/>
        </w:rPr>
        <w:t xml:space="preserve"> </w:t>
      </w:r>
    </w:p>
    <w:p w14:paraId="29B312D3" w14:textId="77777777"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Bestalde, biktimarioei dagokienez, jarduketak planteatzen dira akonpainamendua, terapia, prestakuntza eta berreziketa egiteko, eta erreparatzeko nahiz arazoak konpontzeko bide alternatiboak sartzen dira ere bai biktimen eta biktimarioen arreta eta aholkularitza psikologikoan oinarrituta, errestaurazioaren ikuspegitik.</w:t>
      </w:r>
      <w:r>
        <w:rPr>
          <w:sz w:val="20"/>
          <w:rFonts w:asciiTheme="minorHAnsi" w:hAnsiTheme="minorHAnsi"/>
        </w:rPr>
        <w:t xml:space="preserve"> </w:t>
      </w:r>
    </w:p>
    <w:p w14:paraId="55E5F022" w14:textId="77777777" w:rsidR="00772A71" w:rsidRPr="00343DF5" w:rsidRDefault="00772A71" w:rsidP="00343DF5">
      <w:pPr>
        <w:pStyle w:val="Style"/>
        <w:spacing w:before="100" w:beforeAutospacing="1" w:after="200" w:line="276" w:lineRule="auto"/>
        <w:ind w:leftChars="567" w:left="1247" w:rightChars="567" w:right="1247"/>
        <w:rPr>
          <w:rFonts w:asciiTheme="minorHAnsi" w:hAnsiTheme="minorHAnsi" w:cstheme="minorHAnsi"/>
          <w:sz w:val="20"/>
          <w:szCs w:val="20"/>
        </w:rPr>
      </w:pPr>
    </w:p>
    <w:p w14:paraId="10CF02E0"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eastAsia="Arial" w:hAnsiTheme="minorHAnsi" w:cstheme="minorHAnsi"/>
        </w:rPr>
      </w:pPr>
      <w:r>
        <w:rPr>
          <w:sz w:val="20"/>
          <w:rFonts w:asciiTheme="minorHAnsi" w:hAnsiTheme="minorHAnsi"/>
        </w:rPr>
        <w:t xml:space="preserve">SARXek herritarren eskaerak eramaten ditu administrazio prozeduretarantz, judizialetarantz eta bitartekaritzako prozeduretarantz, pairatutako kaltea erreparatzeko eta biktimak bere eskubideak osorik egikaritu ditzan.</w:t>
      </w:r>
      <w:r>
        <w:rPr>
          <w:sz w:val="20"/>
          <w:rFonts w:asciiTheme="minorHAnsi" w:hAnsiTheme="minorHAnsi"/>
        </w:rPr>
        <w:t xml:space="preserve"> </w:t>
      </w:r>
      <w:r>
        <w:rPr>
          <w:sz w:val="20"/>
          <w:rFonts w:asciiTheme="minorHAnsi" w:hAnsiTheme="minorHAnsi"/>
        </w:rPr>
        <w:t xml:space="preserve">Ildo horretatik, lan egiten da mekanismoak ezartzeko aukera ematen dutenak ez soilik kaltea erreparatzeko, baizik eta diskriminazio arrazazkoaren eta xenofoboaren kasuak prebenitzeko ere bai, berreziketaren bidez eta biktimarioekin lan egiten.</w:t>
      </w:r>
      <w:r>
        <w:rPr>
          <w:sz w:val="20"/>
          <w:rFonts w:asciiTheme="minorHAnsi" w:hAnsiTheme="minorHAnsi"/>
        </w:rPr>
        <w:t xml:space="preserve"> </w:t>
      </w:r>
    </w:p>
    <w:p w14:paraId="06E9F906"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eastAsia="Arial" w:hAnsiTheme="minorHAnsi" w:cstheme="minorHAnsi"/>
        </w:rPr>
      </w:pPr>
      <w:r>
        <w:rPr>
          <w:sz w:val="20"/>
          <w:rFonts w:asciiTheme="minorHAnsi" w:hAnsiTheme="minorHAnsi"/>
        </w:rPr>
        <w:t xml:space="preserve">Horretarako guztirako taldeak askotariko profiletako profesionalak ditu, hala nola gizarte eta hezkuntzakoa, juridikoa eta psikologikoa, eta prestakuntza, gaikuntza eta sentsibilizazio beharrezkoak dituzte kulturako eta kulturarteko gaitasunak garatzeko, bai eta jarraipena egiteko, ebaluatzeko eta sistematizatzeko ere, arreta jasotzen duten pertsonengan eta Nafarroako herritar guztiengan eragin nahi diren aldaketak lortzeko.</w:t>
      </w:r>
      <w:r>
        <w:rPr>
          <w:sz w:val="20"/>
          <w:rFonts w:asciiTheme="minorHAnsi" w:hAnsiTheme="minorHAnsi"/>
        </w:rPr>
        <w:t xml:space="preserve"> </w:t>
      </w:r>
    </w:p>
    <w:p w14:paraId="0CC3847D" w14:textId="59030F1B"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eastAsia="Arial" w:hAnsiTheme="minorHAnsi" w:cstheme="minorHAnsi"/>
        </w:rPr>
      </w:pPr>
      <w:r>
        <w:rPr>
          <w:sz w:val="20"/>
          <w:rFonts w:asciiTheme="minorHAnsi" w:hAnsiTheme="minorHAnsi"/>
        </w:rPr>
        <w:t xml:space="preserve">Arrazakeriaren eta Xenofobiaren aurka egiteko Arreta Zerbitzuaren prozedurak honako urrats hauek ditu:</w:t>
      </w:r>
      <w:r>
        <w:rPr>
          <w:sz w:val="20"/>
          <w:rFonts w:asciiTheme="minorHAnsi" w:hAnsiTheme="minorHAnsi"/>
        </w:rPr>
        <w:t xml:space="preserve"> </w:t>
      </w:r>
    </w:p>
    <w:p w14:paraId="43BE79AA" w14:textId="1B509395" w:rsidR="00772A71" w:rsidRPr="00343DF5" w:rsidRDefault="00E777A6" w:rsidP="00343DF5">
      <w:pPr>
        <w:pStyle w:val="Style"/>
        <w:numPr>
          <w:ilvl w:val="0"/>
          <w:numId w:val="1"/>
        </w:numPr>
        <w:spacing w:before="100" w:beforeAutospacing="1" w:after="200" w:line="276" w:lineRule="auto"/>
        <w:ind w:rightChars="567" w:right="1247"/>
        <w:jc w:val="both"/>
        <w:textAlignment w:val="baseline"/>
        <w:rPr>
          <w:sz w:val="20"/>
          <w:szCs w:val="20"/>
          <w:rFonts w:asciiTheme="minorHAnsi" w:hAnsiTheme="minorHAnsi" w:cstheme="minorHAnsi"/>
        </w:rPr>
      </w:pPr>
      <w:r>
        <w:rPr>
          <w:sz w:val="20"/>
          <w:rFonts w:asciiTheme="minorHAnsi" w:hAnsiTheme="minorHAnsi"/>
        </w:rPr>
        <w:t xml:space="preserve">Zerbitzura kasu bat iristen da - Harrera:</w:t>
      </w:r>
      <w:r>
        <w:rPr>
          <w:sz w:val="20"/>
          <w:rFonts w:asciiTheme="minorHAnsi" w:hAnsiTheme="minorHAnsi"/>
        </w:rPr>
        <w:t xml:space="preserve"> </w:t>
      </w:r>
      <w:r>
        <w:rPr>
          <w:sz w:val="20"/>
          <w:rFonts w:asciiTheme="minorHAnsi" w:hAnsiTheme="minorHAnsi"/>
        </w:rPr>
        <w:t xml:space="preserve">Lehentasunez aldez aurreko hitzordu eskaeraren bidez aurrez aurre, telefonoz nahiz telematikoki.</w:t>
      </w:r>
      <w:r>
        <w:rPr>
          <w:sz w:val="20"/>
          <w:rFonts w:asciiTheme="minorHAnsi" w:hAnsiTheme="minorHAnsi"/>
        </w:rPr>
        <w:t xml:space="preserve"> </w:t>
      </w:r>
      <w:r>
        <w:rPr>
          <w:sz w:val="20"/>
          <w:rFonts w:asciiTheme="minorHAnsi" w:hAnsiTheme="minorHAnsi"/>
        </w:rPr>
        <w:t xml:space="preserve">Kasu bakoitza baloratzen da premia eta erreferentziazko profesionala identifikatzeko.</w:t>
      </w:r>
      <w:r>
        <w:rPr>
          <w:sz w:val="20"/>
          <w:rFonts w:asciiTheme="minorHAnsi" w:hAnsiTheme="minorHAnsi"/>
        </w:rPr>
        <w:t xml:space="preserve"> </w:t>
      </w:r>
    </w:p>
    <w:p w14:paraId="7D4E48D1" w14:textId="6174EC33" w:rsidR="00772A71" w:rsidRPr="00343DF5" w:rsidRDefault="00E777A6" w:rsidP="00343DF5">
      <w:pPr>
        <w:pStyle w:val="Style"/>
        <w:numPr>
          <w:ilvl w:val="0"/>
          <w:numId w:val="1"/>
        </w:numPr>
        <w:spacing w:before="100" w:beforeAutospacing="1" w:after="200" w:line="276" w:lineRule="auto"/>
        <w:ind w:rightChars="567" w:right="1247"/>
        <w:textAlignment w:val="baseline"/>
        <w:rPr>
          <w:sz w:val="20"/>
          <w:szCs w:val="20"/>
          <w:rFonts w:asciiTheme="minorHAnsi" w:hAnsiTheme="minorHAnsi" w:cstheme="minorHAnsi"/>
        </w:rPr>
      </w:pPr>
      <w:r>
        <w:rPr>
          <w:sz w:val="20"/>
          <w:rFonts w:asciiTheme="minorHAnsi" w:hAnsiTheme="minorHAnsi"/>
        </w:rPr>
        <w:t xml:space="preserve">Kasuaren harrera: datu bilketa eta diskriminazioko intzidentearen xehetasunak.</w:t>
      </w:r>
      <w:r>
        <w:rPr>
          <w:sz w:val="20"/>
          <w:rFonts w:asciiTheme="minorHAnsi" w:hAnsiTheme="minorHAnsi"/>
        </w:rPr>
        <w:t xml:space="preserve"> </w:t>
      </w:r>
    </w:p>
    <w:p w14:paraId="3F4C86DE" w14:textId="525ABE6E" w:rsidR="00772A71" w:rsidRPr="00343DF5" w:rsidRDefault="00E777A6" w:rsidP="00343DF5">
      <w:pPr>
        <w:pStyle w:val="Style"/>
        <w:numPr>
          <w:ilvl w:val="0"/>
          <w:numId w:val="1"/>
        </w:numPr>
        <w:spacing w:before="100" w:beforeAutospacing="1" w:after="200" w:line="276" w:lineRule="auto"/>
        <w:ind w:rightChars="567" w:right="1247"/>
        <w:textAlignment w:val="baseline"/>
        <w:rPr>
          <w:sz w:val="20"/>
          <w:szCs w:val="20"/>
          <w:rFonts w:asciiTheme="minorHAnsi" w:hAnsiTheme="minorHAnsi" w:cstheme="minorHAnsi"/>
        </w:rPr>
      </w:pPr>
      <w:r>
        <w:rPr>
          <w:sz w:val="20"/>
          <w:rFonts w:asciiTheme="minorHAnsi" w:hAnsiTheme="minorHAnsi"/>
        </w:rPr>
        <w:t xml:space="preserve">Diziplina anitzeko ikerketa plana diskriminazioko zantzurik dagoen zehazteko, zerbitzuko askotariko profesionalek egina.</w:t>
      </w:r>
      <w:r>
        <w:rPr>
          <w:sz w:val="20"/>
          <w:rFonts w:asciiTheme="minorHAnsi" w:hAnsiTheme="minorHAnsi"/>
        </w:rPr>
        <w:t xml:space="preserve"> </w:t>
      </w:r>
    </w:p>
    <w:p w14:paraId="75DEBFBF" w14:textId="7F299399" w:rsidR="00772A71" w:rsidRPr="00343DF5" w:rsidRDefault="00E777A6" w:rsidP="00343DF5">
      <w:pPr>
        <w:pStyle w:val="Style"/>
        <w:numPr>
          <w:ilvl w:val="0"/>
          <w:numId w:val="1"/>
        </w:numPr>
        <w:spacing w:before="100" w:beforeAutospacing="1" w:after="200" w:line="276" w:lineRule="auto"/>
        <w:ind w:rightChars="567" w:right="1247"/>
        <w:textAlignment w:val="baseline"/>
        <w:rPr>
          <w:sz w:val="20"/>
          <w:szCs w:val="20"/>
          <w:rFonts w:asciiTheme="minorHAnsi" w:hAnsiTheme="minorHAnsi" w:cstheme="minorHAnsi"/>
        </w:rPr>
      </w:pPr>
      <w:r>
        <w:rPr>
          <w:sz w:val="20"/>
          <w:rFonts w:asciiTheme="minorHAnsi" w:hAnsiTheme="minorHAnsi"/>
        </w:rPr>
        <w:t xml:space="preserve">Diskriminazio zantzurik badago esku hartzeko plan indibidualizatu bat prestatzen da.</w:t>
      </w:r>
      <w:r>
        <w:rPr>
          <w:sz w:val="20"/>
          <w:rFonts w:asciiTheme="minorHAnsi" w:hAnsiTheme="minorHAnsi"/>
        </w:rPr>
        <w:t xml:space="preserve"> </w:t>
      </w:r>
    </w:p>
    <w:p w14:paraId="7D6EFF10" w14:textId="7F90DE3E" w:rsidR="00772A71" w:rsidRPr="00343DF5" w:rsidRDefault="00E777A6" w:rsidP="00343DF5">
      <w:pPr>
        <w:pStyle w:val="Style"/>
        <w:numPr>
          <w:ilvl w:val="0"/>
          <w:numId w:val="1"/>
        </w:numPr>
        <w:spacing w:before="100" w:beforeAutospacing="1" w:after="200" w:line="276" w:lineRule="auto"/>
        <w:ind w:rightChars="567" w:right="1247"/>
        <w:textAlignment w:val="baseline"/>
        <w:rPr>
          <w:sz w:val="20"/>
          <w:szCs w:val="20"/>
          <w:rFonts w:asciiTheme="minorHAnsi" w:hAnsiTheme="minorHAnsi" w:cstheme="minorHAnsi"/>
        </w:rPr>
      </w:pPr>
      <w:r>
        <w:rPr>
          <w:sz w:val="20"/>
          <w:rFonts w:asciiTheme="minorHAnsi" w:hAnsiTheme="minorHAnsi"/>
        </w:rPr>
        <w:t xml:space="preserve">Kasua ixtea.</w:t>
      </w:r>
      <w:r>
        <w:rPr>
          <w:sz w:val="20"/>
          <w:rFonts w:asciiTheme="minorHAnsi" w:hAnsiTheme="minorHAnsi"/>
        </w:rPr>
        <w:t xml:space="preserve"> </w:t>
      </w:r>
    </w:p>
    <w:p w14:paraId="4B14B935" w14:textId="59B98331"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Zerbitzuaren jarduketa protokolo hori aplikatzekoa da edozein eremu erlazional, laneko, osasuneko, hezkuntzako nahiz komunitariotan, baina soilik pertsonak borondatea badu egin behar da ezinbestean.</w:t>
      </w:r>
      <w:r>
        <w:rPr>
          <w:sz w:val="20"/>
          <w:rFonts w:asciiTheme="minorHAnsi" w:hAnsiTheme="minorHAnsi"/>
        </w:rPr>
        <w:t xml:space="preserve"> </w:t>
      </w:r>
    </w:p>
    <w:p w14:paraId="4D0B1A6F"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Ildo horretatik, EH Bildu Nafarroa talde parlamentarioak egindako galderan planteatutako egoeraren harira, jakinarazten da ezen, bertan aipatzen den pertsona gaur egunera arte ez dela harremanetan jarri Nafarroan Arrazakeriaren eta Xenofobiaren aurka egiteko Arreta Zerbitzuarekin, eta ez da kasuaren berririk izan bestelako bitartekoen bidez.</w:t>
      </w:r>
      <w:r>
        <w:rPr>
          <w:sz w:val="20"/>
          <w:rFonts w:asciiTheme="minorHAnsi" w:hAnsiTheme="minorHAnsi"/>
        </w:rPr>
        <w:t xml:space="preserve"> </w:t>
      </w:r>
      <w:r>
        <w:rPr>
          <w:sz w:val="20"/>
          <w:rFonts w:asciiTheme="minorHAnsi" w:hAnsiTheme="minorHAnsi"/>
        </w:rPr>
        <w:t xml:space="preserve">Edozelan ere, Migrazio Politiketako Zuzendaritza Nagusiak jakin badakigu albistean aipatutako egoerak prozesu bat duela irekita SOS Racismo erakunde sozialean.</w:t>
      </w:r>
      <w:r>
        <w:rPr>
          <w:sz w:val="20"/>
          <w:rFonts w:asciiTheme="minorHAnsi" w:hAnsiTheme="minorHAnsi"/>
        </w:rPr>
        <w:t xml:space="preserve"> </w:t>
      </w:r>
    </w:p>
    <w:p w14:paraId="6B80E255" w14:textId="77777777" w:rsid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SARXtik eta SOS Racismo erakundetik (horrek Zuzendaritza Nagusi honekin batera lan egiten du lankidetza-hitzarmenen bidez sentsibilizazio- eta salaketa-programak garatzeko arrazismoaren eta xenofobiaren esparruan) koordinatzeko bideak ezarri dira, erakunde horren arreta jasotzen dutenei SARXren informazioa helarazteko, zerbitzuak ematen dituen arretak behar izanez gero eta bertara jo nahi badute aukera izan dezaten.</w:t>
      </w:r>
      <w:r>
        <w:rPr>
          <w:sz w:val="20"/>
          <w:rFonts w:asciiTheme="minorHAnsi" w:hAnsiTheme="minorHAnsi"/>
        </w:rPr>
        <w:t xml:space="preserve"> </w:t>
      </w:r>
    </w:p>
    <w:p w14:paraId="0A8E2467" w14:textId="2B92CBCD" w:rsidR="00772A71" w:rsidRPr="00343DF5" w:rsidRDefault="00E777A6" w:rsidP="00343DF5">
      <w:pPr>
        <w:pStyle w:val="Style"/>
        <w:spacing w:before="100" w:beforeAutospacing="1" w:after="200" w:line="276" w:lineRule="auto"/>
        <w:ind w:leftChars="567" w:left="1247" w:rightChars="567" w:right="1247"/>
        <w:jc w:val="both"/>
        <w:textAlignment w:val="baseline"/>
        <w:rPr>
          <w:sz w:val="20"/>
          <w:szCs w:val="20"/>
          <w:rFonts w:asciiTheme="minorHAnsi" w:hAnsiTheme="minorHAnsi" w:cstheme="minorHAnsi"/>
        </w:rPr>
      </w:pPr>
      <w:r>
        <w:rPr>
          <w:sz w:val="20"/>
          <w:rFonts w:asciiTheme="minorHAnsi" w:hAnsiTheme="minorHAnsi"/>
        </w:rPr>
        <w:t xml:space="preserve">Bestalde, 2024. urtean zehar Migrazio Politiketako Zuzendaritza Nagusia departamentuarteko eta erakundearteko bilerak antolatzen ari da sinergiak, konpromisoak eta prozedurak ezartzeko xedez, administrazio publikoaren baitan gertatzen ahal diren arrazismoko nahiz xenofobiako intzidenteei zein egoerei aurre egiteko; horrez gain, informazioa, laguntza eta aholkularitza ematen ari dira arreta zerbitzuetako bakoitzaren jarduketa eremuari lotuta, guztia Nafarroako Gobernuaren nahiz toki erakundeen askotariko premiei egokituta.</w:t>
      </w:r>
      <w:r>
        <w:rPr>
          <w:sz w:val="20"/>
          <w:rFonts w:asciiTheme="minorHAnsi" w:hAnsiTheme="minorHAnsi"/>
        </w:rPr>
        <w:t xml:space="preserve"> </w:t>
      </w:r>
    </w:p>
    <w:p w14:paraId="4222092F" w14:textId="77777777" w:rsidR="00343DF5" w:rsidRDefault="00E777A6" w:rsidP="00343DF5">
      <w:pPr>
        <w:pStyle w:val="Style"/>
        <w:spacing w:before="100" w:beforeAutospacing="1" w:after="200" w:line="276" w:lineRule="auto"/>
        <w:ind w:leftChars="567" w:left="1247" w:rightChars="567" w:right="1247"/>
        <w:textAlignment w:val="baseline"/>
        <w:rPr>
          <w:sz w:val="20"/>
          <w:szCs w:val="20"/>
          <w:rFonts w:asciiTheme="minorHAnsi" w:eastAsia="Arial" w:hAnsiTheme="minorHAnsi" w:cstheme="minorHAnsi"/>
        </w:rPr>
      </w:pPr>
      <w:r>
        <w:rPr>
          <w:sz w:val="20"/>
          <w:rFonts w:asciiTheme="minorHAnsi" w:hAnsiTheme="minorHAnsi"/>
        </w:rPr>
        <w:t xml:space="preserve">Iruñean, 2024ko martxoaren 25ean</w:t>
      </w:r>
      <w:r>
        <w:rPr>
          <w:sz w:val="20"/>
          <w:rFonts w:asciiTheme="minorHAnsi" w:hAnsiTheme="minorHAnsi"/>
        </w:rPr>
        <w:t xml:space="preserve"> </w:t>
      </w:r>
    </w:p>
    <w:p w14:paraId="03EF7CF6" w14:textId="636B3031" w:rsidR="00772A71" w:rsidRPr="00343DF5" w:rsidRDefault="00343DF5" w:rsidP="00343DF5">
      <w:pPr>
        <w:pStyle w:val="Style"/>
        <w:spacing w:before="100" w:beforeAutospacing="1" w:after="200" w:line="276" w:lineRule="auto"/>
        <w:ind w:leftChars="567" w:left="1247" w:rightChars="567" w:right="1247"/>
        <w:textAlignment w:val="baseline"/>
        <w:rPr>
          <w:sz w:val="20"/>
          <w:szCs w:val="20"/>
          <w:rFonts w:asciiTheme="minorHAnsi" w:hAnsiTheme="minorHAnsi" w:cstheme="minorHAnsi"/>
        </w:rPr>
      </w:pPr>
      <w:r>
        <w:rPr>
          <w:sz w:val="20"/>
          <w:rFonts w:asciiTheme="minorHAnsi" w:hAnsiTheme="minorHAnsi"/>
        </w:rPr>
        <w:t xml:space="preserve">Etxebizitzako, Gazteriako eta Migrazio Politiketako kontseilaria:</w:t>
      </w:r>
      <w:r>
        <w:rPr>
          <w:sz w:val="20"/>
          <w:rFonts w:asciiTheme="minorHAnsi" w:hAnsiTheme="minorHAnsi"/>
        </w:rPr>
        <w:t xml:space="preserve"> </w:t>
      </w:r>
      <w:r>
        <w:rPr>
          <w:sz w:val="20"/>
          <w:rFonts w:asciiTheme="minorHAnsi" w:hAnsiTheme="minorHAnsi"/>
        </w:rPr>
        <w:t xml:space="preserve">Begoña Alfaro García</w:t>
      </w:r>
      <w:r>
        <w:rPr>
          <w:sz w:val="20"/>
          <w:rFonts w:asciiTheme="minorHAnsi" w:hAnsiTheme="minorHAnsi"/>
        </w:rPr>
        <w:t xml:space="preserve"> </w:t>
      </w:r>
    </w:p>
    <w:sectPr w:rsidR="00772A71" w:rsidRPr="00343DF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9477A"/>
    <w:multiLevelType w:val="hybridMultilevel"/>
    <w:tmpl w:val="A58C9B9C"/>
    <w:lvl w:ilvl="0" w:tplc="A6E05EFE">
      <w:numFmt w:val="bullet"/>
      <w:lvlText w:val="–"/>
      <w:lvlJc w:val="left"/>
      <w:pPr>
        <w:ind w:left="1607" w:hanging="360"/>
      </w:pPr>
      <w:rPr>
        <w:rFonts w:ascii="Arial" w:eastAsia="Arial" w:hAnsi="Arial" w:cs="Arial"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34525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72A71"/>
    <w:rsid w:val="00343DF5"/>
    <w:rsid w:val="004B6113"/>
    <w:rsid w:val="00772A71"/>
    <w:rsid w:val="00E77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6B6B"/>
  <w15:docId w15:val="{BC51421D-142B-4D0B-8904-3BE0315B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1207</Words>
  <Characters>6643</Characters>
  <Application>Microsoft Office Word</Application>
  <DocSecurity>0</DocSecurity>
  <Lines>55</Lines>
  <Paragraphs>15</Paragraphs>
  <ScaleCrop>false</ScaleCrop>
  <Company>HP Inc.</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1789 PES 131</dc:title>
  <dc:creator>informatica</dc:creator>
  <cp:keywords>CreatedByIRIS_Readiris_17.0</cp:keywords>
  <cp:lastModifiedBy>Mauleón, Fernando</cp:lastModifiedBy>
  <cp:revision>4</cp:revision>
  <dcterms:created xsi:type="dcterms:W3CDTF">2024-04-04T07:08:00Z</dcterms:created>
  <dcterms:modified xsi:type="dcterms:W3CDTF">2024-04-04T07:16:00Z</dcterms:modified>
</cp:coreProperties>
</file>