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54A4A" w14:textId="49978BBC" w:rsidR="00800B2B" w:rsidRPr="007B2C29" w:rsidRDefault="00800B2B" w:rsidP="007B2C29">
      <w:pPr>
        <w:autoSpaceDE w:val="0"/>
        <w:autoSpaceDN w:val="0"/>
        <w:adjustRightInd w:val="0"/>
        <w:spacing w:before="100" w:beforeAutospacing="1" w:after="200" w:line="276" w:lineRule="auto"/>
        <w:jc w:val="both"/>
        <w:rPr>
          <w:rFonts w:ascii="Calibri" w:hAnsi="Calibri" w:cs="Calibri"/>
          <w:kern w:val="0"/>
          <w:sz w:val="22"/>
          <w:szCs w:val="22"/>
        </w:rPr>
      </w:pPr>
      <w:r w:rsidRPr="007B2C29">
        <w:rPr>
          <w:rFonts w:ascii="Calibri" w:hAnsi="Calibri" w:cs="Calibri"/>
          <w:kern w:val="0"/>
          <w:sz w:val="22"/>
          <w:szCs w:val="22"/>
        </w:rPr>
        <w:t>24MOC-80</w:t>
      </w:r>
    </w:p>
    <w:p w14:paraId="702A451D" w14:textId="4A9196F2" w:rsidR="00800B2B" w:rsidRPr="007B2C29" w:rsidRDefault="00800B2B" w:rsidP="007B2C29">
      <w:pPr>
        <w:autoSpaceDE w:val="0"/>
        <w:autoSpaceDN w:val="0"/>
        <w:adjustRightInd w:val="0"/>
        <w:spacing w:before="100" w:beforeAutospacing="1" w:after="200" w:line="276" w:lineRule="auto"/>
        <w:jc w:val="both"/>
        <w:rPr>
          <w:rFonts w:ascii="Calibri" w:hAnsi="Calibri" w:cs="Calibri"/>
          <w:kern w:val="0"/>
          <w:sz w:val="22"/>
          <w:szCs w:val="22"/>
        </w:rPr>
      </w:pPr>
      <w:r w:rsidRPr="007B2C29">
        <w:rPr>
          <w:rFonts w:ascii="Calibri" w:hAnsi="Calibri" w:cs="Calibri"/>
          <w:kern w:val="0"/>
          <w:sz w:val="22"/>
          <w:szCs w:val="22"/>
        </w:rPr>
        <w:t>Blanca Regúlez Álvarez</w:t>
      </w:r>
      <w:r w:rsidRPr="007B2C29">
        <w:rPr>
          <w:rFonts w:ascii="Calibri" w:hAnsi="Calibri" w:cs="Calibri"/>
          <w:b/>
          <w:bCs/>
          <w:kern w:val="0"/>
          <w:sz w:val="22"/>
          <w:szCs w:val="22"/>
        </w:rPr>
        <w:t xml:space="preserve">, </w:t>
      </w:r>
      <w:r w:rsidRPr="007B2C29">
        <w:rPr>
          <w:rFonts w:ascii="Calibri" w:hAnsi="Calibri" w:cs="Calibri"/>
          <w:kern w:val="0"/>
          <w:sz w:val="22"/>
          <w:szCs w:val="22"/>
        </w:rPr>
        <w:t>parlamentaria adscrita al Grupo Parlamentario Geroa Bai, al amparo de lo dispuesto en el Reglamento de esta Cámara, presenta la siguiente moción</w:t>
      </w:r>
      <w:r w:rsidRPr="007B2C29">
        <w:rPr>
          <w:rFonts w:ascii="Calibri" w:hAnsi="Calibri" w:cs="Calibri"/>
          <w:b/>
          <w:bCs/>
          <w:kern w:val="0"/>
          <w:sz w:val="22"/>
          <w:szCs w:val="22"/>
        </w:rPr>
        <w:t xml:space="preserve"> </w:t>
      </w:r>
      <w:r w:rsidR="007B2C29" w:rsidRPr="007B2C29">
        <w:rPr>
          <w:rFonts w:ascii="Calibri" w:hAnsi="Calibri" w:cs="Calibri"/>
          <w:kern w:val="0"/>
          <w:sz w:val="22"/>
          <w:szCs w:val="22"/>
        </w:rPr>
        <w:t>para su</w:t>
      </w:r>
      <w:r w:rsidRPr="007B2C29">
        <w:rPr>
          <w:rFonts w:ascii="Calibri" w:hAnsi="Calibri" w:cs="Calibri"/>
          <w:kern w:val="0"/>
          <w:sz w:val="22"/>
          <w:szCs w:val="22"/>
        </w:rPr>
        <w:t xml:space="preserve"> debate en el Pleno</w:t>
      </w:r>
      <w:r w:rsidRPr="007B2C29">
        <w:rPr>
          <w:rFonts w:ascii="Calibri" w:hAnsi="Calibri" w:cs="Calibri"/>
          <w:b/>
          <w:bCs/>
          <w:kern w:val="0"/>
          <w:sz w:val="22"/>
          <w:szCs w:val="22"/>
        </w:rPr>
        <w:t xml:space="preserve"> </w:t>
      </w:r>
      <w:r w:rsidRPr="007B2C29">
        <w:rPr>
          <w:rFonts w:ascii="Calibri" w:hAnsi="Calibri" w:cs="Calibri"/>
          <w:kern w:val="0"/>
          <w:sz w:val="22"/>
          <w:szCs w:val="22"/>
        </w:rPr>
        <w:t>de esta Cámara a celebrar el próximo jueves 30 de mayo. El seguimiento</w:t>
      </w:r>
      <w:r w:rsidR="007B2C29">
        <w:rPr>
          <w:rFonts w:ascii="Calibri" w:hAnsi="Calibri" w:cs="Calibri"/>
          <w:kern w:val="0"/>
          <w:sz w:val="22"/>
          <w:szCs w:val="22"/>
        </w:rPr>
        <w:t xml:space="preserve"> </w:t>
      </w:r>
      <w:r w:rsidRPr="007B2C29">
        <w:rPr>
          <w:rFonts w:ascii="Calibri" w:hAnsi="Calibri" w:cs="Calibri"/>
          <w:kern w:val="0"/>
          <w:sz w:val="22"/>
          <w:szCs w:val="22"/>
        </w:rPr>
        <w:t>se hará en la Comisión de Presidencia e Igualdad.</w:t>
      </w:r>
    </w:p>
    <w:p w14:paraId="20AA59B4" w14:textId="3B573D9E" w:rsidR="00800B2B" w:rsidRPr="007B2C29" w:rsidRDefault="00800B2B" w:rsidP="007B2C29">
      <w:pPr>
        <w:autoSpaceDE w:val="0"/>
        <w:autoSpaceDN w:val="0"/>
        <w:adjustRightInd w:val="0"/>
        <w:spacing w:before="100" w:beforeAutospacing="1" w:after="200" w:line="276" w:lineRule="auto"/>
        <w:jc w:val="both"/>
        <w:rPr>
          <w:rFonts w:ascii="Calibri" w:hAnsi="Calibri" w:cs="Calibri"/>
          <w:kern w:val="0"/>
          <w:sz w:val="22"/>
          <w:szCs w:val="22"/>
        </w:rPr>
      </w:pPr>
      <w:r w:rsidRPr="007B2C29">
        <w:rPr>
          <w:rFonts w:ascii="Calibri" w:hAnsi="Calibri" w:cs="Calibri"/>
          <w:kern w:val="0"/>
          <w:sz w:val="22"/>
          <w:szCs w:val="22"/>
        </w:rPr>
        <w:t>Exposición de motivos</w:t>
      </w:r>
    </w:p>
    <w:p w14:paraId="4B5F52CA" w14:textId="1C119A3E" w:rsidR="00800B2B" w:rsidRPr="007B2C29" w:rsidRDefault="00800B2B" w:rsidP="007B2C29">
      <w:pPr>
        <w:autoSpaceDE w:val="0"/>
        <w:autoSpaceDN w:val="0"/>
        <w:adjustRightInd w:val="0"/>
        <w:spacing w:before="100" w:beforeAutospacing="1" w:after="200" w:line="276" w:lineRule="auto"/>
        <w:jc w:val="both"/>
        <w:rPr>
          <w:rFonts w:ascii="Calibri" w:hAnsi="Calibri" w:cs="Calibri"/>
          <w:kern w:val="0"/>
          <w:sz w:val="22"/>
          <w:szCs w:val="22"/>
        </w:rPr>
      </w:pPr>
      <w:r w:rsidRPr="007B2C29">
        <w:rPr>
          <w:rFonts w:ascii="Calibri" w:hAnsi="Calibri" w:cs="Calibri"/>
          <w:kern w:val="0"/>
          <w:sz w:val="22"/>
          <w:szCs w:val="22"/>
        </w:rPr>
        <w:t>La Ley 9/1968, de 5 de abril, sobre secretos oficiales es la legislación vigente en materia de secretos oficiales. Dicha ley, que data del régimen del franquismo, fue modificada parcialmente en octubre de 1978 por la Ley 4/1978, de 7 de octubre, aún en periodo preconstitucional.</w:t>
      </w:r>
    </w:p>
    <w:p w14:paraId="1D618E5F" w14:textId="629AA896" w:rsidR="00800B2B" w:rsidRPr="007B2C29" w:rsidRDefault="00800B2B" w:rsidP="007B2C29">
      <w:pPr>
        <w:autoSpaceDE w:val="0"/>
        <w:autoSpaceDN w:val="0"/>
        <w:adjustRightInd w:val="0"/>
        <w:spacing w:before="100" w:beforeAutospacing="1" w:after="200" w:line="276" w:lineRule="auto"/>
        <w:jc w:val="both"/>
        <w:rPr>
          <w:rFonts w:ascii="Calibri" w:hAnsi="Calibri" w:cs="Calibri"/>
          <w:kern w:val="0"/>
          <w:sz w:val="22"/>
          <w:szCs w:val="22"/>
        </w:rPr>
      </w:pPr>
      <w:r w:rsidRPr="007B2C29">
        <w:rPr>
          <w:rFonts w:ascii="Calibri" w:hAnsi="Calibri" w:cs="Calibri"/>
          <w:kern w:val="0"/>
          <w:sz w:val="22"/>
          <w:szCs w:val="22"/>
        </w:rPr>
        <w:t>España sigue rigiéndose, por tanto, en esta materia que afecta al corazón de la democracia con una ley de 1968 que responde a la lógica de un régimen dictatorial como lo era el franquista.</w:t>
      </w:r>
    </w:p>
    <w:p w14:paraId="558B5079" w14:textId="01B12428" w:rsidR="00800B2B" w:rsidRPr="007B2C29" w:rsidRDefault="00800B2B" w:rsidP="007B2C29">
      <w:pPr>
        <w:autoSpaceDE w:val="0"/>
        <w:autoSpaceDN w:val="0"/>
        <w:adjustRightInd w:val="0"/>
        <w:spacing w:before="100" w:beforeAutospacing="1" w:after="200" w:line="276" w:lineRule="auto"/>
        <w:jc w:val="both"/>
        <w:rPr>
          <w:rFonts w:ascii="Calibri" w:hAnsi="Calibri" w:cs="Calibri"/>
          <w:kern w:val="0"/>
          <w:sz w:val="22"/>
          <w:szCs w:val="22"/>
        </w:rPr>
      </w:pPr>
      <w:r w:rsidRPr="007B2C29">
        <w:rPr>
          <w:rFonts w:ascii="Calibri" w:hAnsi="Calibri" w:cs="Calibri"/>
          <w:kern w:val="0"/>
          <w:sz w:val="22"/>
          <w:szCs w:val="22"/>
        </w:rPr>
        <w:t>Con esta Ley se ha impedido el conocimiento de información que debía ser pública al amparo de las legislaciones de la mayoría de países del mundo y todo en ello amparado en la seguridad y defensa del Estado.</w:t>
      </w:r>
    </w:p>
    <w:p w14:paraId="52D3AFEE" w14:textId="34C42A98" w:rsidR="00800B2B" w:rsidRPr="007B2C29" w:rsidRDefault="00800B2B" w:rsidP="007B2C29">
      <w:pPr>
        <w:autoSpaceDE w:val="0"/>
        <w:autoSpaceDN w:val="0"/>
        <w:adjustRightInd w:val="0"/>
        <w:spacing w:before="100" w:beforeAutospacing="1" w:after="200" w:line="276" w:lineRule="auto"/>
        <w:jc w:val="both"/>
        <w:rPr>
          <w:rFonts w:ascii="Calibri" w:hAnsi="Calibri" w:cs="Calibri"/>
          <w:kern w:val="0"/>
          <w:sz w:val="22"/>
          <w:szCs w:val="22"/>
        </w:rPr>
      </w:pPr>
      <w:r w:rsidRPr="007B2C29">
        <w:rPr>
          <w:rFonts w:ascii="Calibri" w:hAnsi="Calibri" w:cs="Calibri"/>
          <w:kern w:val="0"/>
          <w:sz w:val="22"/>
          <w:szCs w:val="22"/>
        </w:rPr>
        <w:t>La seguridad y defensa del Estado es un valor constitucionalmente protegido y al Gobierno del Estado compete su resguardo, imposibilitando el acceso de los ciudadanos a aquellas materias que pudieran afectarlo. Pero hay que tener en cuenta que este valor y su resguardo no es absoluto. Por el contrario, es un valor que, desde unos parámetros democráticos, debe conciliarse con otros valores y principios que también en España están, siquiera formalmente, constitucionalmente protegidos desde 1978.</w:t>
      </w:r>
    </w:p>
    <w:p w14:paraId="48AA311D" w14:textId="34EA4144" w:rsidR="00800B2B" w:rsidRPr="007B2C29" w:rsidRDefault="00800B2B" w:rsidP="007B2C29">
      <w:pPr>
        <w:autoSpaceDE w:val="0"/>
        <w:autoSpaceDN w:val="0"/>
        <w:adjustRightInd w:val="0"/>
        <w:spacing w:before="100" w:beforeAutospacing="1" w:after="200" w:line="276" w:lineRule="auto"/>
        <w:jc w:val="both"/>
        <w:rPr>
          <w:rFonts w:ascii="Calibri" w:hAnsi="Calibri" w:cs="Calibri"/>
          <w:kern w:val="0"/>
          <w:sz w:val="22"/>
          <w:szCs w:val="22"/>
        </w:rPr>
      </w:pPr>
      <w:r w:rsidRPr="007B2C29">
        <w:rPr>
          <w:rFonts w:ascii="Calibri" w:hAnsi="Calibri" w:cs="Calibri"/>
          <w:kern w:val="0"/>
          <w:sz w:val="22"/>
          <w:szCs w:val="22"/>
        </w:rPr>
        <w:t>Tras 56 años de su publicación y 46 años de su reforma es necesario que esta ley sea adaptada a la sensibilidad social vigente respecto al valor de la transparencia consustancial al principio democrático que fundamenta y rige nuestra sociedad, y que se adapte a las instituciones actuales, máxime cuando en las últimas semanas tenemos encima de la mesa la llamada regeneración democrática por parte del presidente del Gobierno del Estado, Pedro Sánchez, actual debate que es una buena oportunidad para actualizar nuestro sistema general de clasificación y desclasificación de la información, obsoleto, por uno más acorde al siglo XXI, homologable a los países de nuestro entorno.</w:t>
      </w:r>
    </w:p>
    <w:p w14:paraId="5FE068F0" w14:textId="405FDEFC" w:rsidR="00800B2B" w:rsidRPr="007B2C29" w:rsidRDefault="00800B2B" w:rsidP="007B2C29">
      <w:pPr>
        <w:autoSpaceDE w:val="0"/>
        <w:autoSpaceDN w:val="0"/>
        <w:adjustRightInd w:val="0"/>
        <w:spacing w:before="100" w:beforeAutospacing="1" w:after="200" w:line="276" w:lineRule="auto"/>
        <w:jc w:val="both"/>
        <w:rPr>
          <w:rFonts w:ascii="Calibri" w:hAnsi="Calibri" w:cs="Calibri"/>
          <w:kern w:val="0"/>
          <w:sz w:val="22"/>
          <w:szCs w:val="22"/>
        </w:rPr>
      </w:pPr>
      <w:r w:rsidRPr="007B2C29">
        <w:rPr>
          <w:rFonts w:ascii="Calibri" w:hAnsi="Calibri" w:cs="Calibri"/>
          <w:kern w:val="0"/>
          <w:sz w:val="22"/>
          <w:szCs w:val="22"/>
        </w:rPr>
        <w:t>La Ley sobre secretos oficiales en vigor no contempla e ignora el triple test que se le pide a la información clasificada de legalidad, proporcionalidad y necesidad; no recoge plazos de clasificación, perpetuando que información pueda ser secreta de forma eterna y no recoge un procedimiento claro para clasificar y desclasificar la información jurídica, así como otras cuestiones, si nos atenemos al uso de un lenguaje ambiguo o su referencia a instituciones que en estos momentos son incomprensibles.</w:t>
      </w:r>
    </w:p>
    <w:p w14:paraId="7E171887" w14:textId="57725E0F" w:rsidR="00800B2B" w:rsidRPr="007B2C29" w:rsidRDefault="00800B2B" w:rsidP="007B2C29">
      <w:pPr>
        <w:autoSpaceDE w:val="0"/>
        <w:autoSpaceDN w:val="0"/>
        <w:adjustRightInd w:val="0"/>
        <w:spacing w:before="100" w:beforeAutospacing="1" w:after="200" w:line="276" w:lineRule="auto"/>
        <w:jc w:val="both"/>
        <w:rPr>
          <w:rFonts w:ascii="Calibri" w:hAnsi="Calibri" w:cs="Calibri"/>
          <w:kern w:val="0"/>
          <w:sz w:val="22"/>
          <w:szCs w:val="22"/>
        </w:rPr>
      </w:pPr>
      <w:r w:rsidRPr="007B2C29">
        <w:rPr>
          <w:rFonts w:ascii="Calibri" w:hAnsi="Calibri" w:cs="Calibri"/>
          <w:kern w:val="0"/>
          <w:sz w:val="22"/>
          <w:szCs w:val="22"/>
        </w:rPr>
        <w:t>Por ello es necesario que la clasificación de unas materias como secretas o reservadas, tal y como las nombra esta ley, tenga un plazo de vigencia determinado, como en las legislaciones de EEUU, Reino Unido, Alemania o Suiza.</w:t>
      </w:r>
    </w:p>
    <w:p w14:paraId="69690B9C" w14:textId="50E660CC" w:rsidR="00800B2B" w:rsidRPr="007B2C29" w:rsidRDefault="00800B2B" w:rsidP="007B2C29">
      <w:pPr>
        <w:autoSpaceDE w:val="0"/>
        <w:autoSpaceDN w:val="0"/>
        <w:adjustRightInd w:val="0"/>
        <w:spacing w:before="100" w:beforeAutospacing="1" w:after="200" w:line="276" w:lineRule="auto"/>
        <w:jc w:val="both"/>
        <w:rPr>
          <w:rFonts w:ascii="Calibri" w:hAnsi="Calibri" w:cs="Calibri"/>
          <w:kern w:val="0"/>
          <w:sz w:val="22"/>
          <w:szCs w:val="22"/>
        </w:rPr>
      </w:pPr>
      <w:r w:rsidRPr="007B2C29">
        <w:rPr>
          <w:rFonts w:ascii="Calibri" w:hAnsi="Calibri" w:cs="Calibri"/>
          <w:kern w:val="0"/>
          <w:sz w:val="22"/>
          <w:szCs w:val="22"/>
        </w:rPr>
        <w:lastRenderedPageBreak/>
        <w:t>En esta necesaria transparencia de la labor del Estado que se exige a todo Estado social y democrático de derecho, esta Ley sobre secretos oficiales coarta y restringe el derecho de acceso a la información, que forma parte del derecho humano a la libertad de expresión y de opinión recogido en el art. 19.2 del Pacto Internacional de Derechos Civiles y Políticos.</w:t>
      </w:r>
    </w:p>
    <w:p w14:paraId="02729DC6" w14:textId="36779543" w:rsidR="00800B2B" w:rsidRPr="007B2C29" w:rsidRDefault="00800B2B" w:rsidP="007B2C29">
      <w:pPr>
        <w:autoSpaceDE w:val="0"/>
        <w:autoSpaceDN w:val="0"/>
        <w:adjustRightInd w:val="0"/>
        <w:spacing w:before="100" w:beforeAutospacing="1" w:after="200" w:line="276" w:lineRule="auto"/>
        <w:jc w:val="both"/>
        <w:rPr>
          <w:rFonts w:ascii="Calibri" w:hAnsi="Calibri" w:cs="Calibri"/>
          <w:kern w:val="0"/>
          <w:sz w:val="22"/>
          <w:szCs w:val="22"/>
        </w:rPr>
      </w:pPr>
      <w:r w:rsidRPr="007B2C29">
        <w:rPr>
          <w:rFonts w:ascii="Calibri" w:hAnsi="Calibri" w:cs="Calibri"/>
          <w:kern w:val="0"/>
          <w:sz w:val="22"/>
          <w:szCs w:val="22"/>
        </w:rPr>
        <w:t>Este derecho queda restringido cuando afecta a informaciones del pasado y del presente o que están relacionadas con el respeto y protección de nuestros derechos humanos y</w:t>
      </w:r>
      <w:r w:rsidR="007B2C29" w:rsidRPr="007B2C29">
        <w:rPr>
          <w:rFonts w:ascii="Calibri" w:hAnsi="Calibri" w:cs="Calibri"/>
          <w:kern w:val="0"/>
          <w:sz w:val="22"/>
          <w:szCs w:val="22"/>
        </w:rPr>
        <w:t xml:space="preserve">, </w:t>
      </w:r>
      <w:r w:rsidRPr="007B2C29">
        <w:rPr>
          <w:rFonts w:ascii="Calibri" w:hAnsi="Calibri" w:cs="Calibri"/>
          <w:kern w:val="0"/>
          <w:sz w:val="22"/>
          <w:szCs w:val="22"/>
        </w:rPr>
        <w:t>por</w:t>
      </w:r>
      <w:r w:rsidR="007B2C29" w:rsidRPr="007B2C29">
        <w:rPr>
          <w:rFonts w:ascii="Calibri" w:hAnsi="Calibri" w:cs="Calibri"/>
          <w:kern w:val="0"/>
          <w:sz w:val="22"/>
          <w:szCs w:val="22"/>
        </w:rPr>
        <w:t xml:space="preserve"> </w:t>
      </w:r>
      <w:r w:rsidRPr="007B2C29">
        <w:rPr>
          <w:rFonts w:ascii="Calibri" w:hAnsi="Calibri" w:cs="Calibri"/>
          <w:kern w:val="0"/>
          <w:sz w:val="22"/>
          <w:szCs w:val="22"/>
        </w:rPr>
        <w:t>qu</w:t>
      </w:r>
      <w:r w:rsidR="007B2C29" w:rsidRPr="007B2C29">
        <w:rPr>
          <w:rFonts w:ascii="Calibri" w:hAnsi="Calibri" w:cs="Calibri"/>
          <w:kern w:val="0"/>
          <w:sz w:val="22"/>
          <w:szCs w:val="22"/>
        </w:rPr>
        <w:t>é</w:t>
      </w:r>
      <w:r w:rsidR="007B2C29">
        <w:rPr>
          <w:rFonts w:ascii="Calibri" w:hAnsi="Calibri" w:cs="Calibri"/>
          <w:kern w:val="0"/>
          <w:sz w:val="22"/>
          <w:szCs w:val="22"/>
        </w:rPr>
        <w:t xml:space="preserve"> </w:t>
      </w:r>
      <w:r w:rsidRPr="007B2C29">
        <w:rPr>
          <w:rFonts w:ascii="Calibri" w:hAnsi="Calibri" w:cs="Calibri"/>
          <w:kern w:val="0"/>
          <w:sz w:val="22"/>
          <w:szCs w:val="22"/>
        </w:rPr>
        <w:t>no, a informaciones que pueden afectar a un futuro de nuestra sociedad.</w:t>
      </w:r>
    </w:p>
    <w:p w14:paraId="4BC1863F" w14:textId="0040855F" w:rsidR="00800B2B" w:rsidRPr="007B2C29" w:rsidRDefault="00800B2B" w:rsidP="007B2C29">
      <w:pPr>
        <w:autoSpaceDE w:val="0"/>
        <w:autoSpaceDN w:val="0"/>
        <w:adjustRightInd w:val="0"/>
        <w:spacing w:before="100" w:beforeAutospacing="1" w:after="200" w:line="276" w:lineRule="auto"/>
        <w:jc w:val="both"/>
        <w:rPr>
          <w:rFonts w:ascii="Calibri" w:hAnsi="Calibri" w:cs="Calibri"/>
          <w:kern w:val="0"/>
          <w:sz w:val="22"/>
          <w:szCs w:val="22"/>
        </w:rPr>
      </w:pPr>
      <w:r w:rsidRPr="007B2C29">
        <w:rPr>
          <w:rFonts w:ascii="Calibri" w:hAnsi="Calibri" w:cs="Calibri"/>
          <w:kern w:val="0"/>
          <w:sz w:val="22"/>
          <w:szCs w:val="22"/>
        </w:rPr>
        <w:t>Este Parlamento ya se posicionó en la legislatura pasada, en el año 2021, a propuesta de</w:t>
      </w:r>
      <w:r w:rsidR="007B2C29" w:rsidRPr="007B2C29">
        <w:rPr>
          <w:rFonts w:ascii="Calibri" w:hAnsi="Calibri" w:cs="Calibri"/>
          <w:kern w:val="0"/>
          <w:sz w:val="22"/>
          <w:szCs w:val="22"/>
        </w:rPr>
        <w:t xml:space="preserve"> </w:t>
      </w:r>
      <w:r w:rsidRPr="007B2C29">
        <w:rPr>
          <w:rFonts w:ascii="Calibri" w:hAnsi="Calibri" w:cs="Calibri"/>
          <w:kern w:val="0"/>
          <w:sz w:val="22"/>
          <w:szCs w:val="22"/>
        </w:rPr>
        <w:t xml:space="preserve">Geroa Bai, a favor de la reforma de esta Ley </w:t>
      </w:r>
      <w:r w:rsidR="007B2C29" w:rsidRPr="007B2C29">
        <w:rPr>
          <w:rFonts w:ascii="Calibri" w:hAnsi="Calibri" w:cs="Calibri"/>
          <w:kern w:val="0"/>
          <w:sz w:val="22"/>
          <w:szCs w:val="22"/>
        </w:rPr>
        <w:t>sobre s</w:t>
      </w:r>
      <w:r w:rsidRPr="007B2C29">
        <w:rPr>
          <w:rFonts w:ascii="Calibri" w:hAnsi="Calibri" w:cs="Calibri"/>
          <w:kern w:val="0"/>
          <w:sz w:val="22"/>
          <w:szCs w:val="22"/>
        </w:rPr>
        <w:t xml:space="preserve">ecretos </w:t>
      </w:r>
      <w:r w:rsidR="007B2C29" w:rsidRPr="007B2C29">
        <w:rPr>
          <w:rFonts w:ascii="Calibri" w:hAnsi="Calibri" w:cs="Calibri"/>
          <w:kern w:val="0"/>
          <w:sz w:val="22"/>
          <w:szCs w:val="22"/>
        </w:rPr>
        <w:t>o</w:t>
      </w:r>
      <w:r w:rsidRPr="007B2C29">
        <w:rPr>
          <w:rFonts w:ascii="Calibri" w:hAnsi="Calibri" w:cs="Calibri"/>
          <w:kern w:val="0"/>
          <w:sz w:val="22"/>
          <w:szCs w:val="22"/>
        </w:rPr>
        <w:t>ficiales, con los votos a favor de PSN,</w:t>
      </w:r>
      <w:r w:rsidR="007B2C29" w:rsidRPr="007B2C29">
        <w:rPr>
          <w:rFonts w:ascii="Calibri" w:hAnsi="Calibri" w:cs="Calibri"/>
          <w:kern w:val="0"/>
          <w:sz w:val="22"/>
          <w:szCs w:val="22"/>
        </w:rPr>
        <w:t xml:space="preserve"> </w:t>
      </w:r>
      <w:r w:rsidRPr="007B2C29">
        <w:rPr>
          <w:rFonts w:ascii="Calibri" w:hAnsi="Calibri" w:cs="Calibri"/>
          <w:kern w:val="0"/>
          <w:sz w:val="22"/>
          <w:szCs w:val="22"/>
        </w:rPr>
        <w:t>Gero</w:t>
      </w:r>
      <w:r w:rsidR="007B2C29" w:rsidRPr="007B2C29">
        <w:rPr>
          <w:rFonts w:ascii="Calibri" w:hAnsi="Calibri" w:cs="Calibri"/>
          <w:kern w:val="0"/>
          <w:sz w:val="22"/>
          <w:szCs w:val="22"/>
        </w:rPr>
        <w:t>a</w:t>
      </w:r>
      <w:r w:rsidRPr="007B2C29">
        <w:rPr>
          <w:rFonts w:ascii="Calibri" w:hAnsi="Calibri" w:cs="Calibri"/>
          <w:kern w:val="0"/>
          <w:sz w:val="22"/>
          <w:szCs w:val="22"/>
        </w:rPr>
        <w:t xml:space="preserve"> Bai, EH Bildu, Podemos, I-E y el voto en contra de Navarra Suma, y se hizo a través de una</w:t>
      </w:r>
      <w:r w:rsidR="007B2C29" w:rsidRPr="007B2C29">
        <w:rPr>
          <w:rFonts w:ascii="Calibri" w:hAnsi="Calibri" w:cs="Calibri"/>
          <w:kern w:val="0"/>
          <w:sz w:val="22"/>
          <w:szCs w:val="22"/>
        </w:rPr>
        <w:t xml:space="preserve"> </w:t>
      </w:r>
      <w:r w:rsidRPr="007B2C29">
        <w:rPr>
          <w:rFonts w:ascii="Calibri" w:hAnsi="Calibri" w:cs="Calibri"/>
          <w:kern w:val="0"/>
          <w:sz w:val="22"/>
          <w:szCs w:val="22"/>
        </w:rPr>
        <w:t>moción por la que se instaba “al Gobierno de España a realizar las modificaciones legales</w:t>
      </w:r>
      <w:r w:rsidR="007B2C29" w:rsidRPr="007B2C29">
        <w:rPr>
          <w:rFonts w:ascii="Calibri" w:hAnsi="Calibri" w:cs="Calibri"/>
          <w:kern w:val="0"/>
          <w:sz w:val="22"/>
          <w:szCs w:val="22"/>
        </w:rPr>
        <w:t xml:space="preserve"> </w:t>
      </w:r>
      <w:r w:rsidRPr="007B2C29">
        <w:rPr>
          <w:rFonts w:ascii="Calibri" w:hAnsi="Calibri" w:cs="Calibri"/>
          <w:kern w:val="0"/>
          <w:sz w:val="22"/>
          <w:szCs w:val="22"/>
        </w:rPr>
        <w:t xml:space="preserve">pertinentes para que la Ley </w:t>
      </w:r>
      <w:r w:rsidR="007B2C29" w:rsidRPr="007B2C29">
        <w:rPr>
          <w:rFonts w:ascii="Calibri" w:hAnsi="Calibri" w:cs="Calibri"/>
          <w:kern w:val="0"/>
          <w:sz w:val="22"/>
          <w:szCs w:val="22"/>
        </w:rPr>
        <w:t>sobre</w:t>
      </w:r>
      <w:r w:rsidRPr="007B2C29">
        <w:rPr>
          <w:rFonts w:ascii="Calibri" w:hAnsi="Calibri" w:cs="Calibri"/>
          <w:kern w:val="0"/>
          <w:sz w:val="22"/>
          <w:szCs w:val="22"/>
        </w:rPr>
        <w:t xml:space="preserve"> </w:t>
      </w:r>
      <w:r w:rsidR="007B2C29" w:rsidRPr="007B2C29">
        <w:rPr>
          <w:rFonts w:ascii="Calibri" w:hAnsi="Calibri" w:cs="Calibri"/>
          <w:kern w:val="0"/>
          <w:sz w:val="22"/>
          <w:szCs w:val="22"/>
        </w:rPr>
        <w:t>s</w:t>
      </w:r>
      <w:r w:rsidRPr="007B2C29">
        <w:rPr>
          <w:rFonts w:ascii="Calibri" w:hAnsi="Calibri" w:cs="Calibri"/>
          <w:kern w:val="0"/>
          <w:sz w:val="22"/>
          <w:szCs w:val="22"/>
        </w:rPr>
        <w:t xml:space="preserve">ecretos </w:t>
      </w:r>
      <w:r w:rsidR="007B2C29" w:rsidRPr="007B2C29">
        <w:rPr>
          <w:rFonts w:ascii="Calibri" w:hAnsi="Calibri" w:cs="Calibri"/>
          <w:kern w:val="0"/>
          <w:sz w:val="22"/>
          <w:szCs w:val="22"/>
        </w:rPr>
        <w:t>o</w:t>
      </w:r>
      <w:r w:rsidRPr="007B2C29">
        <w:rPr>
          <w:rFonts w:ascii="Calibri" w:hAnsi="Calibri" w:cs="Calibri"/>
          <w:kern w:val="0"/>
          <w:sz w:val="22"/>
          <w:szCs w:val="22"/>
        </w:rPr>
        <w:t>ficiales</w:t>
      </w:r>
      <w:r w:rsidRPr="007B2C29">
        <w:rPr>
          <w:rFonts w:ascii="Calibri" w:hAnsi="Calibri" w:cs="Calibri"/>
          <w:i/>
          <w:iCs/>
          <w:kern w:val="0"/>
          <w:sz w:val="22"/>
          <w:szCs w:val="22"/>
        </w:rPr>
        <w:t xml:space="preserve"> </w:t>
      </w:r>
      <w:r w:rsidRPr="007B2C29">
        <w:rPr>
          <w:rFonts w:ascii="Calibri" w:hAnsi="Calibri" w:cs="Calibri"/>
          <w:kern w:val="0"/>
          <w:sz w:val="22"/>
          <w:szCs w:val="22"/>
        </w:rPr>
        <w:t>cumpliese con los parámetros internacionales</w:t>
      </w:r>
      <w:r w:rsidR="007B2C29" w:rsidRPr="007B2C29">
        <w:rPr>
          <w:rFonts w:ascii="Calibri" w:hAnsi="Calibri" w:cs="Calibri"/>
          <w:kern w:val="0"/>
          <w:sz w:val="22"/>
          <w:szCs w:val="22"/>
        </w:rPr>
        <w:t xml:space="preserve"> </w:t>
      </w:r>
      <w:r w:rsidRPr="007B2C29">
        <w:rPr>
          <w:rFonts w:ascii="Calibri" w:hAnsi="Calibri" w:cs="Calibri"/>
          <w:kern w:val="0"/>
          <w:sz w:val="22"/>
          <w:szCs w:val="22"/>
        </w:rPr>
        <w:t>de transparencia, proporcionalidad y necesidad exigibles a un Estado democrático, así como</w:t>
      </w:r>
      <w:r w:rsidR="007B2C29" w:rsidRPr="007B2C29">
        <w:rPr>
          <w:rFonts w:ascii="Calibri" w:hAnsi="Calibri" w:cs="Calibri"/>
          <w:kern w:val="0"/>
          <w:sz w:val="22"/>
          <w:szCs w:val="22"/>
        </w:rPr>
        <w:t xml:space="preserve"> </w:t>
      </w:r>
      <w:r w:rsidRPr="007B2C29">
        <w:rPr>
          <w:rFonts w:ascii="Calibri" w:hAnsi="Calibri" w:cs="Calibri"/>
          <w:kern w:val="0"/>
          <w:sz w:val="22"/>
          <w:szCs w:val="22"/>
        </w:rPr>
        <w:t xml:space="preserve">con el derecho a la información en cuanto derecho fundamental de la sociedad en relación </w:t>
      </w:r>
      <w:r w:rsidR="007B2C29" w:rsidRPr="007B2C29">
        <w:rPr>
          <w:rFonts w:ascii="Calibri" w:hAnsi="Calibri" w:cs="Calibri"/>
          <w:kern w:val="0"/>
          <w:sz w:val="22"/>
          <w:szCs w:val="22"/>
        </w:rPr>
        <w:t xml:space="preserve">con </w:t>
      </w:r>
      <w:r w:rsidRPr="007B2C29">
        <w:rPr>
          <w:rFonts w:ascii="Calibri" w:hAnsi="Calibri" w:cs="Calibri"/>
          <w:kern w:val="0"/>
          <w:sz w:val="22"/>
          <w:szCs w:val="22"/>
        </w:rPr>
        <w:t>las actuaciones del Estado”.</w:t>
      </w:r>
    </w:p>
    <w:p w14:paraId="3F0D497B" w14:textId="24A5EC9B" w:rsidR="00800B2B" w:rsidRPr="007B2C29" w:rsidRDefault="00800B2B" w:rsidP="007B2C29">
      <w:pPr>
        <w:autoSpaceDE w:val="0"/>
        <w:autoSpaceDN w:val="0"/>
        <w:adjustRightInd w:val="0"/>
        <w:spacing w:before="100" w:beforeAutospacing="1" w:after="200" w:line="276" w:lineRule="auto"/>
        <w:jc w:val="both"/>
        <w:rPr>
          <w:rFonts w:ascii="Calibri" w:hAnsi="Calibri" w:cs="Calibri"/>
          <w:kern w:val="0"/>
          <w:sz w:val="22"/>
          <w:szCs w:val="22"/>
        </w:rPr>
      </w:pPr>
      <w:r w:rsidRPr="007B2C29">
        <w:rPr>
          <w:rFonts w:ascii="Calibri" w:hAnsi="Calibri" w:cs="Calibri"/>
          <w:kern w:val="0"/>
          <w:sz w:val="22"/>
          <w:szCs w:val="22"/>
        </w:rPr>
        <w:t>A fecha de hoy, como es bien sabido, y tras las diferentes iniciativas presentadas en el</w:t>
      </w:r>
      <w:r w:rsidR="007B2C29" w:rsidRPr="007B2C29">
        <w:rPr>
          <w:rFonts w:ascii="Calibri" w:hAnsi="Calibri" w:cs="Calibri"/>
          <w:kern w:val="0"/>
          <w:sz w:val="22"/>
          <w:szCs w:val="22"/>
        </w:rPr>
        <w:t xml:space="preserve"> </w:t>
      </w:r>
      <w:r w:rsidRPr="007B2C29">
        <w:rPr>
          <w:rFonts w:ascii="Calibri" w:hAnsi="Calibri" w:cs="Calibri"/>
          <w:kern w:val="0"/>
          <w:sz w:val="22"/>
          <w:szCs w:val="22"/>
        </w:rPr>
        <w:t>Congreso de los Diputados, seguimos en la misma situación. Por ello, creemos que es necesario</w:t>
      </w:r>
      <w:r w:rsidR="007B2C29" w:rsidRPr="007B2C29">
        <w:rPr>
          <w:rFonts w:ascii="Calibri" w:hAnsi="Calibri" w:cs="Calibri"/>
          <w:kern w:val="0"/>
          <w:sz w:val="22"/>
          <w:szCs w:val="22"/>
        </w:rPr>
        <w:t xml:space="preserve"> </w:t>
      </w:r>
      <w:r w:rsidRPr="007B2C29">
        <w:rPr>
          <w:rFonts w:ascii="Calibri" w:hAnsi="Calibri" w:cs="Calibri"/>
          <w:kern w:val="0"/>
          <w:sz w:val="22"/>
          <w:szCs w:val="22"/>
        </w:rPr>
        <w:t>que en las instituciones no s</w:t>
      </w:r>
      <w:r w:rsidR="007B2C29" w:rsidRPr="007B2C29">
        <w:rPr>
          <w:rFonts w:ascii="Calibri" w:hAnsi="Calibri" w:cs="Calibri"/>
          <w:kern w:val="0"/>
          <w:sz w:val="22"/>
          <w:szCs w:val="22"/>
        </w:rPr>
        <w:t>o</w:t>
      </w:r>
      <w:r w:rsidRPr="007B2C29">
        <w:rPr>
          <w:rFonts w:ascii="Calibri" w:hAnsi="Calibri" w:cs="Calibri"/>
          <w:kern w:val="0"/>
          <w:sz w:val="22"/>
          <w:szCs w:val="22"/>
        </w:rPr>
        <w:t>lo del Estado</w:t>
      </w:r>
      <w:r w:rsidR="007B2C29" w:rsidRPr="007B2C29">
        <w:rPr>
          <w:rFonts w:ascii="Calibri" w:hAnsi="Calibri" w:cs="Calibri"/>
          <w:kern w:val="0"/>
          <w:sz w:val="22"/>
          <w:szCs w:val="22"/>
        </w:rPr>
        <w:t xml:space="preserve"> </w:t>
      </w:r>
      <w:r w:rsidRPr="007B2C29">
        <w:rPr>
          <w:rFonts w:ascii="Calibri" w:hAnsi="Calibri" w:cs="Calibri"/>
          <w:kern w:val="0"/>
          <w:sz w:val="22"/>
          <w:szCs w:val="22"/>
        </w:rPr>
        <w:t>–que es la que tiene la competencia legal de</w:t>
      </w:r>
      <w:r w:rsidR="007B2C29" w:rsidRPr="007B2C29">
        <w:rPr>
          <w:rFonts w:ascii="Calibri" w:hAnsi="Calibri" w:cs="Calibri"/>
          <w:kern w:val="0"/>
          <w:sz w:val="22"/>
          <w:szCs w:val="22"/>
        </w:rPr>
        <w:t xml:space="preserve"> </w:t>
      </w:r>
      <w:r w:rsidRPr="007B2C29">
        <w:rPr>
          <w:rFonts w:ascii="Calibri" w:hAnsi="Calibri" w:cs="Calibri"/>
          <w:kern w:val="0"/>
          <w:sz w:val="22"/>
          <w:szCs w:val="22"/>
        </w:rPr>
        <w:t>reforma</w:t>
      </w:r>
      <w:r w:rsidR="007B2C29" w:rsidRPr="007B2C29">
        <w:rPr>
          <w:rFonts w:ascii="Calibri" w:hAnsi="Calibri" w:cs="Calibri"/>
          <w:kern w:val="0"/>
          <w:sz w:val="22"/>
          <w:szCs w:val="22"/>
        </w:rPr>
        <w:t>–</w:t>
      </w:r>
      <w:r w:rsidRPr="007B2C29">
        <w:rPr>
          <w:rFonts w:ascii="Calibri" w:hAnsi="Calibri" w:cs="Calibri"/>
          <w:kern w:val="0"/>
          <w:sz w:val="22"/>
          <w:szCs w:val="22"/>
        </w:rPr>
        <w:t>, sino también aquí en Navarra, se propicie un debate que deje atrás un pasado</w:t>
      </w:r>
      <w:r w:rsidR="007B2C29" w:rsidRPr="007B2C29">
        <w:rPr>
          <w:rFonts w:ascii="Calibri" w:hAnsi="Calibri" w:cs="Calibri"/>
          <w:kern w:val="0"/>
          <w:sz w:val="22"/>
          <w:szCs w:val="22"/>
        </w:rPr>
        <w:t xml:space="preserve"> </w:t>
      </w:r>
      <w:r w:rsidRPr="007B2C29">
        <w:rPr>
          <w:rFonts w:ascii="Calibri" w:hAnsi="Calibri" w:cs="Calibri"/>
          <w:kern w:val="0"/>
          <w:sz w:val="22"/>
          <w:szCs w:val="22"/>
        </w:rPr>
        <w:t>autoritario en cuanto a los secretos oficiales, incompatible con un sistema democrático.</w:t>
      </w:r>
    </w:p>
    <w:p w14:paraId="7243C1C8" w14:textId="122092D8" w:rsidR="00800B2B" w:rsidRPr="007B2C29" w:rsidRDefault="00800B2B" w:rsidP="007B2C29">
      <w:pPr>
        <w:autoSpaceDE w:val="0"/>
        <w:autoSpaceDN w:val="0"/>
        <w:adjustRightInd w:val="0"/>
        <w:spacing w:before="100" w:beforeAutospacing="1" w:after="200" w:line="276" w:lineRule="auto"/>
        <w:jc w:val="both"/>
        <w:rPr>
          <w:rFonts w:ascii="Calibri" w:hAnsi="Calibri" w:cs="Calibri"/>
          <w:kern w:val="0"/>
          <w:sz w:val="22"/>
          <w:szCs w:val="22"/>
        </w:rPr>
      </w:pPr>
      <w:r w:rsidRPr="007B2C29">
        <w:rPr>
          <w:rFonts w:ascii="Calibri" w:hAnsi="Calibri" w:cs="Calibri"/>
          <w:kern w:val="0"/>
          <w:sz w:val="22"/>
          <w:szCs w:val="22"/>
        </w:rPr>
        <w:t>Se impone una desclasificación por higiene democrática. Una desclasificación que, como</w:t>
      </w:r>
      <w:r w:rsidR="007B2C29" w:rsidRPr="007B2C29">
        <w:rPr>
          <w:rFonts w:ascii="Calibri" w:hAnsi="Calibri" w:cs="Calibri"/>
          <w:kern w:val="0"/>
          <w:sz w:val="22"/>
          <w:szCs w:val="22"/>
        </w:rPr>
        <w:t xml:space="preserve"> </w:t>
      </w:r>
      <w:r w:rsidRPr="007B2C29">
        <w:rPr>
          <w:rFonts w:ascii="Calibri" w:hAnsi="Calibri" w:cs="Calibri"/>
          <w:kern w:val="0"/>
          <w:sz w:val="22"/>
          <w:szCs w:val="22"/>
        </w:rPr>
        <w:t>recoge Amnistía Internacional, previene a futuro la violación de derechos humanos; avanza en</w:t>
      </w:r>
      <w:r w:rsidR="007B2C29" w:rsidRPr="007B2C29">
        <w:rPr>
          <w:rFonts w:ascii="Calibri" w:hAnsi="Calibri" w:cs="Calibri"/>
          <w:kern w:val="0"/>
          <w:sz w:val="22"/>
          <w:szCs w:val="22"/>
        </w:rPr>
        <w:t xml:space="preserve"> </w:t>
      </w:r>
      <w:r w:rsidRPr="007B2C29">
        <w:rPr>
          <w:rFonts w:ascii="Calibri" w:hAnsi="Calibri" w:cs="Calibri"/>
          <w:kern w:val="0"/>
          <w:sz w:val="22"/>
          <w:szCs w:val="22"/>
        </w:rPr>
        <w:t>la investigación de violaciones de derechos humanos; garantiza el derecho a las víctimas a la</w:t>
      </w:r>
      <w:r w:rsidR="007B2C29" w:rsidRPr="007B2C29">
        <w:rPr>
          <w:rFonts w:ascii="Calibri" w:hAnsi="Calibri" w:cs="Calibri"/>
          <w:kern w:val="0"/>
          <w:sz w:val="22"/>
          <w:szCs w:val="22"/>
        </w:rPr>
        <w:t xml:space="preserve"> </w:t>
      </w:r>
      <w:r w:rsidRPr="007B2C29">
        <w:rPr>
          <w:rFonts w:ascii="Calibri" w:hAnsi="Calibri" w:cs="Calibri"/>
          <w:kern w:val="0"/>
          <w:sz w:val="22"/>
          <w:szCs w:val="22"/>
        </w:rPr>
        <w:t>verdad, justicia y reparación y posibilita garantías de no repetición. Se impone el cumplimiento</w:t>
      </w:r>
      <w:r w:rsidR="007B2C29" w:rsidRPr="007B2C29">
        <w:rPr>
          <w:rFonts w:ascii="Calibri" w:hAnsi="Calibri" w:cs="Calibri"/>
          <w:kern w:val="0"/>
          <w:sz w:val="22"/>
          <w:szCs w:val="22"/>
        </w:rPr>
        <w:t xml:space="preserve"> </w:t>
      </w:r>
      <w:r w:rsidRPr="007B2C29">
        <w:rPr>
          <w:rFonts w:ascii="Calibri" w:hAnsi="Calibri" w:cs="Calibri"/>
          <w:kern w:val="0"/>
          <w:sz w:val="22"/>
          <w:szCs w:val="22"/>
        </w:rPr>
        <w:t>del derecho internacional porque la protección de la seguridad del Estado en una democracia</w:t>
      </w:r>
      <w:r w:rsidR="007B2C29" w:rsidRPr="007B2C29">
        <w:rPr>
          <w:rFonts w:ascii="Calibri" w:hAnsi="Calibri" w:cs="Calibri"/>
          <w:kern w:val="0"/>
          <w:sz w:val="22"/>
          <w:szCs w:val="22"/>
        </w:rPr>
        <w:t xml:space="preserve"> </w:t>
      </w:r>
      <w:r w:rsidRPr="007B2C29">
        <w:rPr>
          <w:rFonts w:ascii="Calibri" w:hAnsi="Calibri" w:cs="Calibri"/>
          <w:kern w:val="0"/>
          <w:sz w:val="22"/>
          <w:szCs w:val="22"/>
        </w:rPr>
        <w:t xml:space="preserve">no es posible si no se garantiza el acceso al derecho a la verdad, la protección de los </w:t>
      </w:r>
      <w:r w:rsidR="007B2C29" w:rsidRPr="007B2C29">
        <w:rPr>
          <w:rFonts w:ascii="Calibri" w:hAnsi="Calibri" w:cs="Calibri"/>
          <w:kern w:val="0"/>
          <w:sz w:val="22"/>
          <w:szCs w:val="22"/>
        </w:rPr>
        <w:t>d</w:t>
      </w:r>
      <w:r w:rsidRPr="007B2C29">
        <w:rPr>
          <w:rFonts w:ascii="Calibri" w:hAnsi="Calibri" w:cs="Calibri"/>
          <w:kern w:val="0"/>
          <w:sz w:val="22"/>
          <w:szCs w:val="22"/>
        </w:rPr>
        <w:t>erechos</w:t>
      </w:r>
      <w:r w:rsidR="007B2C29" w:rsidRPr="007B2C29">
        <w:rPr>
          <w:rFonts w:ascii="Calibri" w:hAnsi="Calibri" w:cs="Calibri"/>
          <w:kern w:val="0"/>
          <w:sz w:val="22"/>
          <w:szCs w:val="22"/>
        </w:rPr>
        <w:t xml:space="preserve"> h</w:t>
      </w:r>
      <w:r w:rsidRPr="007B2C29">
        <w:rPr>
          <w:rFonts w:ascii="Calibri" w:hAnsi="Calibri" w:cs="Calibri"/>
          <w:kern w:val="0"/>
          <w:sz w:val="22"/>
          <w:szCs w:val="22"/>
        </w:rPr>
        <w:t>umanos y la reparación de las violaciones a estos.</w:t>
      </w:r>
    </w:p>
    <w:p w14:paraId="78246A00" w14:textId="333D133A" w:rsidR="00800B2B" w:rsidRPr="007B2C29" w:rsidRDefault="00800B2B" w:rsidP="007B2C29">
      <w:pPr>
        <w:autoSpaceDE w:val="0"/>
        <w:autoSpaceDN w:val="0"/>
        <w:adjustRightInd w:val="0"/>
        <w:spacing w:before="100" w:beforeAutospacing="1" w:after="200" w:line="276" w:lineRule="auto"/>
        <w:jc w:val="both"/>
        <w:rPr>
          <w:rFonts w:ascii="Calibri" w:hAnsi="Calibri" w:cs="Calibri"/>
          <w:kern w:val="0"/>
          <w:sz w:val="22"/>
          <w:szCs w:val="22"/>
        </w:rPr>
      </w:pPr>
      <w:r w:rsidRPr="007B2C29">
        <w:rPr>
          <w:rFonts w:ascii="Calibri" w:hAnsi="Calibri" w:cs="Calibri"/>
          <w:kern w:val="0"/>
          <w:sz w:val="22"/>
          <w:szCs w:val="22"/>
        </w:rPr>
        <w:t>Hechos del pasado como las actuaciones del Estado durante la dictadura franquista, la</w:t>
      </w:r>
      <w:r w:rsidR="007B2C29" w:rsidRPr="007B2C29">
        <w:rPr>
          <w:rFonts w:ascii="Calibri" w:hAnsi="Calibri" w:cs="Calibri"/>
          <w:kern w:val="0"/>
          <w:sz w:val="22"/>
          <w:szCs w:val="22"/>
        </w:rPr>
        <w:t xml:space="preserve"> </w:t>
      </w:r>
      <w:r w:rsidRPr="007B2C29">
        <w:rPr>
          <w:rFonts w:ascii="Calibri" w:hAnsi="Calibri" w:cs="Calibri"/>
          <w:kern w:val="0"/>
          <w:sz w:val="22"/>
          <w:szCs w:val="22"/>
        </w:rPr>
        <w:t>transición, el golpe de Estado del 23F, la desaparición y muerte de Mikel Zabalza en noviembre</w:t>
      </w:r>
      <w:r w:rsidR="007B2C29" w:rsidRPr="007B2C29">
        <w:rPr>
          <w:rFonts w:ascii="Calibri" w:hAnsi="Calibri" w:cs="Calibri"/>
          <w:kern w:val="0"/>
          <w:sz w:val="22"/>
          <w:szCs w:val="22"/>
        </w:rPr>
        <w:t xml:space="preserve"> </w:t>
      </w:r>
      <w:r w:rsidRPr="007B2C29">
        <w:rPr>
          <w:rFonts w:ascii="Calibri" w:hAnsi="Calibri" w:cs="Calibri"/>
          <w:kern w:val="0"/>
          <w:sz w:val="22"/>
          <w:szCs w:val="22"/>
        </w:rPr>
        <w:t xml:space="preserve">de 1985 o los asesinatos del GAL deben salir definitivamente de esta Ley </w:t>
      </w:r>
      <w:r w:rsidR="007B2C29" w:rsidRPr="007B2C29">
        <w:rPr>
          <w:rFonts w:ascii="Calibri" w:hAnsi="Calibri" w:cs="Calibri"/>
          <w:kern w:val="0"/>
          <w:sz w:val="22"/>
          <w:szCs w:val="22"/>
        </w:rPr>
        <w:t>sobre</w:t>
      </w:r>
      <w:r w:rsidRPr="007B2C29">
        <w:rPr>
          <w:rFonts w:ascii="Calibri" w:hAnsi="Calibri" w:cs="Calibri"/>
          <w:kern w:val="0"/>
          <w:sz w:val="22"/>
          <w:szCs w:val="22"/>
        </w:rPr>
        <w:t xml:space="preserve"> </w:t>
      </w:r>
      <w:r w:rsidR="007B2C29" w:rsidRPr="007B2C29">
        <w:rPr>
          <w:rFonts w:ascii="Calibri" w:hAnsi="Calibri" w:cs="Calibri"/>
          <w:kern w:val="0"/>
          <w:sz w:val="22"/>
          <w:szCs w:val="22"/>
        </w:rPr>
        <w:t>s</w:t>
      </w:r>
      <w:r w:rsidRPr="007B2C29">
        <w:rPr>
          <w:rFonts w:ascii="Calibri" w:hAnsi="Calibri" w:cs="Calibri"/>
          <w:kern w:val="0"/>
          <w:sz w:val="22"/>
          <w:szCs w:val="22"/>
        </w:rPr>
        <w:t xml:space="preserve">ecretos </w:t>
      </w:r>
      <w:r w:rsidR="007B2C29" w:rsidRPr="007B2C29">
        <w:rPr>
          <w:rFonts w:ascii="Calibri" w:hAnsi="Calibri" w:cs="Calibri"/>
          <w:kern w:val="0"/>
          <w:sz w:val="22"/>
          <w:szCs w:val="22"/>
        </w:rPr>
        <w:t>o</w:t>
      </w:r>
      <w:r w:rsidRPr="007B2C29">
        <w:rPr>
          <w:rFonts w:ascii="Calibri" w:hAnsi="Calibri" w:cs="Calibri"/>
          <w:kern w:val="0"/>
          <w:sz w:val="22"/>
          <w:szCs w:val="22"/>
        </w:rPr>
        <w:t>ficiales.</w:t>
      </w:r>
      <w:r w:rsidR="007B2C29" w:rsidRPr="007B2C29">
        <w:rPr>
          <w:rFonts w:ascii="Calibri" w:hAnsi="Calibri" w:cs="Calibri"/>
          <w:kern w:val="0"/>
          <w:sz w:val="22"/>
          <w:szCs w:val="22"/>
        </w:rPr>
        <w:t xml:space="preserve"> </w:t>
      </w:r>
      <w:r w:rsidRPr="007B2C29">
        <w:rPr>
          <w:rFonts w:ascii="Calibri" w:hAnsi="Calibri" w:cs="Calibri"/>
          <w:kern w:val="0"/>
          <w:sz w:val="22"/>
          <w:szCs w:val="22"/>
        </w:rPr>
        <w:t xml:space="preserve">Después de décadas, </w:t>
      </w:r>
      <w:r w:rsidR="007B2C29" w:rsidRPr="007B2C29">
        <w:rPr>
          <w:rFonts w:ascii="Calibri" w:hAnsi="Calibri" w:cs="Calibri"/>
          <w:kern w:val="0"/>
          <w:sz w:val="22"/>
          <w:szCs w:val="22"/>
        </w:rPr>
        <w:t>e</w:t>
      </w:r>
      <w:r w:rsidRPr="007B2C29">
        <w:rPr>
          <w:rFonts w:ascii="Calibri" w:hAnsi="Calibri" w:cs="Calibri"/>
          <w:kern w:val="0"/>
          <w:sz w:val="22"/>
          <w:szCs w:val="22"/>
        </w:rPr>
        <w:t>stos y otros son casos que no pueden seguir tapados por un manto de</w:t>
      </w:r>
      <w:r w:rsidR="007B2C29" w:rsidRPr="007B2C29">
        <w:rPr>
          <w:rFonts w:ascii="Calibri" w:hAnsi="Calibri" w:cs="Calibri"/>
          <w:kern w:val="0"/>
          <w:sz w:val="22"/>
          <w:szCs w:val="22"/>
        </w:rPr>
        <w:t xml:space="preserve"> </w:t>
      </w:r>
      <w:r w:rsidRPr="007B2C29">
        <w:rPr>
          <w:rFonts w:ascii="Calibri" w:hAnsi="Calibri" w:cs="Calibri"/>
          <w:kern w:val="0"/>
          <w:sz w:val="22"/>
          <w:szCs w:val="22"/>
        </w:rPr>
        <w:t>silencio e impunidad. La sociedad debe y merece conocer qué ocurrió. A estos casos hay que</w:t>
      </w:r>
      <w:r w:rsidR="007B2C29" w:rsidRPr="007B2C29">
        <w:rPr>
          <w:rFonts w:ascii="Calibri" w:hAnsi="Calibri" w:cs="Calibri"/>
          <w:kern w:val="0"/>
          <w:sz w:val="22"/>
          <w:szCs w:val="22"/>
        </w:rPr>
        <w:t xml:space="preserve"> </w:t>
      </w:r>
      <w:r w:rsidRPr="007B2C29">
        <w:rPr>
          <w:rFonts w:ascii="Calibri" w:hAnsi="Calibri" w:cs="Calibri"/>
          <w:kern w:val="0"/>
          <w:sz w:val="22"/>
          <w:szCs w:val="22"/>
        </w:rPr>
        <w:t>unir la mayoría de los documentos militares, las relaciones diplomáticas o la lucha antiterrorista</w:t>
      </w:r>
      <w:r w:rsidR="007B2C29" w:rsidRPr="007B2C29">
        <w:rPr>
          <w:rFonts w:ascii="Calibri" w:hAnsi="Calibri" w:cs="Calibri"/>
          <w:kern w:val="0"/>
          <w:sz w:val="22"/>
          <w:szCs w:val="22"/>
        </w:rPr>
        <w:t xml:space="preserve"> </w:t>
      </w:r>
      <w:r w:rsidRPr="007B2C29">
        <w:rPr>
          <w:rFonts w:ascii="Calibri" w:hAnsi="Calibri" w:cs="Calibri"/>
          <w:kern w:val="0"/>
          <w:sz w:val="22"/>
          <w:szCs w:val="22"/>
        </w:rPr>
        <w:t>pasada, documentos del siglo XV al XX clasificados hoy en día como secretos oficiales.</w:t>
      </w:r>
    </w:p>
    <w:p w14:paraId="2A75CD54" w14:textId="271BE7DB" w:rsidR="00800B2B" w:rsidRPr="007B2C29" w:rsidRDefault="00800B2B" w:rsidP="007B2C29">
      <w:pPr>
        <w:autoSpaceDE w:val="0"/>
        <w:autoSpaceDN w:val="0"/>
        <w:adjustRightInd w:val="0"/>
        <w:spacing w:before="100" w:beforeAutospacing="1" w:after="200" w:line="276" w:lineRule="auto"/>
        <w:jc w:val="both"/>
        <w:rPr>
          <w:rFonts w:ascii="Calibri" w:hAnsi="Calibri" w:cs="Calibri"/>
          <w:kern w:val="0"/>
          <w:sz w:val="22"/>
          <w:szCs w:val="22"/>
        </w:rPr>
      </w:pPr>
      <w:r w:rsidRPr="007B2C29">
        <w:rPr>
          <w:rFonts w:ascii="Calibri" w:hAnsi="Calibri" w:cs="Calibri"/>
          <w:kern w:val="0"/>
          <w:sz w:val="22"/>
          <w:szCs w:val="22"/>
        </w:rPr>
        <w:t xml:space="preserve">Para ello el Grupo Parlamentario de Geroa Bai presenta la siguiente </w:t>
      </w:r>
      <w:r w:rsidR="007B2C29" w:rsidRPr="007B2C29">
        <w:rPr>
          <w:rFonts w:ascii="Calibri" w:hAnsi="Calibri" w:cs="Calibri"/>
          <w:kern w:val="0"/>
          <w:sz w:val="22"/>
          <w:szCs w:val="22"/>
        </w:rPr>
        <w:t>propuesta de</w:t>
      </w:r>
      <w:r w:rsidR="007B2C29">
        <w:rPr>
          <w:rFonts w:ascii="Calibri" w:hAnsi="Calibri" w:cs="Calibri"/>
          <w:kern w:val="0"/>
          <w:sz w:val="22"/>
          <w:szCs w:val="22"/>
        </w:rPr>
        <w:t xml:space="preserve"> </w:t>
      </w:r>
      <w:r w:rsidR="007B2C29" w:rsidRPr="007B2C29">
        <w:rPr>
          <w:rFonts w:ascii="Calibri" w:hAnsi="Calibri" w:cs="Calibri"/>
          <w:kern w:val="0"/>
          <w:sz w:val="22"/>
          <w:szCs w:val="22"/>
        </w:rPr>
        <w:t>resolución:</w:t>
      </w:r>
    </w:p>
    <w:p w14:paraId="02C0AD5F" w14:textId="70C57763" w:rsidR="008D7F85" w:rsidRPr="007B2C29" w:rsidRDefault="00800B2B" w:rsidP="007B2C29">
      <w:pPr>
        <w:autoSpaceDE w:val="0"/>
        <w:autoSpaceDN w:val="0"/>
        <w:adjustRightInd w:val="0"/>
        <w:spacing w:before="100" w:beforeAutospacing="1" w:after="200" w:line="276" w:lineRule="auto"/>
        <w:jc w:val="both"/>
        <w:rPr>
          <w:rFonts w:ascii="Calibri" w:hAnsi="Calibri" w:cs="Calibri"/>
          <w:kern w:val="0"/>
          <w:sz w:val="22"/>
          <w:szCs w:val="22"/>
        </w:rPr>
      </w:pPr>
      <w:r w:rsidRPr="007B2C29">
        <w:rPr>
          <w:rFonts w:ascii="Calibri" w:hAnsi="Calibri" w:cs="Calibri"/>
          <w:kern w:val="0"/>
          <w:sz w:val="22"/>
          <w:szCs w:val="22"/>
        </w:rPr>
        <w:t>El Parlamento de Navarra insta al Gobierno de España para que una de las medidas de</w:t>
      </w:r>
      <w:r w:rsidR="007B2C29" w:rsidRPr="007B2C29">
        <w:rPr>
          <w:rFonts w:ascii="Calibri" w:hAnsi="Calibri" w:cs="Calibri"/>
          <w:kern w:val="0"/>
          <w:sz w:val="22"/>
          <w:szCs w:val="22"/>
        </w:rPr>
        <w:t xml:space="preserve"> </w:t>
      </w:r>
      <w:r w:rsidRPr="007B2C29">
        <w:rPr>
          <w:rFonts w:ascii="Calibri" w:hAnsi="Calibri" w:cs="Calibri"/>
          <w:kern w:val="0"/>
          <w:sz w:val="22"/>
          <w:szCs w:val="22"/>
        </w:rPr>
        <w:t>regeneración democrática propuestas por el Presidente del Gobierno de España sea la</w:t>
      </w:r>
      <w:r w:rsidR="007B2C29" w:rsidRPr="007B2C29">
        <w:rPr>
          <w:rFonts w:ascii="Calibri" w:hAnsi="Calibri" w:cs="Calibri"/>
          <w:kern w:val="0"/>
          <w:sz w:val="22"/>
          <w:szCs w:val="22"/>
        </w:rPr>
        <w:t xml:space="preserve"> </w:t>
      </w:r>
      <w:r w:rsidRPr="007B2C29">
        <w:rPr>
          <w:rFonts w:ascii="Calibri" w:hAnsi="Calibri" w:cs="Calibri"/>
          <w:kern w:val="0"/>
          <w:sz w:val="22"/>
          <w:szCs w:val="22"/>
        </w:rPr>
        <w:t xml:space="preserve">reforma de la Ley </w:t>
      </w:r>
      <w:r w:rsidR="007B2C29" w:rsidRPr="007B2C29">
        <w:rPr>
          <w:rFonts w:ascii="Calibri" w:hAnsi="Calibri" w:cs="Calibri"/>
          <w:kern w:val="0"/>
          <w:sz w:val="22"/>
          <w:szCs w:val="22"/>
        </w:rPr>
        <w:t>sobre</w:t>
      </w:r>
      <w:r w:rsidRPr="007B2C29">
        <w:rPr>
          <w:rFonts w:ascii="Calibri" w:hAnsi="Calibri" w:cs="Calibri"/>
          <w:kern w:val="0"/>
          <w:sz w:val="22"/>
          <w:szCs w:val="22"/>
        </w:rPr>
        <w:t xml:space="preserve"> </w:t>
      </w:r>
      <w:r w:rsidR="007B2C29" w:rsidRPr="007B2C29">
        <w:rPr>
          <w:rFonts w:ascii="Calibri" w:hAnsi="Calibri" w:cs="Calibri"/>
          <w:kern w:val="0"/>
          <w:sz w:val="22"/>
          <w:szCs w:val="22"/>
        </w:rPr>
        <w:t>s</w:t>
      </w:r>
      <w:r w:rsidRPr="007B2C29">
        <w:rPr>
          <w:rFonts w:ascii="Calibri" w:hAnsi="Calibri" w:cs="Calibri"/>
          <w:kern w:val="0"/>
          <w:sz w:val="22"/>
          <w:szCs w:val="22"/>
        </w:rPr>
        <w:t xml:space="preserve">ecretos </w:t>
      </w:r>
      <w:r w:rsidR="007B2C29" w:rsidRPr="007B2C29">
        <w:rPr>
          <w:rFonts w:ascii="Calibri" w:hAnsi="Calibri" w:cs="Calibri"/>
          <w:kern w:val="0"/>
          <w:sz w:val="22"/>
          <w:szCs w:val="22"/>
        </w:rPr>
        <w:t>o</w:t>
      </w:r>
      <w:r w:rsidRPr="007B2C29">
        <w:rPr>
          <w:rFonts w:ascii="Calibri" w:hAnsi="Calibri" w:cs="Calibri"/>
          <w:kern w:val="0"/>
          <w:sz w:val="22"/>
          <w:szCs w:val="22"/>
        </w:rPr>
        <w:t>ficiales para adecuarla a los derechos y principios</w:t>
      </w:r>
      <w:r w:rsidR="007B2C29" w:rsidRPr="007B2C29">
        <w:rPr>
          <w:rFonts w:ascii="Calibri" w:hAnsi="Calibri" w:cs="Calibri"/>
          <w:kern w:val="0"/>
          <w:sz w:val="22"/>
          <w:szCs w:val="22"/>
        </w:rPr>
        <w:t xml:space="preserve"> </w:t>
      </w:r>
      <w:r w:rsidRPr="007B2C29">
        <w:rPr>
          <w:rFonts w:ascii="Calibri" w:hAnsi="Calibri" w:cs="Calibri"/>
          <w:kern w:val="0"/>
          <w:sz w:val="22"/>
          <w:szCs w:val="22"/>
        </w:rPr>
        <w:t xml:space="preserve">democráticos de un </w:t>
      </w:r>
      <w:r w:rsidR="00DA19FF">
        <w:rPr>
          <w:rFonts w:ascii="Calibri" w:hAnsi="Calibri" w:cs="Calibri"/>
          <w:kern w:val="0"/>
          <w:sz w:val="22"/>
          <w:szCs w:val="22"/>
        </w:rPr>
        <w:t>E</w:t>
      </w:r>
      <w:r w:rsidRPr="007B2C29">
        <w:rPr>
          <w:rFonts w:ascii="Calibri" w:hAnsi="Calibri" w:cs="Calibri"/>
          <w:kern w:val="0"/>
          <w:sz w:val="22"/>
          <w:szCs w:val="22"/>
        </w:rPr>
        <w:t>stado democrático del siglo XXI.</w:t>
      </w:r>
    </w:p>
    <w:p w14:paraId="6E88CFA1" w14:textId="363CDF45" w:rsidR="007B2C29" w:rsidRPr="007B2C29" w:rsidRDefault="007B2C29" w:rsidP="007B2C29">
      <w:pPr>
        <w:autoSpaceDE w:val="0"/>
        <w:autoSpaceDN w:val="0"/>
        <w:adjustRightInd w:val="0"/>
        <w:spacing w:before="100" w:beforeAutospacing="1" w:after="200" w:line="276" w:lineRule="auto"/>
        <w:jc w:val="both"/>
        <w:rPr>
          <w:rFonts w:ascii="Calibri" w:hAnsi="Calibri" w:cs="Calibri"/>
          <w:kern w:val="0"/>
          <w:sz w:val="22"/>
          <w:szCs w:val="22"/>
        </w:rPr>
      </w:pPr>
      <w:r w:rsidRPr="007B2C29">
        <w:rPr>
          <w:rFonts w:ascii="Calibri" w:hAnsi="Calibri" w:cs="Calibri"/>
          <w:kern w:val="0"/>
          <w:sz w:val="22"/>
          <w:szCs w:val="22"/>
        </w:rPr>
        <w:lastRenderedPageBreak/>
        <w:t>Pamplona, 23 de mayo de 2024</w:t>
      </w:r>
    </w:p>
    <w:p w14:paraId="4C9A0C66" w14:textId="707EC83C" w:rsidR="007B2C29" w:rsidRPr="007B2C29" w:rsidRDefault="007B2C29" w:rsidP="007B2C29">
      <w:pPr>
        <w:autoSpaceDE w:val="0"/>
        <w:autoSpaceDN w:val="0"/>
        <w:adjustRightInd w:val="0"/>
        <w:spacing w:before="100" w:beforeAutospacing="1" w:after="200" w:line="276" w:lineRule="auto"/>
        <w:jc w:val="both"/>
        <w:rPr>
          <w:rFonts w:ascii="Calibri" w:hAnsi="Calibri" w:cs="Calibri"/>
          <w:kern w:val="0"/>
          <w:sz w:val="22"/>
          <w:szCs w:val="22"/>
        </w:rPr>
      </w:pPr>
      <w:r w:rsidRPr="007B2C29">
        <w:rPr>
          <w:rFonts w:ascii="Calibri" w:hAnsi="Calibri" w:cs="Calibri"/>
          <w:kern w:val="0"/>
          <w:sz w:val="22"/>
          <w:szCs w:val="22"/>
        </w:rPr>
        <w:t>La Parlamentaria Foral: Blanca Isabel Regúlez Álvarez</w:t>
      </w:r>
    </w:p>
    <w:sectPr w:rsidR="007B2C29" w:rsidRPr="007B2C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B2B"/>
    <w:rsid w:val="007B2C29"/>
    <w:rsid w:val="00800B2B"/>
    <w:rsid w:val="008D7F85"/>
    <w:rsid w:val="00A36075"/>
    <w:rsid w:val="00C04A24"/>
    <w:rsid w:val="00DA19FF"/>
    <w:rsid w:val="00E13F62"/>
    <w:rsid w:val="00E23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420C2"/>
  <w15:chartTrackingRefBased/>
  <w15:docId w15:val="{114105AD-E6B7-4C96-98F1-418132437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00B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00B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00B2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00B2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00B2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00B2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00B2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00B2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00B2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0B2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00B2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00B2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00B2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00B2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00B2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00B2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00B2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00B2B"/>
    <w:rPr>
      <w:rFonts w:eastAsiaTheme="majorEastAsia" w:cstheme="majorBidi"/>
      <w:color w:val="272727" w:themeColor="text1" w:themeTint="D8"/>
    </w:rPr>
  </w:style>
  <w:style w:type="paragraph" w:styleId="Ttulo">
    <w:name w:val="Title"/>
    <w:basedOn w:val="Normal"/>
    <w:next w:val="Normal"/>
    <w:link w:val="TtuloCar"/>
    <w:uiPriority w:val="10"/>
    <w:qFormat/>
    <w:rsid w:val="00800B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00B2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00B2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00B2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00B2B"/>
    <w:pPr>
      <w:spacing w:before="160"/>
      <w:jc w:val="center"/>
    </w:pPr>
    <w:rPr>
      <w:i/>
      <w:iCs/>
      <w:color w:val="404040" w:themeColor="text1" w:themeTint="BF"/>
    </w:rPr>
  </w:style>
  <w:style w:type="character" w:customStyle="1" w:styleId="CitaCar">
    <w:name w:val="Cita Car"/>
    <w:basedOn w:val="Fuentedeprrafopredeter"/>
    <w:link w:val="Cita"/>
    <w:uiPriority w:val="29"/>
    <w:rsid w:val="00800B2B"/>
    <w:rPr>
      <w:i/>
      <w:iCs/>
      <w:color w:val="404040" w:themeColor="text1" w:themeTint="BF"/>
    </w:rPr>
  </w:style>
  <w:style w:type="paragraph" w:styleId="Prrafodelista">
    <w:name w:val="List Paragraph"/>
    <w:basedOn w:val="Normal"/>
    <w:uiPriority w:val="34"/>
    <w:qFormat/>
    <w:rsid w:val="00800B2B"/>
    <w:pPr>
      <w:ind w:left="720"/>
      <w:contextualSpacing/>
    </w:pPr>
  </w:style>
  <w:style w:type="character" w:styleId="nfasisintenso">
    <w:name w:val="Intense Emphasis"/>
    <w:basedOn w:val="Fuentedeprrafopredeter"/>
    <w:uiPriority w:val="21"/>
    <w:qFormat/>
    <w:rsid w:val="00800B2B"/>
    <w:rPr>
      <w:i/>
      <w:iCs/>
      <w:color w:val="0F4761" w:themeColor="accent1" w:themeShade="BF"/>
    </w:rPr>
  </w:style>
  <w:style w:type="paragraph" w:styleId="Citadestacada">
    <w:name w:val="Intense Quote"/>
    <w:basedOn w:val="Normal"/>
    <w:next w:val="Normal"/>
    <w:link w:val="CitadestacadaCar"/>
    <w:uiPriority w:val="30"/>
    <w:qFormat/>
    <w:rsid w:val="00800B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00B2B"/>
    <w:rPr>
      <w:i/>
      <w:iCs/>
      <w:color w:val="0F4761" w:themeColor="accent1" w:themeShade="BF"/>
    </w:rPr>
  </w:style>
  <w:style w:type="character" w:styleId="Referenciaintensa">
    <w:name w:val="Intense Reference"/>
    <w:basedOn w:val="Fuentedeprrafopredeter"/>
    <w:uiPriority w:val="32"/>
    <w:qFormat/>
    <w:rsid w:val="00800B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988</Words>
  <Characters>5438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2024-05-24T05:57:00Z</dcterms:created>
  <dcterms:modified xsi:type="dcterms:W3CDTF">2024-05-24T06:34:00Z</dcterms:modified>
</cp:coreProperties>
</file>