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3194D" w14:textId="0D206EAF"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24MOC-79</w:t>
      </w:r>
    </w:p>
    <w:p w14:paraId="18C1978C" w14:textId="280624D1"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Nafarroako Gorteetako kide den eta </w:t>
      </w:r>
      <w:proofErr w:type="spellStart"/>
      <w:r>
        <w:rPr>
          <w:rFonts w:ascii="Calibri" w:hAnsi="Calibri"/>
          <w:sz w:val="22"/>
        </w:rPr>
        <w:t>Vox</w:t>
      </w:r>
      <w:proofErr w:type="spellEnd"/>
      <w:r>
        <w:rPr>
          <w:rFonts w:ascii="Calibri" w:hAnsi="Calibri"/>
          <w:sz w:val="22"/>
        </w:rPr>
        <w:t xml:space="preserve"> Nafarroa foru parlamentarien elkarteari atxikita dagoen Emilio Jiménez </w:t>
      </w:r>
      <w:proofErr w:type="spellStart"/>
      <w:r>
        <w:rPr>
          <w:rFonts w:ascii="Calibri" w:hAnsi="Calibri"/>
          <w:sz w:val="22"/>
        </w:rPr>
        <w:t>Román</w:t>
      </w:r>
      <w:proofErr w:type="spellEnd"/>
      <w:r>
        <w:rPr>
          <w:rFonts w:ascii="Calibri" w:hAnsi="Calibri"/>
          <w:sz w:val="22"/>
        </w:rPr>
        <w:t xml:space="preserve"> jaunak, Legebiltzarreko Erregelamenduaren 219. artikuluan xedatzen denaren babesean, honako mozio hau aurkezten du, 2024ko maiatzaren 30eko Osoko Bilkuran eztabaidatu eta bozkatzeko:</w:t>
      </w:r>
    </w:p>
    <w:p w14:paraId="55DFA2CF" w14:textId="76ABB9A3"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Zioen azalpena</w:t>
      </w:r>
    </w:p>
    <w:p w14:paraId="582E29AD" w14:textId="6679D7B2"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Demokrazian elkarbizitzaren oinarrizko zutabeetako bat herritarren segurtasuna da; funtsezko elementua da herritarren eguneroko bizitzari egonkortasuna emateko, hala eremu pertsonalean nola lan- edo gizarte-eremuan. Ondasu</w:t>
      </w:r>
      <w:r w:rsidR="000F0BB6">
        <w:rPr>
          <w:rFonts w:ascii="Calibri" w:hAnsi="Calibri"/>
          <w:sz w:val="22"/>
        </w:rPr>
        <w:t>n</w:t>
      </w:r>
      <w:r>
        <w:rPr>
          <w:rFonts w:ascii="Calibri" w:hAnsi="Calibri"/>
          <w:sz w:val="22"/>
        </w:rPr>
        <w:t xml:space="preserve"> konstituzional gisa osatzen da, oinarrizko ondasun publiko gisa, eta xede du hartu behar diren prebentzio-, babes- eta </w:t>
      </w:r>
      <w:proofErr w:type="spellStart"/>
      <w:r>
        <w:rPr>
          <w:rFonts w:ascii="Calibri" w:hAnsi="Calibri"/>
          <w:sz w:val="22"/>
        </w:rPr>
        <w:t>erreparazio</w:t>
      </w:r>
      <w:proofErr w:type="spellEnd"/>
      <w:r>
        <w:rPr>
          <w:rFonts w:ascii="Calibri" w:hAnsi="Calibri"/>
          <w:sz w:val="22"/>
        </w:rPr>
        <w:t>-neurriak hartzea, herritarrek askatasunez eta bermeekin esku hartu ahal izan dezaten komunitatean bizitzeak dakartzan maila guztietan eta erabakiak hartzeko eta parte hartzeko prozesuetan.</w:t>
      </w:r>
    </w:p>
    <w:p w14:paraId="4AF89B88" w14:textId="1965084E"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Herritar batek ere, egoera sozioekonomikoa edo bizi den lurraldea edozein dela ere, ez du zertan galdu seguru egoteko eta sentitzeko eskubidea. Edozein gizarte demokratikoren lehentasunezko helburuetako bat izan behar da herritarren segurtasuna bermatzea eskubideak eta askatasunak modu berean baliatzeko.</w:t>
      </w:r>
    </w:p>
    <w:p w14:paraId="390FB04E" w14:textId="62CBC917"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Nafarroako Foru Komunitatean dagoen kriminalitate-tasaren bilakaerari buruzko datu estatistikoek –Espainiako gainontzeko lekuetan bezala– goranzko bilakaera izan dute delitu mota oroz </w:t>
      </w:r>
      <w:r w:rsidR="00A763CF">
        <w:rPr>
          <w:rFonts w:ascii="Calibri" w:hAnsi="Calibri"/>
          <w:sz w:val="22"/>
        </w:rPr>
        <w:t xml:space="preserve">denez </w:t>
      </w:r>
      <w:r>
        <w:rPr>
          <w:rFonts w:ascii="Calibri" w:hAnsi="Calibri"/>
          <w:sz w:val="22"/>
        </w:rPr>
        <w:t>bezainbatean.</w:t>
      </w:r>
    </w:p>
    <w:p w14:paraId="5CE58587" w14:textId="551BAC21"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2024ko lehen hiruhilekoan, Nafarroan kriminalitatea % 4,4 igo zen aurreko urteko epealdi berarekin alderatuta; guztira, 8.421 arau-hauste penal izan ziren, Barne Ministerioaren Kriminalitate-Balantzearen datuen arabera. Horrela, Foru Komunitatearen kriminalitate-tasari dagokionez, azken hamabi hilabeteetan 1.000 biztanleko 52,8 arau-hauste penal izan dira, nazioko batez bestekoa baino 1,1 puntu handiagoa.</w:t>
      </w:r>
    </w:p>
    <w:p w14:paraId="527B1583" w14:textId="354C6494"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Aurrez adierazitako aldi berean, droga-trafikoagatiko delituak % 42,9 igo ziren (35etik 50era) eta sexu-askatasunaren aurkako delituak % 7 (86tik 92ra). Halaber, % 12,5 igo da lesio eta liskar nahaspilatsuen delitu astun eta ez hain astunen kopurua (80tik 90era), eta % 16,3 gainerako kriminalitate konbentzionalaren kopurua (3.375 arau-haustetik 4.342ra).</w:t>
      </w:r>
    </w:p>
    <w:p w14:paraId="0DFEB736" w14:textId="78DF8FF1"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Azkenik, Kriminalitate-Balantzean jasota dator 20.000 biztanletik gorako udalerrien xehakapena:</w:t>
      </w:r>
    </w:p>
    <w:p w14:paraId="06AAF3FD" w14:textId="5413E34A"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Eguesibarren, arau-hauste penalen kopurua % 5,3 igo da (187tik 197ra). Kriminalitate-tasari dagokionez, 1.000 biztanleko 33,3 arau-hauste penal izan dira.</w:t>
      </w:r>
    </w:p>
    <w:p w14:paraId="2D45DBF5" w14:textId="00A869AC" w:rsidR="00624BCF" w:rsidRPr="00752A19" w:rsidRDefault="00624BCF" w:rsidP="00624BCF">
      <w:pPr>
        <w:autoSpaceDE w:val="0"/>
        <w:autoSpaceDN w:val="0"/>
        <w:adjustRightInd w:val="0"/>
        <w:spacing w:before="100" w:beforeAutospacing="1" w:after="200" w:line="276" w:lineRule="auto"/>
        <w:jc w:val="both"/>
        <w:rPr>
          <w:rFonts w:ascii="Calibri" w:hAnsi="Calibri" w:cs="Calibri"/>
          <w:b/>
          <w:bCs/>
          <w:kern w:val="0"/>
          <w:sz w:val="22"/>
          <w:szCs w:val="22"/>
        </w:rPr>
      </w:pPr>
      <w:r>
        <w:rPr>
          <w:rFonts w:ascii="Calibri" w:hAnsi="Calibri"/>
          <w:sz w:val="22"/>
        </w:rPr>
        <w:t>- Iruñean, arau-hauste penalak zertxobait igo dira, % 1,5 (3.354tik 3.405era). Kriminalitate-tasari dagokionez, 1.000 biztanleko 75,1 arau-hauste izan dira.</w:t>
      </w:r>
    </w:p>
    <w:p w14:paraId="1D4FD836" w14:textId="57EA960B"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Tuteran, arau-hauste penalak % 10,9 igo dira (599tik 664ra). Kriminalitate-tasari dagokionez, 1.000 biztanleko 69,5 arau-hauste izan dira.</w:t>
      </w:r>
    </w:p>
    <w:p w14:paraId="3FFCFADC" w14:textId="7DA5C376"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lastRenderedPageBreak/>
        <w:t>- Burlatan, arau-hauste penalen kopurua % 26,6 igo da, 143tik 181ra. Kriminalitate-tasari dagokionez, 1.000 biztanleko 33,9 arau-hauste izan dira.</w:t>
      </w:r>
    </w:p>
    <w:p w14:paraId="1543EB7B" w14:textId="45B81826"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Era berean, Fiskaltzaren 2022ko Oroitidazkiak bilakaera hori berretsi du. Foru Komunitateko fiskal nagusi Jaime Goyena jaunak aipatu oroitidazkiaren aurkezpenean azaldu zuenez, delinkuentziaren hazkunde globala gertatu da, bereziki islatua delitu arinen epaiketetan, % 32 igo baitira. Gainera, kezka agertu zuen sexu-askatasunaren aurkako delituen gorakada dela-eta, batez ere biktimak 16 urtetik beherakoak direnean.</w:t>
      </w:r>
    </w:p>
    <w:p w14:paraId="266E0B54" w14:textId="17EB1B1A"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Nafarroako Foru Komunitatean herritarren segurtasunik eza areagotzeak eztabaida irekia eskatzen du, parte-hartze sozial zabalarekin, irizpide partzialik edo lerraturik gabe, Foru Komunitatean herritarren segurtasunerako benetako politika baten inguruko argitasuna, konpromisoa eta irmotasuna sortzeko helburuarekin, baita herritarren segurtasunerako espezifikoak izan gabe lagungarriak izan daitezkeen politikak ere.</w:t>
      </w:r>
    </w:p>
    <w:p w14:paraId="21BE72A0" w14:textId="3935CC80" w:rsidR="00624BCF" w:rsidRPr="00624BCF"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Gure ustez, legebiltzar-esparrua da egokiena gai honi heltzeko, eta, zehazkiago, ad </w:t>
      </w:r>
      <w:proofErr w:type="spellStart"/>
      <w:r>
        <w:rPr>
          <w:rFonts w:ascii="Calibri" w:hAnsi="Calibri"/>
          <w:sz w:val="22"/>
        </w:rPr>
        <w:t>hoc</w:t>
      </w:r>
      <w:proofErr w:type="spellEnd"/>
      <w:r>
        <w:rPr>
          <w:rFonts w:ascii="Calibri" w:hAnsi="Calibri"/>
          <w:sz w:val="22"/>
        </w:rPr>
        <w:t xml:space="preserve"> batzorde berezi baten esparruan, aztertze aldera kriminalitatearen gorakada eragiten duten balizko kausak, egoera hori arintzeko egin daitezkeen jarduketak, gure Erkidegoan polizia nahikoa ote dagoen eta eskuragarri dauden gainerako baliabide teknikoak eta giza baliabideak koordinatu ote daitezkeen.</w:t>
      </w:r>
    </w:p>
    <w:p w14:paraId="6B42C421" w14:textId="10BCAD26" w:rsidR="00624BCF" w:rsidRPr="00752A19" w:rsidRDefault="00624BCF" w:rsidP="00624BCF">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Hori horrela, azaldutakoaren babesean, honako erabaki-proposamen hau aurkezten dugu:</w:t>
      </w:r>
    </w:p>
    <w:p w14:paraId="58BA0F8F" w14:textId="3A21CFF1" w:rsidR="00624BCF" w:rsidRPr="00624BCF" w:rsidRDefault="00624BCF" w:rsidP="00624BCF">
      <w:pPr>
        <w:pStyle w:val="Prrafodelista"/>
        <w:numPr>
          <w:ilvl w:val="0"/>
          <w:numId w:val="1"/>
        </w:numPr>
        <w:autoSpaceDE w:val="0"/>
        <w:autoSpaceDN w:val="0"/>
        <w:adjustRightInd w:val="0"/>
        <w:spacing w:before="100" w:beforeAutospacing="1" w:after="200" w:line="276" w:lineRule="auto"/>
        <w:ind w:left="0"/>
        <w:jc w:val="both"/>
        <w:rPr>
          <w:rFonts w:ascii="Calibri" w:hAnsi="Calibri" w:cs="Calibri"/>
          <w:kern w:val="0"/>
          <w:sz w:val="22"/>
          <w:szCs w:val="22"/>
        </w:rPr>
      </w:pPr>
      <w:r>
        <w:rPr>
          <w:rFonts w:ascii="Calibri" w:hAnsi="Calibri"/>
          <w:sz w:val="22"/>
        </w:rPr>
        <w:t>Nafarroako Parlamentuak Nafarroako Gobernua premiatzen du Nafarroako herritarren segurtasunari buruzko azterlan bat</w:t>
      </w:r>
      <w:r w:rsidR="00E73ACC">
        <w:rPr>
          <w:rFonts w:ascii="Calibri" w:hAnsi="Calibri"/>
          <w:sz w:val="22"/>
        </w:rPr>
        <w:t xml:space="preserve"> </w:t>
      </w:r>
      <w:r w:rsidR="00E73ACC">
        <w:rPr>
          <w:rFonts w:ascii="Calibri" w:hAnsi="Calibri"/>
          <w:sz w:val="22"/>
        </w:rPr>
        <w:t>egin dezan</w:t>
      </w:r>
      <w:r>
        <w:rPr>
          <w:rFonts w:ascii="Calibri" w:hAnsi="Calibri"/>
          <w:sz w:val="22"/>
        </w:rPr>
        <w:t>, Nafarroan kriminalitatearen gorakadari eta horren kausei lotua, eta gehienez ere 3 hilabeteko epean Legebiltzarrera ekar dezan.</w:t>
      </w:r>
    </w:p>
    <w:p w14:paraId="4759F1A6" w14:textId="6A779461" w:rsidR="00624BCF" w:rsidRPr="00624BCF" w:rsidRDefault="00624BCF" w:rsidP="00624BCF">
      <w:pPr>
        <w:pStyle w:val="Prrafodelista"/>
        <w:numPr>
          <w:ilvl w:val="0"/>
          <w:numId w:val="1"/>
        </w:numPr>
        <w:autoSpaceDE w:val="0"/>
        <w:autoSpaceDN w:val="0"/>
        <w:adjustRightInd w:val="0"/>
        <w:spacing w:before="100" w:beforeAutospacing="1" w:after="200" w:line="276" w:lineRule="auto"/>
        <w:ind w:left="0"/>
        <w:jc w:val="both"/>
        <w:rPr>
          <w:rFonts w:ascii="Calibri" w:hAnsi="Calibri" w:cs="Calibri"/>
          <w:kern w:val="0"/>
          <w:sz w:val="22"/>
          <w:szCs w:val="22"/>
        </w:rPr>
      </w:pPr>
      <w:r>
        <w:rPr>
          <w:rFonts w:ascii="Calibri" w:hAnsi="Calibri"/>
          <w:b/>
          <w:sz w:val="22"/>
        </w:rPr>
        <w:t xml:space="preserve"> </w:t>
      </w:r>
      <w:r>
        <w:rPr>
          <w:rFonts w:ascii="Calibri" w:hAnsi="Calibri"/>
          <w:sz w:val="22"/>
        </w:rPr>
        <w:t>Barneko, Funtzio Publikoko eta Justiziako Batzordea arduratuko da mozioaren jarraipena egiteaz.</w:t>
      </w:r>
    </w:p>
    <w:p w14:paraId="2C0DF1A3" w14:textId="2F127689" w:rsidR="008D7F85" w:rsidRDefault="00624BCF" w:rsidP="00624BCF">
      <w:pPr>
        <w:spacing w:before="100" w:beforeAutospacing="1" w:after="200" w:line="276" w:lineRule="auto"/>
        <w:ind w:firstLine="360"/>
        <w:jc w:val="both"/>
        <w:rPr>
          <w:rFonts w:ascii="Calibri" w:hAnsi="Calibri" w:cs="Calibri"/>
          <w:kern w:val="0"/>
          <w:sz w:val="22"/>
          <w:szCs w:val="22"/>
        </w:rPr>
      </w:pPr>
      <w:r>
        <w:rPr>
          <w:rFonts w:ascii="Calibri" w:hAnsi="Calibri"/>
          <w:sz w:val="22"/>
        </w:rPr>
        <w:t>Iruñean, 2024ko maiatzaren 23an</w:t>
      </w:r>
    </w:p>
    <w:p w14:paraId="071125D8" w14:textId="795A4617" w:rsidR="00624BCF" w:rsidRPr="00624BCF" w:rsidRDefault="00624BCF" w:rsidP="00624BCF">
      <w:pPr>
        <w:spacing w:before="100" w:beforeAutospacing="1" w:after="200" w:line="276" w:lineRule="auto"/>
        <w:ind w:firstLine="360"/>
        <w:jc w:val="both"/>
        <w:rPr>
          <w:rFonts w:ascii="Calibri" w:hAnsi="Calibri" w:cs="Calibri"/>
          <w:sz w:val="22"/>
          <w:szCs w:val="22"/>
        </w:rPr>
      </w:pPr>
      <w:r>
        <w:rPr>
          <w:rFonts w:ascii="Calibri" w:hAnsi="Calibri"/>
          <w:sz w:val="22"/>
        </w:rPr>
        <w:t xml:space="preserve">Foru parlamentaria: Emilio Jiménez </w:t>
      </w:r>
      <w:proofErr w:type="spellStart"/>
      <w:r>
        <w:rPr>
          <w:rFonts w:ascii="Calibri" w:hAnsi="Calibri"/>
          <w:sz w:val="22"/>
        </w:rPr>
        <w:t>Román</w:t>
      </w:r>
      <w:proofErr w:type="spellEnd"/>
    </w:p>
    <w:sectPr w:rsidR="00624BCF" w:rsidRPr="00624B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B462C"/>
    <w:multiLevelType w:val="hybridMultilevel"/>
    <w:tmpl w:val="FFCA9F98"/>
    <w:lvl w:ilvl="0" w:tplc="ADA63F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0998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CF"/>
    <w:rsid w:val="000F0BB6"/>
    <w:rsid w:val="00386FB3"/>
    <w:rsid w:val="00544BB5"/>
    <w:rsid w:val="00624BCF"/>
    <w:rsid w:val="00653469"/>
    <w:rsid w:val="00752A19"/>
    <w:rsid w:val="008D7F85"/>
    <w:rsid w:val="00A36075"/>
    <w:rsid w:val="00A763CF"/>
    <w:rsid w:val="00E2340F"/>
    <w:rsid w:val="00E73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C154"/>
  <w15:chartTrackingRefBased/>
  <w15:docId w15:val="{128680FB-8328-4594-9A81-D3804C0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24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24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24B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24B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24B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24B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4B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4B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4B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4B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24B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24B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24B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24B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24B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4B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4B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4BCF"/>
    <w:rPr>
      <w:rFonts w:eastAsiaTheme="majorEastAsia" w:cstheme="majorBidi"/>
      <w:color w:val="272727" w:themeColor="text1" w:themeTint="D8"/>
    </w:rPr>
  </w:style>
  <w:style w:type="paragraph" w:styleId="Ttulo">
    <w:name w:val="Title"/>
    <w:basedOn w:val="Normal"/>
    <w:next w:val="Normal"/>
    <w:link w:val="TtuloCar"/>
    <w:uiPriority w:val="10"/>
    <w:qFormat/>
    <w:rsid w:val="00624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4B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4B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4B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4BCF"/>
    <w:pPr>
      <w:spacing w:before="160"/>
      <w:jc w:val="center"/>
    </w:pPr>
    <w:rPr>
      <w:i/>
      <w:iCs/>
      <w:color w:val="404040" w:themeColor="text1" w:themeTint="BF"/>
    </w:rPr>
  </w:style>
  <w:style w:type="character" w:customStyle="1" w:styleId="CitaCar">
    <w:name w:val="Cita Car"/>
    <w:basedOn w:val="Fuentedeprrafopredeter"/>
    <w:link w:val="Cita"/>
    <w:uiPriority w:val="29"/>
    <w:rsid w:val="00624BCF"/>
    <w:rPr>
      <w:i/>
      <w:iCs/>
      <w:color w:val="404040" w:themeColor="text1" w:themeTint="BF"/>
    </w:rPr>
  </w:style>
  <w:style w:type="paragraph" w:styleId="Prrafodelista">
    <w:name w:val="List Paragraph"/>
    <w:basedOn w:val="Normal"/>
    <w:uiPriority w:val="34"/>
    <w:qFormat/>
    <w:rsid w:val="00624BCF"/>
    <w:pPr>
      <w:ind w:left="720"/>
      <w:contextualSpacing/>
    </w:pPr>
  </w:style>
  <w:style w:type="character" w:styleId="nfasisintenso">
    <w:name w:val="Intense Emphasis"/>
    <w:basedOn w:val="Fuentedeprrafopredeter"/>
    <w:uiPriority w:val="21"/>
    <w:qFormat/>
    <w:rsid w:val="00624BCF"/>
    <w:rPr>
      <w:i/>
      <w:iCs/>
      <w:color w:val="0F4761" w:themeColor="accent1" w:themeShade="BF"/>
    </w:rPr>
  </w:style>
  <w:style w:type="paragraph" w:styleId="Citadestacada">
    <w:name w:val="Intense Quote"/>
    <w:basedOn w:val="Normal"/>
    <w:next w:val="Normal"/>
    <w:link w:val="CitadestacadaCar"/>
    <w:uiPriority w:val="30"/>
    <w:qFormat/>
    <w:rsid w:val="00624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24BCF"/>
    <w:rPr>
      <w:i/>
      <w:iCs/>
      <w:color w:val="0F4761" w:themeColor="accent1" w:themeShade="BF"/>
    </w:rPr>
  </w:style>
  <w:style w:type="character" w:styleId="Referenciaintensa">
    <w:name w:val="Intense Reference"/>
    <w:basedOn w:val="Fuentedeprrafopredeter"/>
    <w:uiPriority w:val="32"/>
    <w:qFormat/>
    <w:rsid w:val="00624B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704</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5</cp:revision>
  <dcterms:created xsi:type="dcterms:W3CDTF">2024-05-24T05:34:00Z</dcterms:created>
  <dcterms:modified xsi:type="dcterms:W3CDTF">2024-05-28T05:54:00Z</dcterms:modified>
</cp:coreProperties>
</file>