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5B4AB" w14:textId="77777777" w:rsidR="00A57DE6" w:rsidRDefault="005C03DB" w:rsidP="00560453">
      <w:pPr>
        <w:spacing w:line="360" w:lineRule="auto"/>
        <w:jc w:val="both"/>
        <w:rPr>
          <w:rFonts w:ascii="Arial" w:hAnsi="Arial" w:cs="Arial"/>
        </w:rPr>
      </w:pPr>
      <w:r w:rsidRPr="00F323D2">
        <w:rPr>
          <w:rFonts w:ascii="Arial" w:hAnsi="Arial" w:cs="Arial"/>
        </w:rPr>
        <w:t>El</w:t>
      </w:r>
      <w:r w:rsidR="00864DCD" w:rsidRPr="00F323D2">
        <w:rPr>
          <w:rFonts w:ascii="Arial" w:hAnsi="Arial" w:cs="Arial"/>
        </w:rPr>
        <w:t xml:space="preserve"> Consejer</w:t>
      </w:r>
      <w:r w:rsidRPr="00F323D2">
        <w:rPr>
          <w:rFonts w:ascii="Arial" w:hAnsi="Arial" w:cs="Arial"/>
        </w:rPr>
        <w:t>o</w:t>
      </w:r>
      <w:r w:rsidR="00864DCD" w:rsidRPr="00F323D2">
        <w:rPr>
          <w:rFonts w:ascii="Arial" w:hAnsi="Arial" w:cs="Arial"/>
        </w:rPr>
        <w:t xml:space="preserve"> del Departamento de </w:t>
      </w:r>
      <w:r w:rsidR="00327F55" w:rsidRPr="00F323D2">
        <w:rPr>
          <w:rFonts w:ascii="Arial" w:hAnsi="Arial" w:cs="Arial"/>
        </w:rPr>
        <w:t>Economía</w:t>
      </w:r>
      <w:r w:rsidR="00864DCD" w:rsidRPr="00F323D2">
        <w:rPr>
          <w:rFonts w:ascii="Arial" w:hAnsi="Arial" w:cs="Arial"/>
        </w:rPr>
        <w:t xml:space="preserve"> y Hacienda, </w:t>
      </w:r>
      <w:r w:rsidR="00327F55" w:rsidRPr="00F323D2">
        <w:rPr>
          <w:rFonts w:ascii="Arial" w:hAnsi="Arial" w:cs="Arial"/>
        </w:rPr>
        <w:t>en relación con</w:t>
      </w:r>
      <w:r w:rsidR="00864DCD" w:rsidRPr="00F323D2">
        <w:rPr>
          <w:rFonts w:ascii="Arial" w:hAnsi="Arial" w:cs="Arial"/>
        </w:rPr>
        <w:t xml:space="preserve"> la Pregunta escrita formulada </w:t>
      </w:r>
      <w:r w:rsidR="001C5BBC" w:rsidRPr="00F323D2">
        <w:rPr>
          <w:rFonts w:ascii="Arial" w:hAnsi="Arial" w:cs="Arial"/>
        </w:rPr>
        <w:t xml:space="preserve">por </w:t>
      </w:r>
      <w:r w:rsidR="005D43E9" w:rsidRPr="00F323D2">
        <w:rPr>
          <w:rFonts w:ascii="Arial" w:hAnsi="Arial" w:cs="Arial"/>
        </w:rPr>
        <w:t>D.</w:t>
      </w:r>
      <w:r w:rsidR="00A216BF">
        <w:rPr>
          <w:rFonts w:ascii="Arial" w:hAnsi="Arial" w:cs="Arial"/>
        </w:rPr>
        <w:t xml:space="preserve"> </w:t>
      </w:r>
      <w:r w:rsidR="0062129E" w:rsidRPr="00F323D2">
        <w:rPr>
          <w:rFonts w:ascii="Arial" w:hAnsi="Arial" w:cs="Arial"/>
        </w:rPr>
        <w:t xml:space="preserve">Adolfo </w:t>
      </w:r>
      <w:proofErr w:type="spellStart"/>
      <w:r w:rsidR="0062129E" w:rsidRPr="00F323D2">
        <w:rPr>
          <w:rFonts w:ascii="Arial" w:hAnsi="Arial" w:cs="Arial"/>
        </w:rPr>
        <w:t>Araiz</w:t>
      </w:r>
      <w:proofErr w:type="spellEnd"/>
      <w:r w:rsidR="0062129E" w:rsidRPr="00F323D2">
        <w:rPr>
          <w:rFonts w:ascii="Arial" w:hAnsi="Arial" w:cs="Arial"/>
        </w:rPr>
        <w:t xml:space="preserve"> </w:t>
      </w:r>
      <w:proofErr w:type="spellStart"/>
      <w:r w:rsidR="0062129E" w:rsidRPr="00F323D2">
        <w:rPr>
          <w:rFonts w:ascii="Arial" w:hAnsi="Arial" w:cs="Arial"/>
        </w:rPr>
        <w:t>Flamarique</w:t>
      </w:r>
      <w:proofErr w:type="spellEnd"/>
      <w:r w:rsidR="001C5BBC" w:rsidRPr="00F323D2">
        <w:rPr>
          <w:rFonts w:ascii="Arial" w:hAnsi="Arial" w:cs="Arial"/>
        </w:rPr>
        <w:t>, parlamentari</w:t>
      </w:r>
      <w:r w:rsidR="005D43E9" w:rsidRPr="00F323D2">
        <w:rPr>
          <w:rFonts w:ascii="Arial" w:hAnsi="Arial" w:cs="Arial"/>
        </w:rPr>
        <w:t>o</w:t>
      </w:r>
      <w:r w:rsidR="001C5BBC" w:rsidRPr="00F323D2">
        <w:rPr>
          <w:rFonts w:ascii="Arial" w:hAnsi="Arial" w:cs="Arial"/>
        </w:rPr>
        <w:t xml:space="preserve"> foral adscrit</w:t>
      </w:r>
      <w:r w:rsidR="005D43E9" w:rsidRPr="00F323D2">
        <w:rPr>
          <w:rFonts w:ascii="Arial" w:hAnsi="Arial" w:cs="Arial"/>
        </w:rPr>
        <w:t>o</w:t>
      </w:r>
      <w:r w:rsidR="001C5BBC" w:rsidRPr="00F323D2">
        <w:rPr>
          <w:rFonts w:ascii="Arial" w:hAnsi="Arial" w:cs="Arial"/>
        </w:rPr>
        <w:t xml:space="preserve"> al Grupo Parlamentario </w:t>
      </w:r>
      <w:r w:rsidR="00F323D2" w:rsidRPr="00F323D2">
        <w:rPr>
          <w:rFonts w:ascii="Arial" w:hAnsi="Arial" w:cs="Arial"/>
        </w:rPr>
        <w:t>EH Bildu Nafarroa</w:t>
      </w:r>
      <w:r w:rsidR="001C5BBC" w:rsidRPr="00F323D2">
        <w:rPr>
          <w:rFonts w:ascii="Arial" w:hAnsi="Arial" w:cs="Arial"/>
        </w:rPr>
        <w:t xml:space="preserve">, registrada con número de </w:t>
      </w:r>
      <w:r w:rsidR="00561BAD" w:rsidRPr="00F323D2">
        <w:rPr>
          <w:rFonts w:ascii="Arial" w:hAnsi="Arial" w:cs="Arial"/>
        </w:rPr>
        <w:t>salida</w:t>
      </w:r>
      <w:r w:rsidR="001C5BBC" w:rsidRPr="00F323D2">
        <w:rPr>
          <w:rFonts w:ascii="Arial" w:hAnsi="Arial" w:cs="Arial"/>
        </w:rPr>
        <w:t xml:space="preserve"> del Parlamento de Navarra </w:t>
      </w:r>
      <w:r w:rsidR="005D43E9" w:rsidRPr="00F323D2">
        <w:rPr>
          <w:rFonts w:ascii="Arial" w:hAnsi="Arial" w:cs="Arial"/>
        </w:rPr>
        <w:t>1</w:t>
      </w:r>
      <w:r w:rsidR="00F323D2" w:rsidRPr="00F323D2">
        <w:rPr>
          <w:rFonts w:ascii="Arial" w:hAnsi="Arial" w:cs="Arial"/>
        </w:rPr>
        <w:t>8</w:t>
      </w:r>
      <w:r w:rsidR="00560453">
        <w:rPr>
          <w:rFonts w:ascii="Arial" w:hAnsi="Arial" w:cs="Arial"/>
        </w:rPr>
        <w:t>82</w:t>
      </w:r>
      <w:r w:rsidR="001C5BBC" w:rsidRPr="00F323D2">
        <w:rPr>
          <w:rFonts w:ascii="Arial" w:hAnsi="Arial" w:cs="Arial"/>
        </w:rPr>
        <w:t xml:space="preserve">, de </w:t>
      </w:r>
      <w:r w:rsidR="00F323D2" w:rsidRPr="00F323D2">
        <w:rPr>
          <w:rFonts w:ascii="Arial" w:hAnsi="Arial" w:cs="Arial"/>
        </w:rPr>
        <w:t>4</w:t>
      </w:r>
      <w:r w:rsidR="001C5BBC" w:rsidRPr="00F323D2">
        <w:rPr>
          <w:rFonts w:ascii="Arial" w:hAnsi="Arial" w:cs="Arial"/>
        </w:rPr>
        <w:t xml:space="preserve"> de </w:t>
      </w:r>
      <w:r w:rsidR="00F323D2" w:rsidRPr="00F323D2">
        <w:rPr>
          <w:rFonts w:ascii="Arial" w:hAnsi="Arial" w:cs="Arial"/>
        </w:rPr>
        <w:t>marzo</w:t>
      </w:r>
      <w:r w:rsidR="001C5BBC" w:rsidRPr="00F323D2">
        <w:rPr>
          <w:rFonts w:ascii="Arial" w:hAnsi="Arial" w:cs="Arial"/>
        </w:rPr>
        <w:t xml:space="preserve"> de 20</w:t>
      </w:r>
      <w:r w:rsidR="00797449" w:rsidRPr="00F323D2">
        <w:rPr>
          <w:rFonts w:ascii="Arial" w:hAnsi="Arial" w:cs="Arial"/>
        </w:rPr>
        <w:t>2</w:t>
      </w:r>
      <w:r w:rsidR="00AA021E" w:rsidRPr="00F323D2">
        <w:rPr>
          <w:rFonts w:ascii="Arial" w:hAnsi="Arial" w:cs="Arial"/>
        </w:rPr>
        <w:t>4</w:t>
      </w:r>
      <w:r w:rsidR="001C5BBC" w:rsidRPr="00F323D2">
        <w:rPr>
          <w:rFonts w:ascii="Arial" w:hAnsi="Arial" w:cs="Arial"/>
        </w:rPr>
        <w:t>, (1</w:t>
      </w:r>
      <w:r w:rsidRPr="00F323D2">
        <w:rPr>
          <w:rFonts w:ascii="Arial" w:hAnsi="Arial" w:cs="Arial"/>
        </w:rPr>
        <w:t>1</w:t>
      </w:r>
      <w:r w:rsidR="001C5BBC" w:rsidRPr="00F323D2">
        <w:rPr>
          <w:rFonts w:ascii="Arial" w:hAnsi="Arial" w:cs="Arial"/>
        </w:rPr>
        <w:t>-</w:t>
      </w:r>
      <w:r w:rsidR="00797449" w:rsidRPr="00F323D2">
        <w:rPr>
          <w:rFonts w:ascii="Arial" w:hAnsi="Arial" w:cs="Arial"/>
        </w:rPr>
        <w:t>2</w:t>
      </w:r>
      <w:r w:rsidR="00AA021E" w:rsidRPr="00F323D2">
        <w:rPr>
          <w:rFonts w:ascii="Arial" w:hAnsi="Arial" w:cs="Arial"/>
        </w:rPr>
        <w:t>4</w:t>
      </w:r>
      <w:r w:rsidR="001C5BBC" w:rsidRPr="00F323D2">
        <w:rPr>
          <w:rFonts w:ascii="Arial" w:hAnsi="Arial" w:cs="Arial"/>
        </w:rPr>
        <w:t>/PE</w:t>
      </w:r>
      <w:r w:rsidR="00864DCD" w:rsidRPr="00F323D2">
        <w:rPr>
          <w:rFonts w:ascii="Arial" w:hAnsi="Arial" w:cs="Arial"/>
        </w:rPr>
        <w:t>S</w:t>
      </w:r>
      <w:r w:rsidR="001C5BBC" w:rsidRPr="00F323D2">
        <w:rPr>
          <w:rFonts w:ascii="Arial" w:hAnsi="Arial" w:cs="Arial"/>
        </w:rPr>
        <w:t>-</w:t>
      </w:r>
      <w:r w:rsidR="00F323D2" w:rsidRPr="00F323D2">
        <w:rPr>
          <w:rFonts w:ascii="Arial" w:hAnsi="Arial" w:cs="Arial"/>
        </w:rPr>
        <w:t>13</w:t>
      </w:r>
      <w:r w:rsidR="00560453">
        <w:rPr>
          <w:rFonts w:ascii="Arial" w:hAnsi="Arial" w:cs="Arial"/>
        </w:rPr>
        <w:t>9</w:t>
      </w:r>
      <w:r w:rsidR="0042675C" w:rsidRPr="00F323D2">
        <w:rPr>
          <w:rFonts w:ascii="Arial" w:hAnsi="Arial" w:cs="Arial"/>
        </w:rPr>
        <w:t>)</w:t>
      </w:r>
      <w:r w:rsidR="0073692F" w:rsidRPr="00F323D2">
        <w:rPr>
          <w:rFonts w:ascii="Arial" w:hAnsi="Arial" w:cs="Arial"/>
        </w:rPr>
        <w:t>,</w:t>
      </w:r>
      <w:r w:rsidR="005F4F36" w:rsidRPr="00F323D2">
        <w:rPr>
          <w:rFonts w:ascii="Arial" w:hAnsi="Arial" w:cs="Arial"/>
        </w:rPr>
        <w:t xml:space="preserve"> </w:t>
      </w:r>
      <w:r w:rsidR="00AA021E" w:rsidRPr="00F323D2">
        <w:rPr>
          <w:rFonts w:ascii="Arial" w:hAnsi="Arial" w:cs="Arial"/>
        </w:rPr>
        <w:t xml:space="preserve">solicitando </w:t>
      </w:r>
      <w:r w:rsidR="00F323D2" w:rsidRPr="00F323D2">
        <w:rPr>
          <w:rFonts w:ascii="Arial" w:hAnsi="Arial" w:cs="Arial"/>
        </w:rPr>
        <w:t xml:space="preserve">diversa información </w:t>
      </w:r>
      <w:r w:rsidR="00304774" w:rsidRPr="00F323D2">
        <w:rPr>
          <w:rFonts w:ascii="Arial" w:hAnsi="Arial" w:cs="Arial"/>
        </w:rPr>
        <w:t>relativa</w:t>
      </w:r>
      <w:r w:rsidR="00DA07FB" w:rsidRPr="00F323D2">
        <w:rPr>
          <w:rFonts w:ascii="Arial" w:hAnsi="Arial" w:cs="Arial"/>
        </w:rPr>
        <w:t xml:space="preserve"> </w:t>
      </w:r>
      <w:r w:rsidR="00560453">
        <w:rPr>
          <w:rFonts w:ascii="Arial" w:hAnsi="Arial" w:cs="Arial"/>
        </w:rPr>
        <w:t>a</w:t>
      </w:r>
      <w:r w:rsidR="00560453" w:rsidRPr="00560453">
        <w:rPr>
          <w:rFonts w:ascii="Arial" w:hAnsi="Arial" w:cs="Arial"/>
        </w:rPr>
        <w:t xml:space="preserve"> la devolución del IVA a sujetos pasivos que ejercen actividades agrícolas y ganaderas</w:t>
      </w:r>
      <w:r w:rsidR="00864DCD" w:rsidRPr="00F323D2">
        <w:rPr>
          <w:rFonts w:ascii="Arial" w:hAnsi="Arial" w:cs="Arial"/>
        </w:rPr>
        <w:t>,</w:t>
      </w:r>
      <w:r w:rsidR="00E04955" w:rsidRPr="00F323D2">
        <w:rPr>
          <w:rFonts w:ascii="Arial" w:hAnsi="Arial" w:cs="Arial"/>
        </w:rPr>
        <w:t xml:space="preserve"> </w:t>
      </w:r>
      <w:r w:rsidR="001C5BBC" w:rsidRPr="00F323D2">
        <w:rPr>
          <w:rFonts w:ascii="Arial" w:hAnsi="Arial" w:cs="Arial"/>
        </w:rPr>
        <w:t xml:space="preserve">tiene el honor de </w:t>
      </w:r>
      <w:r w:rsidR="00A04717" w:rsidRPr="00F323D2">
        <w:rPr>
          <w:rFonts w:ascii="Arial" w:hAnsi="Arial" w:cs="Arial"/>
        </w:rPr>
        <w:t>informarle</w:t>
      </w:r>
      <w:r w:rsidR="00251B06" w:rsidRPr="00F323D2">
        <w:rPr>
          <w:rFonts w:ascii="Arial" w:hAnsi="Arial" w:cs="Arial"/>
        </w:rPr>
        <w:t xml:space="preserve"> lo siguiente:</w:t>
      </w:r>
    </w:p>
    <w:p w14:paraId="35D7B62F" w14:textId="6FDD45A5" w:rsidR="00560453" w:rsidRPr="00560453" w:rsidRDefault="00560453" w:rsidP="00560453">
      <w:pPr>
        <w:spacing w:line="360" w:lineRule="auto"/>
        <w:jc w:val="both"/>
        <w:rPr>
          <w:rFonts w:ascii="Arial" w:hAnsi="Arial" w:cs="Arial"/>
        </w:rPr>
      </w:pPr>
      <w:r w:rsidRPr="00560453">
        <w:rPr>
          <w:rFonts w:ascii="Arial" w:hAnsi="Arial" w:cs="Arial"/>
        </w:rPr>
        <w:t>La identificación del número de contribuyentes que ejercen actividades agrícolas o ganaderas tiene complejidad por varias razones.</w:t>
      </w:r>
    </w:p>
    <w:p w14:paraId="2F74EC83" w14:textId="77777777" w:rsidR="00560453" w:rsidRPr="00560453" w:rsidRDefault="00560453" w:rsidP="00560453">
      <w:pPr>
        <w:spacing w:line="360" w:lineRule="auto"/>
        <w:jc w:val="both"/>
        <w:rPr>
          <w:rFonts w:ascii="Arial" w:hAnsi="Arial" w:cs="Arial"/>
        </w:rPr>
      </w:pPr>
      <w:r w:rsidRPr="00560453">
        <w:rPr>
          <w:rFonts w:ascii="Arial" w:hAnsi="Arial" w:cs="Arial"/>
        </w:rPr>
        <w:t xml:space="preserve">En primer lugar, porque se trata de un sector con características variadas y en el que existen contribuyentes que son personas </w:t>
      </w:r>
      <w:proofErr w:type="gramStart"/>
      <w:r w:rsidRPr="00560453">
        <w:rPr>
          <w:rFonts w:ascii="Arial" w:hAnsi="Arial" w:cs="Arial"/>
        </w:rPr>
        <w:t>físicas</w:t>
      </w:r>
      <w:proofErr w:type="gramEnd"/>
      <w:r w:rsidRPr="00560453">
        <w:rPr>
          <w:rFonts w:ascii="Arial" w:hAnsi="Arial" w:cs="Arial"/>
        </w:rPr>
        <w:t xml:space="preserve"> pero también otros que ejercen la actividad a través de diferentes formas jurídicas como sociedades anónimas, sociedades de responsabilidad limitada, cooperativas, sociedades agrarias de transformación, sociedades civiles agrarias, sociedades irregulares, fundaciones, ayuntamientos, etc.</w:t>
      </w:r>
    </w:p>
    <w:p w14:paraId="33A22359" w14:textId="77777777" w:rsidR="00560453" w:rsidRPr="00560453" w:rsidRDefault="00560453" w:rsidP="00560453">
      <w:pPr>
        <w:spacing w:line="360" w:lineRule="auto"/>
        <w:jc w:val="both"/>
        <w:rPr>
          <w:rFonts w:ascii="Arial" w:hAnsi="Arial" w:cs="Arial"/>
        </w:rPr>
      </w:pPr>
      <w:r w:rsidRPr="00560453">
        <w:rPr>
          <w:rFonts w:ascii="Arial" w:hAnsi="Arial" w:cs="Arial"/>
        </w:rPr>
        <w:t xml:space="preserve">En segundo lugar, porque la actividad agraria y ganadera puede ejercerse de diversas maneras y en diferentes posiciones de la cadena alimentaria siendo difícil determinar si se quiere abarcar a todos los contribuyentes del sector primario y si dentro del mismo se contempla toda la industria agroalimentaria o sólo parte de ella. Hay que tener en cuenta, además, que dentro de ese sector primario existen contribuyentes de tamaño muy variado, desde numerosas personas físicas que ejercen una pequeña actividad agrícola o ganadera que no es su principal fuente de ingresos, pasando por otras personas físicas que son agricultores a título principal, numerosas pymes y pequeñas cooperativas del sector y llegando hasta </w:t>
      </w:r>
      <w:proofErr w:type="gramStart"/>
      <w:r w:rsidRPr="00560453">
        <w:rPr>
          <w:rFonts w:ascii="Arial" w:hAnsi="Arial" w:cs="Arial"/>
        </w:rPr>
        <w:t>grandes empresas y grandes cooperativas</w:t>
      </w:r>
      <w:proofErr w:type="gramEnd"/>
      <w:r w:rsidRPr="00560453">
        <w:rPr>
          <w:rFonts w:ascii="Arial" w:hAnsi="Arial" w:cs="Arial"/>
        </w:rPr>
        <w:t xml:space="preserve"> agrarias.</w:t>
      </w:r>
    </w:p>
    <w:p w14:paraId="10723A7C" w14:textId="59759D37" w:rsidR="00BF311F" w:rsidRPr="00560453" w:rsidRDefault="00560453" w:rsidP="00560453">
      <w:pPr>
        <w:spacing w:line="360" w:lineRule="auto"/>
        <w:jc w:val="both"/>
        <w:rPr>
          <w:rFonts w:ascii="Arial" w:hAnsi="Arial" w:cs="Arial"/>
        </w:rPr>
      </w:pPr>
      <w:r w:rsidRPr="00560453">
        <w:rPr>
          <w:rFonts w:ascii="Arial" w:hAnsi="Arial" w:cs="Arial"/>
        </w:rPr>
        <w:t>Además, la determinación del número de contribuyentes que ejercen dicha actividad tiene la dificultad de que no existe un censo legal fiscal en el que los agricultores y ganaderos deban darse de alta. Así, en general, los agricultores y ganaderos no tienen que darse de alta en el IAE (Impuesto sobre Actividades Económicas), salvo en determinados casos.</w:t>
      </w:r>
    </w:p>
    <w:p w14:paraId="093A6CCF" w14:textId="77777777" w:rsidR="00560453" w:rsidRPr="00560453" w:rsidRDefault="00560453" w:rsidP="00560453">
      <w:pPr>
        <w:spacing w:line="360" w:lineRule="auto"/>
        <w:jc w:val="both"/>
        <w:rPr>
          <w:rFonts w:ascii="Arial" w:hAnsi="Arial" w:cs="Arial"/>
        </w:rPr>
      </w:pPr>
      <w:r w:rsidRPr="00560453">
        <w:rPr>
          <w:rFonts w:ascii="Arial" w:hAnsi="Arial" w:cs="Arial"/>
        </w:rPr>
        <w:t xml:space="preserve">Finalmente, hay que tener en cuenta que hay contribuyentes del sector que tributan en IVA por el régimen especial de agricultura y ganadería (éstos no deben presentar declaraciones periódicas de IVA y tampoco generan saldos de IVA a devolver a su favor) y otros que declaran en el régimen general de IVA, lo </w:t>
      </w:r>
      <w:r w:rsidRPr="00560453">
        <w:rPr>
          <w:rFonts w:ascii="Arial" w:hAnsi="Arial" w:cs="Arial"/>
        </w:rPr>
        <w:lastRenderedPageBreak/>
        <w:t>cual pueden hacerlo o trimestralmente (en cuyo caso tienen derecho a devolución anual del IVA a su favor que pudieran generar), o mensualmente (en cuyo caso pueden tener derecho a devoluciones mensuales del IVA a su favor).</w:t>
      </w:r>
    </w:p>
    <w:p w14:paraId="216CF8CC" w14:textId="77777777" w:rsidR="00560453" w:rsidRPr="00560453" w:rsidRDefault="00560453" w:rsidP="00560453">
      <w:pPr>
        <w:spacing w:line="360" w:lineRule="auto"/>
        <w:jc w:val="both"/>
        <w:rPr>
          <w:rFonts w:ascii="Arial" w:hAnsi="Arial" w:cs="Arial"/>
        </w:rPr>
      </w:pPr>
      <w:r w:rsidRPr="00560453">
        <w:rPr>
          <w:rFonts w:ascii="Arial" w:hAnsi="Arial" w:cs="Arial"/>
        </w:rPr>
        <w:t>Por todo ello, la Hacienda Foral de Navarra, a efectos de identificar aquellos contribuyentes navarros que ejercen una actividad agrícola o ganadera y agilizar las devoluciones de IVA de 2023, ha aplicado unas reglas flexibles y amplias para su determinación, considerando a todos los que cumplan alguno de los siguientes requisitos:</w:t>
      </w:r>
    </w:p>
    <w:p w14:paraId="6C917B67" w14:textId="77777777" w:rsidR="00560453" w:rsidRPr="00560453" w:rsidRDefault="00560453" w:rsidP="00560453">
      <w:pPr>
        <w:numPr>
          <w:ilvl w:val="0"/>
          <w:numId w:val="17"/>
        </w:numPr>
        <w:spacing w:line="360" w:lineRule="auto"/>
        <w:jc w:val="both"/>
        <w:rPr>
          <w:rFonts w:ascii="Arial" w:hAnsi="Arial" w:cs="Arial"/>
        </w:rPr>
      </w:pPr>
      <w:r w:rsidRPr="00560453">
        <w:rPr>
          <w:rFonts w:ascii="Arial" w:hAnsi="Arial" w:cs="Arial"/>
        </w:rPr>
        <w:t xml:space="preserve">Estar dado de alta en algún epígrafe del sector o haber declarado ejercer una actividad agrícola o ganadera en el modelo informativo </w:t>
      </w:r>
      <w:proofErr w:type="spellStart"/>
      <w:r w:rsidRPr="00560453">
        <w:rPr>
          <w:rFonts w:ascii="Arial" w:hAnsi="Arial" w:cs="Arial"/>
        </w:rPr>
        <w:t>F65</w:t>
      </w:r>
      <w:proofErr w:type="spellEnd"/>
      <w:r w:rsidRPr="00560453">
        <w:rPr>
          <w:rFonts w:ascii="Arial" w:hAnsi="Arial" w:cs="Arial"/>
        </w:rPr>
        <w:t>.</w:t>
      </w:r>
    </w:p>
    <w:p w14:paraId="243821B2" w14:textId="77777777" w:rsidR="00560453" w:rsidRPr="00560453" w:rsidRDefault="00560453" w:rsidP="00560453">
      <w:pPr>
        <w:numPr>
          <w:ilvl w:val="0"/>
          <w:numId w:val="17"/>
        </w:numPr>
        <w:spacing w:line="360" w:lineRule="auto"/>
        <w:jc w:val="both"/>
        <w:rPr>
          <w:rFonts w:ascii="Arial" w:hAnsi="Arial" w:cs="Arial"/>
        </w:rPr>
      </w:pPr>
      <w:r w:rsidRPr="00560453">
        <w:rPr>
          <w:rFonts w:ascii="Arial" w:hAnsi="Arial" w:cs="Arial"/>
        </w:rPr>
        <w:t>Haber solicitado devolución de Gasóleo Agrícola del Impuesto Especial sobre Hidrocarburos</w:t>
      </w:r>
    </w:p>
    <w:p w14:paraId="18716622" w14:textId="77777777" w:rsidR="00560453" w:rsidRPr="00560453" w:rsidRDefault="00560453" w:rsidP="00560453">
      <w:pPr>
        <w:numPr>
          <w:ilvl w:val="0"/>
          <w:numId w:val="17"/>
        </w:numPr>
        <w:spacing w:line="360" w:lineRule="auto"/>
        <w:jc w:val="both"/>
        <w:rPr>
          <w:rFonts w:ascii="Arial" w:hAnsi="Arial" w:cs="Arial"/>
        </w:rPr>
      </w:pPr>
      <w:r w:rsidRPr="00560453">
        <w:rPr>
          <w:rFonts w:ascii="Arial" w:hAnsi="Arial" w:cs="Arial"/>
        </w:rPr>
        <w:t xml:space="preserve">Tener la calificación de Explotación Agraria Prioritaria. </w:t>
      </w:r>
    </w:p>
    <w:p w14:paraId="00F01F85" w14:textId="77777777" w:rsidR="00327F55" w:rsidRDefault="00560453" w:rsidP="00560453">
      <w:pPr>
        <w:numPr>
          <w:ilvl w:val="0"/>
          <w:numId w:val="17"/>
        </w:numPr>
        <w:spacing w:line="360" w:lineRule="auto"/>
        <w:jc w:val="both"/>
        <w:rPr>
          <w:rFonts w:ascii="Arial" w:hAnsi="Arial" w:cs="Arial"/>
        </w:rPr>
      </w:pPr>
      <w:r w:rsidRPr="00560453">
        <w:rPr>
          <w:rFonts w:ascii="Arial" w:hAnsi="Arial" w:cs="Arial"/>
        </w:rPr>
        <w:t>Ser una persona física que en el IRPF de 2022 haya obtenido rentas de actividad agrícola o ganadera.</w:t>
      </w:r>
    </w:p>
    <w:p w14:paraId="6199C5A2" w14:textId="1C2635F1" w:rsidR="00560453" w:rsidRDefault="00560453" w:rsidP="00560453">
      <w:pPr>
        <w:spacing w:line="360" w:lineRule="auto"/>
        <w:jc w:val="both"/>
        <w:rPr>
          <w:rFonts w:ascii="Arial" w:hAnsi="Arial" w:cs="Arial"/>
          <w:b/>
        </w:rPr>
      </w:pPr>
      <w:r w:rsidRPr="00560453">
        <w:rPr>
          <w:rFonts w:ascii="Arial" w:hAnsi="Arial" w:cs="Arial"/>
          <w:b/>
        </w:rPr>
        <w:t>Datos de contribuyentes que ejercen actividades agrícolas o ganaderas y que han solicitado devolución anual de IVA de 2023:</w:t>
      </w:r>
    </w:p>
    <w:p w14:paraId="633FC95E" w14:textId="77777777" w:rsidR="00560453" w:rsidRPr="00560453" w:rsidRDefault="00560453" w:rsidP="00560453">
      <w:pPr>
        <w:spacing w:line="360" w:lineRule="auto"/>
        <w:jc w:val="both"/>
        <w:rPr>
          <w:rFonts w:ascii="Arial" w:hAnsi="Arial" w:cs="Arial"/>
          <w:b/>
        </w:rPr>
      </w:pPr>
    </w:p>
    <w:tbl>
      <w:tblPr>
        <w:tblStyle w:val="Tablaconcuadrcula"/>
        <w:tblW w:w="0" w:type="auto"/>
        <w:tblInd w:w="720" w:type="dxa"/>
        <w:tblLook w:val="04A0" w:firstRow="1" w:lastRow="0" w:firstColumn="1" w:lastColumn="0" w:noHBand="0" w:noVBand="1"/>
      </w:tblPr>
      <w:tblGrid>
        <w:gridCol w:w="2365"/>
        <w:gridCol w:w="1607"/>
        <w:gridCol w:w="2056"/>
        <w:gridCol w:w="1972"/>
      </w:tblGrid>
      <w:tr w:rsidR="00560453" w:rsidRPr="00A57DE6" w14:paraId="1B5A084E" w14:textId="77777777" w:rsidTr="0080776B">
        <w:tc>
          <w:tcPr>
            <w:tcW w:w="2365" w:type="dxa"/>
          </w:tcPr>
          <w:p w14:paraId="211CFC1C"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*Tipo contribuyente</w:t>
            </w:r>
          </w:p>
        </w:tc>
        <w:tc>
          <w:tcPr>
            <w:tcW w:w="1607" w:type="dxa"/>
          </w:tcPr>
          <w:p w14:paraId="7000734B"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Número</w:t>
            </w:r>
          </w:p>
        </w:tc>
        <w:tc>
          <w:tcPr>
            <w:tcW w:w="2056" w:type="dxa"/>
          </w:tcPr>
          <w:p w14:paraId="5C53FC21"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Importe €</w:t>
            </w:r>
          </w:p>
        </w:tc>
        <w:tc>
          <w:tcPr>
            <w:tcW w:w="1972" w:type="dxa"/>
          </w:tcPr>
          <w:p w14:paraId="1CFC6FCF"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Importe medio €</w:t>
            </w:r>
          </w:p>
        </w:tc>
      </w:tr>
      <w:tr w:rsidR="00560453" w:rsidRPr="00A57DE6" w14:paraId="72EAED3E" w14:textId="77777777" w:rsidTr="0080776B">
        <w:tc>
          <w:tcPr>
            <w:tcW w:w="2365" w:type="dxa"/>
          </w:tcPr>
          <w:p w14:paraId="67FD6356"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Personas físicas</w:t>
            </w:r>
          </w:p>
        </w:tc>
        <w:tc>
          <w:tcPr>
            <w:tcW w:w="1607" w:type="dxa"/>
          </w:tcPr>
          <w:p w14:paraId="7ED8D39F"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766</w:t>
            </w:r>
          </w:p>
        </w:tc>
        <w:tc>
          <w:tcPr>
            <w:tcW w:w="2056" w:type="dxa"/>
          </w:tcPr>
          <w:p w14:paraId="5F3B84DA"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13.988.440,57</w:t>
            </w:r>
          </w:p>
        </w:tc>
        <w:tc>
          <w:tcPr>
            <w:tcW w:w="1972" w:type="dxa"/>
          </w:tcPr>
          <w:p w14:paraId="09649669"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18.261,67</w:t>
            </w:r>
          </w:p>
        </w:tc>
      </w:tr>
      <w:tr w:rsidR="00560453" w:rsidRPr="00A57DE6" w14:paraId="41B9B6E0" w14:textId="77777777" w:rsidTr="0080776B">
        <w:tc>
          <w:tcPr>
            <w:tcW w:w="2365" w:type="dxa"/>
          </w:tcPr>
          <w:p w14:paraId="399C5F15"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Personas jurídicas</w:t>
            </w:r>
          </w:p>
        </w:tc>
        <w:tc>
          <w:tcPr>
            <w:tcW w:w="1607" w:type="dxa"/>
          </w:tcPr>
          <w:p w14:paraId="3EF87056"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565</w:t>
            </w:r>
          </w:p>
        </w:tc>
        <w:tc>
          <w:tcPr>
            <w:tcW w:w="2056" w:type="dxa"/>
          </w:tcPr>
          <w:p w14:paraId="5BFA6690"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20.462.955,24</w:t>
            </w:r>
          </w:p>
        </w:tc>
        <w:tc>
          <w:tcPr>
            <w:tcW w:w="1972" w:type="dxa"/>
          </w:tcPr>
          <w:p w14:paraId="303D7B8E" w14:textId="77777777" w:rsidR="00560453" w:rsidRPr="00A57DE6" w:rsidRDefault="00560453" w:rsidP="00560453">
            <w:pPr>
              <w:spacing w:line="360" w:lineRule="auto"/>
              <w:jc w:val="both"/>
              <w:rPr>
                <w:rFonts w:ascii="Arial" w:hAnsi="Arial" w:cs="Arial"/>
                <w:sz w:val="18"/>
                <w:szCs w:val="18"/>
              </w:rPr>
            </w:pPr>
            <w:r w:rsidRPr="00A57DE6">
              <w:rPr>
                <w:rFonts w:ascii="Arial" w:hAnsi="Arial" w:cs="Arial"/>
                <w:sz w:val="18"/>
                <w:szCs w:val="18"/>
              </w:rPr>
              <w:t>36.217,62</w:t>
            </w:r>
          </w:p>
        </w:tc>
      </w:tr>
      <w:tr w:rsidR="00560453" w:rsidRPr="00A57DE6" w14:paraId="1250D6D2" w14:textId="77777777" w:rsidTr="0080776B">
        <w:tc>
          <w:tcPr>
            <w:tcW w:w="2365" w:type="dxa"/>
          </w:tcPr>
          <w:p w14:paraId="0CA98360" w14:textId="77777777" w:rsidR="00560453" w:rsidRPr="00A57DE6" w:rsidRDefault="00560453" w:rsidP="00560453">
            <w:pPr>
              <w:spacing w:line="360" w:lineRule="auto"/>
              <w:jc w:val="both"/>
              <w:rPr>
                <w:rFonts w:ascii="Arial" w:hAnsi="Arial" w:cs="Arial"/>
                <w:b/>
                <w:sz w:val="18"/>
                <w:szCs w:val="18"/>
              </w:rPr>
            </w:pPr>
            <w:r w:rsidRPr="00A57DE6">
              <w:rPr>
                <w:rFonts w:ascii="Arial" w:hAnsi="Arial" w:cs="Arial"/>
                <w:b/>
                <w:sz w:val="18"/>
                <w:szCs w:val="18"/>
              </w:rPr>
              <w:t>**Total</w:t>
            </w:r>
          </w:p>
        </w:tc>
        <w:tc>
          <w:tcPr>
            <w:tcW w:w="1607" w:type="dxa"/>
          </w:tcPr>
          <w:p w14:paraId="5E219EBD" w14:textId="77777777" w:rsidR="00560453" w:rsidRPr="00A57DE6" w:rsidRDefault="00560453" w:rsidP="00560453">
            <w:pPr>
              <w:spacing w:line="360" w:lineRule="auto"/>
              <w:jc w:val="both"/>
              <w:rPr>
                <w:rFonts w:ascii="Arial" w:hAnsi="Arial" w:cs="Arial"/>
                <w:b/>
                <w:sz w:val="18"/>
                <w:szCs w:val="18"/>
              </w:rPr>
            </w:pPr>
            <w:r w:rsidRPr="00A57DE6">
              <w:rPr>
                <w:rFonts w:ascii="Arial" w:hAnsi="Arial" w:cs="Arial"/>
                <w:b/>
                <w:sz w:val="18"/>
                <w:szCs w:val="18"/>
              </w:rPr>
              <w:t>1.331</w:t>
            </w:r>
          </w:p>
        </w:tc>
        <w:tc>
          <w:tcPr>
            <w:tcW w:w="2056" w:type="dxa"/>
          </w:tcPr>
          <w:p w14:paraId="4AD3A096" w14:textId="77777777" w:rsidR="00560453" w:rsidRPr="00A57DE6" w:rsidRDefault="00560453" w:rsidP="00560453">
            <w:pPr>
              <w:spacing w:line="360" w:lineRule="auto"/>
              <w:jc w:val="both"/>
              <w:rPr>
                <w:rFonts w:ascii="Arial" w:hAnsi="Arial" w:cs="Arial"/>
                <w:b/>
                <w:sz w:val="18"/>
                <w:szCs w:val="18"/>
              </w:rPr>
            </w:pPr>
            <w:r w:rsidRPr="00A57DE6">
              <w:rPr>
                <w:rFonts w:ascii="Arial" w:hAnsi="Arial" w:cs="Arial"/>
                <w:b/>
                <w:sz w:val="18"/>
                <w:szCs w:val="18"/>
              </w:rPr>
              <w:t>34.451.395,81</w:t>
            </w:r>
          </w:p>
        </w:tc>
        <w:tc>
          <w:tcPr>
            <w:tcW w:w="1972" w:type="dxa"/>
          </w:tcPr>
          <w:p w14:paraId="33C471DC" w14:textId="77777777" w:rsidR="00560453" w:rsidRPr="00A57DE6" w:rsidRDefault="00560453" w:rsidP="00560453">
            <w:pPr>
              <w:spacing w:line="360" w:lineRule="auto"/>
              <w:jc w:val="both"/>
              <w:rPr>
                <w:rFonts w:ascii="Arial" w:hAnsi="Arial" w:cs="Arial"/>
                <w:b/>
                <w:sz w:val="18"/>
                <w:szCs w:val="18"/>
              </w:rPr>
            </w:pPr>
            <w:r w:rsidRPr="00A57DE6">
              <w:rPr>
                <w:rFonts w:ascii="Arial" w:hAnsi="Arial" w:cs="Arial"/>
                <w:b/>
                <w:sz w:val="18"/>
                <w:szCs w:val="18"/>
              </w:rPr>
              <w:t>25.883,84</w:t>
            </w:r>
          </w:p>
        </w:tc>
      </w:tr>
    </w:tbl>
    <w:p w14:paraId="424DFE38" w14:textId="77777777" w:rsidR="00B74820" w:rsidRDefault="00B74820" w:rsidP="00560453">
      <w:pPr>
        <w:spacing w:line="360" w:lineRule="auto"/>
        <w:jc w:val="both"/>
        <w:rPr>
          <w:rFonts w:ascii="Arial" w:hAnsi="Arial" w:cs="Arial"/>
        </w:rPr>
      </w:pPr>
    </w:p>
    <w:p w14:paraId="6F5D53B0" w14:textId="77777777" w:rsidR="00327F55" w:rsidRDefault="00560453" w:rsidP="00560453">
      <w:pPr>
        <w:spacing w:line="360" w:lineRule="auto"/>
        <w:jc w:val="both"/>
        <w:rPr>
          <w:rFonts w:ascii="Arial" w:hAnsi="Arial" w:cs="Arial"/>
        </w:rPr>
      </w:pPr>
      <w:r w:rsidRPr="00560453">
        <w:rPr>
          <w:rFonts w:ascii="Arial" w:hAnsi="Arial" w:cs="Arial"/>
        </w:rPr>
        <w:t>*No están incluidos los contribuyentes que tributan por IVA mensualmente y tienen derecho a devolución mensual del IVA a su favor (son contribuyentes que tienen un volumen de operaciones superior a 6 M€ o que se han dado de alta en el régimen especial de devolución mensual de IVA y presentan el SII).</w:t>
      </w:r>
    </w:p>
    <w:p w14:paraId="12C48205" w14:textId="77777777" w:rsidR="00327F55" w:rsidRDefault="00560453" w:rsidP="00560453">
      <w:pPr>
        <w:spacing w:line="360" w:lineRule="auto"/>
        <w:jc w:val="both"/>
        <w:rPr>
          <w:rFonts w:ascii="Arial" w:hAnsi="Arial" w:cs="Arial"/>
        </w:rPr>
      </w:pPr>
      <w:r w:rsidRPr="00560453">
        <w:rPr>
          <w:rFonts w:ascii="Arial" w:hAnsi="Arial" w:cs="Arial"/>
        </w:rPr>
        <w:t xml:space="preserve">**Con fecha 22/03/2024 se ha realizado la devolución de 23,4 M€ a casi 1.000 contribuyentes y se han realizado compensaciones y embargos del saldo a su favor y paralización de devoluciones por importe de 3,5 M€ (a contribuyentes con deudas pendientes o con incumplimientos por los que no estén al corriente con sus obligaciones fiscales con Hacienda). Además, en los próximos días se va a tramitar la devolución de unos 170 contribuyentes restantes (sociedades </w:t>
      </w:r>
      <w:r w:rsidRPr="00560453">
        <w:rPr>
          <w:rFonts w:ascii="Arial" w:hAnsi="Arial" w:cs="Arial"/>
        </w:rPr>
        <w:lastRenderedPageBreak/>
        <w:t>anónimas y limitadas), con un saldo a devolver de unos 7,5 M€, siempre que estén al corriente de sus obligaciones fiscales.</w:t>
      </w:r>
    </w:p>
    <w:p w14:paraId="5753068D" w14:textId="6A607DBC" w:rsidR="00B74820" w:rsidRPr="00560453" w:rsidRDefault="00560453" w:rsidP="00560453">
      <w:pPr>
        <w:spacing w:line="360" w:lineRule="auto"/>
        <w:jc w:val="both"/>
        <w:rPr>
          <w:rFonts w:ascii="Arial" w:hAnsi="Arial" w:cs="Arial"/>
          <w:b/>
        </w:rPr>
      </w:pPr>
      <w:r w:rsidRPr="00560453">
        <w:rPr>
          <w:rFonts w:ascii="Arial" w:hAnsi="Arial" w:cs="Arial"/>
          <w:b/>
        </w:rPr>
        <w:t>Datos de contribuyentes que ejercen actividades agrícolas o ganaderas y que han solicitado devolución anual de IVA en años anteriores a 2023:</w:t>
      </w:r>
    </w:p>
    <w:p w14:paraId="272F3E7E" w14:textId="77777777" w:rsidR="00560453" w:rsidRPr="00560453" w:rsidRDefault="00560453" w:rsidP="00560453">
      <w:pPr>
        <w:spacing w:line="360" w:lineRule="auto"/>
        <w:jc w:val="both"/>
        <w:rPr>
          <w:rFonts w:ascii="Arial" w:hAnsi="Arial" w:cs="Arial"/>
        </w:rPr>
      </w:pPr>
      <w:r w:rsidRPr="00560453">
        <w:rPr>
          <w:rFonts w:ascii="Arial" w:hAnsi="Arial" w:cs="Arial"/>
        </w:rPr>
        <w:t>Por los motivos anteriormente señalados la identificación de los contribuyentes que ejercen una actividad agrícola y ganadera y solicitan la devolución de IVA, no está sistematizada y requiere la realización de unos trabajos de tratamiento de información.</w:t>
      </w:r>
    </w:p>
    <w:p w14:paraId="3F89E2CD" w14:textId="77777777" w:rsidR="00327F55" w:rsidRDefault="00560453" w:rsidP="00560453">
      <w:pPr>
        <w:spacing w:line="360" w:lineRule="auto"/>
        <w:jc w:val="both"/>
        <w:rPr>
          <w:rFonts w:ascii="Arial" w:hAnsi="Arial" w:cs="Arial"/>
        </w:rPr>
      </w:pPr>
      <w:r w:rsidRPr="00560453">
        <w:rPr>
          <w:rFonts w:ascii="Arial" w:hAnsi="Arial" w:cs="Arial"/>
        </w:rPr>
        <w:t xml:space="preserve">Es por ello </w:t>
      </w:r>
      <w:proofErr w:type="gramStart"/>
      <w:r w:rsidRPr="00560453">
        <w:rPr>
          <w:rFonts w:ascii="Arial" w:hAnsi="Arial" w:cs="Arial"/>
        </w:rPr>
        <w:t>que</w:t>
      </w:r>
      <w:proofErr w:type="gramEnd"/>
      <w:r w:rsidRPr="00560453">
        <w:rPr>
          <w:rFonts w:ascii="Arial" w:hAnsi="Arial" w:cs="Arial"/>
        </w:rPr>
        <w:t xml:space="preserve"> la Hacienda Foral de Navarra no puede informar de dichos datos anteriores a 2023, al no estar los mismos sistematizados en sus bases de datos y cuya extracción requeriría laboriosos trabajos de análisis y tratamiento de información.</w:t>
      </w:r>
    </w:p>
    <w:p w14:paraId="399F22E8" w14:textId="17BCC2CD" w:rsidR="001C5BBC" w:rsidRPr="00AA021E" w:rsidRDefault="00864DCD" w:rsidP="001C5BBC">
      <w:pPr>
        <w:spacing w:line="360" w:lineRule="auto"/>
        <w:rPr>
          <w:rFonts w:ascii="Arial" w:hAnsi="Arial" w:cs="Arial"/>
        </w:rPr>
      </w:pPr>
      <w:r w:rsidRPr="00AA021E">
        <w:rPr>
          <w:rFonts w:ascii="Arial" w:hAnsi="Arial" w:cs="Arial"/>
        </w:rPr>
        <w:t xml:space="preserve">Es cuanto tengo el honor de informar en cumplimiento de lo dispuesto en el artículo </w:t>
      </w:r>
      <w:r w:rsidR="00233022" w:rsidRPr="00AA021E">
        <w:rPr>
          <w:rFonts w:ascii="Arial" w:hAnsi="Arial" w:cs="Arial"/>
        </w:rPr>
        <w:t>215</w:t>
      </w:r>
      <w:r w:rsidRPr="00AA021E">
        <w:rPr>
          <w:rFonts w:ascii="Arial" w:hAnsi="Arial" w:cs="Arial"/>
        </w:rPr>
        <w:t xml:space="preserve"> del Reglamento del Parlamento de Navarra.</w:t>
      </w:r>
    </w:p>
    <w:p w14:paraId="214B7810" w14:textId="7B02458E" w:rsidR="001C5BBC" w:rsidRPr="00AA021E" w:rsidRDefault="001C5BBC" w:rsidP="001C5BBC">
      <w:pPr>
        <w:rPr>
          <w:rFonts w:ascii="Arial" w:hAnsi="Arial" w:cs="Arial"/>
        </w:rPr>
      </w:pPr>
      <w:r w:rsidRPr="00AA021E">
        <w:rPr>
          <w:rFonts w:ascii="Arial" w:hAnsi="Arial" w:cs="Arial"/>
        </w:rPr>
        <w:t>Pamplona,</w:t>
      </w:r>
      <w:r w:rsidR="007631EC" w:rsidRPr="00AA021E">
        <w:rPr>
          <w:rFonts w:ascii="Arial" w:hAnsi="Arial" w:cs="Arial"/>
        </w:rPr>
        <w:t xml:space="preserve"> </w:t>
      </w:r>
      <w:r w:rsidR="0062129E">
        <w:rPr>
          <w:rFonts w:ascii="Arial" w:hAnsi="Arial" w:cs="Arial"/>
        </w:rPr>
        <w:t>26</w:t>
      </w:r>
      <w:r w:rsidRPr="00AA021E">
        <w:rPr>
          <w:rFonts w:ascii="Arial" w:hAnsi="Arial" w:cs="Arial"/>
        </w:rPr>
        <w:t xml:space="preserve"> de </w:t>
      </w:r>
      <w:r w:rsidR="005D43E9">
        <w:rPr>
          <w:rFonts w:ascii="Arial" w:hAnsi="Arial" w:cs="Arial"/>
        </w:rPr>
        <w:t>marzo</w:t>
      </w:r>
      <w:r w:rsidRPr="00AA021E">
        <w:rPr>
          <w:rFonts w:ascii="Arial" w:hAnsi="Arial" w:cs="Arial"/>
        </w:rPr>
        <w:t xml:space="preserve"> de 20</w:t>
      </w:r>
      <w:r w:rsidR="00797449" w:rsidRPr="00AA021E">
        <w:rPr>
          <w:rFonts w:ascii="Arial" w:hAnsi="Arial" w:cs="Arial"/>
        </w:rPr>
        <w:t>2</w:t>
      </w:r>
      <w:r w:rsidR="00AA021E" w:rsidRPr="00AA021E">
        <w:rPr>
          <w:rFonts w:ascii="Arial" w:hAnsi="Arial" w:cs="Arial"/>
        </w:rPr>
        <w:t>4</w:t>
      </w:r>
    </w:p>
    <w:p w14:paraId="42BAEF90" w14:textId="3E310E66" w:rsidR="002F3FFC" w:rsidRPr="001C5BBC" w:rsidRDefault="007631EC" w:rsidP="00BF311F">
      <w:pPr>
        <w:rPr>
          <w:rFonts w:ascii="Arial" w:hAnsi="Arial" w:cs="Arial"/>
        </w:rPr>
      </w:pPr>
      <w:r>
        <w:rPr>
          <w:rFonts w:ascii="Arial" w:hAnsi="Arial" w:cs="Arial"/>
        </w:rPr>
        <w:t>El</w:t>
      </w:r>
      <w:r w:rsidR="001C5BBC" w:rsidRPr="001C5BBC">
        <w:rPr>
          <w:rFonts w:ascii="Arial" w:hAnsi="Arial" w:cs="Arial"/>
        </w:rPr>
        <w:t xml:space="preserve"> Consejer</w:t>
      </w:r>
      <w:r>
        <w:rPr>
          <w:rFonts w:ascii="Arial" w:hAnsi="Arial" w:cs="Arial"/>
        </w:rPr>
        <w:t>o</w:t>
      </w:r>
      <w:r w:rsidR="001C5BBC" w:rsidRPr="001C5BBC">
        <w:rPr>
          <w:rFonts w:ascii="Arial" w:hAnsi="Arial" w:cs="Arial"/>
        </w:rPr>
        <w:t xml:space="preserve"> de </w:t>
      </w:r>
      <w:r w:rsidR="00DA1E27">
        <w:rPr>
          <w:rFonts w:ascii="Arial" w:hAnsi="Arial" w:cs="Arial"/>
        </w:rPr>
        <w:t>Economí</w:t>
      </w:r>
      <w:r w:rsidR="00347443">
        <w:rPr>
          <w:rFonts w:ascii="Arial" w:hAnsi="Arial" w:cs="Arial"/>
        </w:rPr>
        <w:t xml:space="preserve">a y </w:t>
      </w:r>
      <w:r w:rsidR="001C5BBC" w:rsidRPr="001C5BBC">
        <w:rPr>
          <w:rFonts w:ascii="Arial" w:hAnsi="Arial" w:cs="Arial"/>
        </w:rPr>
        <w:t>Ha</w:t>
      </w:r>
      <w:r w:rsidR="00E91840">
        <w:rPr>
          <w:rFonts w:ascii="Arial" w:hAnsi="Arial" w:cs="Arial"/>
        </w:rPr>
        <w:t>c</w:t>
      </w:r>
      <w:r w:rsidR="001C5BBC" w:rsidRPr="001C5BBC">
        <w:rPr>
          <w:rFonts w:ascii="Arial" w:hAnsi="Arial" w:cs="Arial"/>
        </w:rPr>
        <w:t>ienda</w:t>
      </w:r>
      <w:r w:rsidR="00526F80">
        <w:rPr>
          <w:rFonts w:ascii="Arial" w:hAnsi="Arial" w:cs="Arial"/>
        </w:rPr>
        <w:t xml:space="preserve">: </w:t>
      </w:r>
      <w:r w:rsidRPr="007631EC">
        <w:rPr>
          <w:rFonts w:ascii="Arial" w:hAnsi="Arial" w:cs="Arial"/>
        </w:rPr>
        <w:t xml:space="preserve">José Luis </w:t>
      </w:r>
      <w:proofErr w:type="spellStart"/>
      <w:r w:rsidRPr="007631EC">
        <w:rPr>
          <w:rFonts w:ascii="Arial" w:hAnsi="Arial" w:cs="Arial"/>
        </w:rPr>
        <w:t>Arasti</w:t>
      </w:r>
      <w:proofErr w:type="spellEnd"/>
      <w:r w:rsidRPr="007631EC">
        <w:rPr>
          <w:rFonts w:ascii="Arial" w:hAnsi="Arial" w:cs="Arial"/>
        </w:rPr>
        <w:t xml:space="preserve"> Pérez</w:t>
      </w:r>
    </w:p>
    <w:sectPr w:rsidR="002F3FFC" w:rsidRPr="001C5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266FC" w14:textId="77777777" w:rsidR="003A78B6" w:rsidRDefault="003A78B6" w:rsidP="00BF311F">
      <w:r>
        <w:separator/>
      </w:r>
    </w:p>
  </w:endnote>
  <w:endnote w:type="continuationSeparator" w:id="0">
    <w:p w14:paraId="236420E0" w14:textId="77777777" w:rsidR="003A78B6" w:rsidRDefault="003A78B6" w:rsidP="00BF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E561D" w14:textId="77777777" w:rsidR="003A78B6" w:rsidRDefault="003A78B6" w:rsidP="00BF311F">
      <w:r>
        <w:separator/>
      </w:r>
    </w:p>
  </w:footnote>
  <w:footnote w:type="continuationSeparator" w:id="0">
    <w:p w14:paraId="6A89E8AF" w14:textId="77777777" w:rsidR="003A78B6" w:rsidRDefault="003A78B6" w:rsidP="00BF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9"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0F367DA"/>
    <w:multiLevelType w:val="hybridMultilevel"/>
    <w:tmpl w:val="CC9AE894"/>
    <w:lvl w:ilvl="0" w:tplc="D9E0E9B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052998294">
    <w:abstractNumId w:val="5"/>
  </w:num>
  <w:num w:numId="2" w16cid:durableId="525411881">
    <w:abstractNumId w:val="6"/>
  </w:num>
  <w:num w:numId="3" w16cid:durableId="1779791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534191">
    <w:abstractNumId w:val="3"/>
  </w:num>
  <w:num w:numId="5" w16cid:durableId="267084674">
    <w:abstractNumId w:val="16"/>
  </w:num>
  <w:num w:numId="6" w16cid:durableId="1824855597">
    <w:abstractNumId w:val="2"/>
  </w:num>
  <w:num w:numId="7" w16cid:durableId="1233157822">
    <w:abstractNumId w:val="1"/>
  </w:num>
  <w:num w:numId="8" w16cid:durableId="643240392">
    <w:abstractNumId w:val="13"/>
  </w:num>
  <w:num w:numId="9" w16cid:durableId="1500996464">
    <w:abstractNumId w:val="4"/>
  </w:num>
  <w:num w:numId="10" w16cid:durableId="1389959039">
    <w:abstractNumId w:val="14"/>
  </w:num>
  <w:num w:numId="11" w16cid:durableId="1363704402">
    <w:abstractNumId w:val="11"/>
  </w:num>
  <w:num w:numId="12" w16cid:durableId="819462435">
    <w:abstractNumId w:val="12"/>
  </w:num>
  <w:num w:numId="13" w16cid:durableId="609630569">
    <w:abstractNumId w:val="8"/>
  </w:num>
  <w:num w:numId="14" w16cid:durableId="1358114595">
    <w:abstractNumId w:val="10"/>
  </w:num>
  <w:num w:numId="15" w16cid:durableId="2011373643">
    <w:abstractNumId w:val="7"/>
  </w:num>
  <w:num w:numId="16" w16cid:durableId="1998877139">
    <w:abstractNumId w:val="0"/>
  </w:num>
  <w:num w:numId="17" w16cid:durableId="457381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095C3D"/>
    <w:rsid w:val="000D1D9E"/>
    <w:rsid w:val="001C5BBC"/>
    <w:rsid w:val="00233022"/>
    <w:rsid w:val="00251B06"/>
    <w:rsid w:val="002D4470"/>
    <w:rsid w:val="002F3FFC"/>
    <w:rsid w:val="00304774"/>
    <w:rsid w:val="00327F55"/>
    <w:rsid w:val="00332C58"/>
    <w:rsid w:val="00347443"/>
    <w:rsid w:val="003A78B6"/>
    <w:rsid w:val="0042675C"/>
    <w:rsid w:val="00444D0E"/>
    <w:rsid w:val="00464CB5"/>
    <w:rsid w:val="00526F80"/>
    <w:rsid w:val="00544CBD"/>
    <w:rsid w:val="00560453"/>
    <w:rsid w:val="00561BAD"/>
    <w:rsid w:val="00576FE2"/>
    <w:rsid w:val="005952AA"/>
    <w:rsid w:val="005C03DB"/>
    <w:rsid w:val="005D43E9"/>
    <w:rsid w:val="005F4F36"/>
    <w:rsid w:val="0062129E"/>
    <w:rsid w:val="007138FD"/>
    <w:rsid w:val="0073692F"/>
    <w:rsid w:val="007631EC"/>
    <w:rsid w:val="00797449"/>
    <w:rsid w:val="00837E35"/>
    <w:rsid w:val="00864DCD"/>
    <w:rsid w:val="00891E3A"/>
    <w:rsid w:val="008F3BE7"/>
    <w:rsid w:val="00A01D43"/>
    <w:rsid w:val="00A04717"/>
    <w:rsid w:val="00A216BF"/>
    <w:rsid w:val="00A57DE6"/>
    <w:rsid w:val="00A7703E"/>
    <w:rsid w:val="00AA021E"/>
    <w:rsid w:val="00B36692"/>
    <w:rsid w:val="00B74820"/>
    <w:rsid w:val="00B77D52"/>
    <w:rsid w:val="00BF311F"/>
    <w:rsid w:val="00BF546F"/>
    <w:rsid w:val="00D31F43"/>
    <w:rsid w:val="00DA07FB"/>
    <w:rsid w:val="00DA1E27"/>
    <w:rsid w:val="00E04955"/>
    <w:rsid w:val="00E61A08"/>
    <w:rsid w:val="00E87145"/>
    <w:rsid w:val="00E91840"/>
    <w:rsid w:val="00E95393"/>
    <w:rsid w:val="00EB3E46"/>
    <w:rsid w:val="00F16219"/>
    <w:rsid w:val="00F323D2"/>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D98FC"/>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BF311F"/>
    <w:pPr>
      <w:tabs>
        <w:tab w:val="center" w:pos="4252"/>
        <w:tab w:val="right" w:pos="8504"/>
      </w:tabs>
    </w:pPr>
  </w:style>
  <w:style w:type="character" w:customStyle="1" w:styleId="EncabezadoCar">
    <w:name w:val="Encabezado Car"/>
    <w:basedOn w:val="Fuentedeprrafopredeter"/>
    <w:link w:val="Encabezado"/>
    <w:rsid w:val="00BF311F"/>
    <w:rPr>
      <w:sz w:val="24"/>
      <w:szCs w:val="24"/>
    </w:rPr>
  </w:style>
  <w:style w:type="paragraph" w:styleId="Piedepgina">
    <w:name w:val="footer"/>
    <w:basedOn w:val="Normal"/>
    <w:link w:val="PiedepginaCar"/>
    <w:unhideWhenUsed/>
    <w:rsid w:val="00BF311F"/>
    <w:pPr>
      <w:tabs>
        <w:tab w:val="center" w:pos="4252"/>
        <w:tab w:val="right" w:pos="8504"/>
      </w:tabs>
    </w:pPr>
  </w:style>
  <w:style w:type="character" w:customStyle="1" w:styleId="PiedepginaCar">
    <w:name w:val="Pie de página Car"/>
    <w:basedOn w:val="Fuentedeprrafopredeter"/>
    <w:link w:val="Piedepgina"/>
    <w:rsid w:val="00BF31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812914530">
      <w:bodyDiv w:val="1"/>
      <w:marLeft w:val="0"/>
      <w:marRight w:val="0"/>
      <w:marTop w:val="0"/>
      <w:marBottom w:val="0"/>
      <w:divBdr>
        <w:top w:val="none" w:sz="0" w:space="0" w:color="auto"/>
        <w:left w:val="none" w:sz="0" w:space="0" w:color="auto"/>
        <w:bottom w:val="none" w:sz="0" w:space="0" w:color="auto"/>
        <w:right w:val="none" w:sz="0" w:space="0" w:color="auto"/>
      </w:divBdr>
    </w:div>
    <w:div w:id="1697655265">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842</Words>
  <Characters>4636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Aranaz, Carlota</cp:lastModifiedBy>
  <cp:revision>43</cp:revision>
  <dcterms:created xsi:type="dcterms:W3CDTF">2019-07-29T08:37:00Z</dcterms:created>
  <dcterms:modified xsi:type="dcterms:W3CDTF">2024-05-28T10:26:00Z</dcterms:modified>
</cp:coreProperties>
</file>