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23219" w14:textId="77777777" w:rsidR="00B15FC8" w:rsidRDefault="00B15FC8" w:rsidP="007D6AD9">
      <w:pPr>
        <w:pStyle w:val="Style"/>
        <w:spacing w:before="100" w:beforeAutospacing="1" w:after="200" w:line="276" w:lineRule="auto"/>
        <w:ind w:rightChars="567" w:right="1247" w:firstLine="708"/>
        <w:jc w:val="both"/>
        <w:textAlignment w:val="baseline"/>
        <w:rPr>
          <w:rFonts w:ascii="Calibri" w:eastAsia="Arial" w:hAnsi="Calibri" w:cs="Calibri"/>
          <w:sz w:val="22"/>
          <w:szCs w:val="22"/>
        </w:rPr>
      </w:pPr>
    </w:p>
    <w:p w14:paraId="4A79DFCE" w14:textId="1B58D8CF" w:rsidR="00B15FC8" w:rsidRDefault="00B15FC8" w:rsidP="007D6AD9">
      <w:pPr>
        <w:pStyle w:val="Style"/>
        <w:spacing w:before="100" w:beforeAutospacing="1" w:after="200" w:line="276" w:lineRule="auto"/>
        <w:ind w:rightChars="567" w:right="1247" w:firstLine="708"/>
        <w:jc w:val="both"/>
        <w:textAlignment w:val="baseline"/>
        <w:rPr>
          <w:rFonts w:ascii="Calibri" w:hAnsi="Calibri" w:cs="Calibri"/>
          <w:sz w:val="22"/>
          <w:szCs w:val="22"/>
        </w:rPr>
      </w:pPr>
      <w:r>
        <w:rPr>
          <w:rFonts w:ascii="Calibri" w:hAnsi="Calibri"/>
          <w:sz w:val="22"/>
        </w:rPr>
        <w:t>24ITP-16</w:t>
      </w:r>
    </w:p>
    <w:p w14:paraId="4CFBFE63" w14:textId="77777777" w:rsidR="00B15FC8" w:rsidRDefault="007D6AD9" w:rsidP="007D6AD9">
      <w:pPr>
        <w:pStyle w:val="Style"/>
        <w:spacing w:before="100" w:beforeAutospacing="1" w:after="200" w:line="276" w:lineRule="auto"/>
        <w:ind w:left="708" w:rightChars="567" w:right="1247"/>
        <w:jc w:val="both"/>
        <w:textAlignment w:val="baseline"/>
        <w:rPr>
          <w:rFonts w:ascii="Calibri" w:hAnsi="Calibri" w:cs="Calibri"/>
          <w:sz w:val="22"/>
          <w:szCs w:val="22"/>
        </w:rPr>
      </w:pPr>
      <w:r>
        <w:rPr>
          <w:rFonts w:ascii="Calibri" w:hAnsi="Calibri"/>
          <w:sz w:val="22"/>
        </w:rPr>
        <w:t xml:space="preserve">Nafarroako Gorteetako kide den eta Navarra Suma talde parlamentarioari atxikita dagoen Miguel Bujanda Cirauqui jaunak, Legebiltzarreko Erregelamenduan xedatuaren babesean, honako interpelazio hau aurkezten du: </w:t>
      </w:r>
    </w:p>
    <w:p w14:paraId="10FEB5B5" w14:textId="6E5B298C" w:rsidR="00B15FC8" w:rsidRPr="00B15FC8" w:rsidRDefault="00B15FC8" w:rsidP="007D6AD9">
      <w:pPr>
        <w:pStyle w:val="Style"/>
        <w:spacing w:before="100" w:beforeAutospacing="1" w:after="200" w:line="276" w:lineRule="auto"/>
        <w:ind w:left="708" w:rightChars="567" w:right="1247"/>
        <w:jc w:val="both"/>
        <w:textAlignment w:val="baseline"/>
        <w:rPr>
          <w:rFonts w:ascii="Calibri" w:hAnsi="Calibri" w:cs="Calibri"/>
          <w:bCs/>
          <w:sz w:val="22"/>
          <w:szCs w:val="22"/>
        </w:rPr>
      </w:pPr>
      <w:r>
        <w:rPr>
          <w:rFonts w:ascii="Calibri" w:hAnsi="Calibri"/>
          <w:sz w:val="22"/>
        </w:rPr>
        <w:t xml:space="preserve">Interpelazioa, nekazaritza eta abeltzaintza Europarako sektore estrategiko gisa kokatzeko politika orokorrari buruzkoa. </w:t>
      </w:r>
    </w:p>
    <w:p w14:paraId="6523F42B" w14:textId="2591767F" w:rsidR="00BA46BF" w:rsidRPr="00B15FC8" w:rsidRDefault="007D6AD9" w:rsidP="007D6AD9">
      <w:pPr>
        <w:pStyle w:val="Style"/>
        <w:spacing w:before="100" w:beforeAutospacing="1" w:after="200" w:line="276" w:lineRule="auto"/>
        <w:ind w:left="708" w:rightChars="567" w:right="1247"/>
        <w:jc w:val="both"/>
        <w:textAlignment w:val="baseline"/>
        <w:rPr>
          <w:rFonts w:ascii="Calibri" w:hAnsi="Calibri" w:cs="Calibri"/>
          <w:bCs/>
          <w:sz w:val="22"/>
          <w:szCs w:val="22"/>
        </w:rPr>
      </w:pPr>
      <w:r>
        <w:rPr>
          <w:rFonts w:ascii="Calibri" w:hAnsi="Calibri"/>
          <w:sz w:val="22"/>
        </w:rPr>
        <w:t xml:space="preserve">Kokatze horrek funtsezko lehenbiziko eragin bat izanen luke: gure landa-eremuen mantentzearen landa-egitura soziala eta horien </w:t>
      </w:r>
      <w:r w:rsidR="00FF794A">
        <w:rPr>
          <w:rFonts w:ascii="Calibri" w:hAnsi="Calibri"/>
          <w:sz w:val="22"/>
        </w:rPr>
        <w:t>erakargarritasuna</w:t>
      </w:r>
      <w:r>
        <w:rPr>
          <w:rFonts w:ascii="Calibri" w:hAnsi="Calibri"/>
          <w:sz w:val="22"/>
        </w:rPr>
        <w:t xml:space="preserve"> indartzea. Landa-eremuetan, zazpi lanpostu mantentzen dira familia-ustiategi bakoitzeko. Sektore hori estrategikotzat jotzearen beste ondorio garrantzitsu bat da ondorio positiboak izanen lituzkeela lurrari, biodibertsitateari eta klima-aldaketari dagokienez. </w:t>
      </w:r>
    </w:p>
    <w:p w14:paraId="4FE13417" w14:textId="71CDAD3C" w:rsidR="00B15FC8" w:rsidRDefault="007D6AD9" w:rsidP="007D6AD9">
      <w:pPr>
        <w:pStyle w:val="Style"/>
        <w:spacing w:before="100" w:beforeAutospacing="1" w:after="200" w:line="276" w:lineRule="auto"/>
        <w:ind w:left="708" w:rightChars="567" w:right="1247"/>
        <w:jc w:val="both"/>
        <w:textAlignment w:val="baseline"/>
        <w:rPr>
          <w:rFonts w:ascii="Calibri" w:hAnsi="Calibri" w:cs="Calibri"/>
          <w:sz w:val="22"/>
          <w:szCs w:val="22"/>
        </w:rPr>
      </w:pPr>
      <w:r>
        <w:rPr>
          <w:rFonts w:ascii="Calibri" w:hAnsi="Calibri"/>
          <w:sz w:val="22"/>
        </w:rPr>
        <w:t xml:space="preserve">Lehen sektoreko jarduerak oso errotuta daude Europako gizarte- eta ekonomia-sarean, eta ia landa-eremu guztietan daude, halako moduan non ekoizpen-sistemen aniztasun zabala eskaintzen baitute tokiko testuinguruen eta testuinguru geografikoen arabera. Lehen sektoreak ekarpen nabarmena egiten dio Europako ekonomiari, ia 400.000 milioi euro urtean, 10 milioi pertsonentzako lanpostu zuzenak sortzen ditu eta 70 milioi pertsonaren lana zeharka babesten du, batez ere landa-eremuetan. </w:t>
      </w:r>
    </w:p>
    <w:p w14:paraId="2714AE6A" w14:textId="24E5B4E1" w:rsidR="00BA46BF" w:rsidRPr="00B15FC8" w:rsidRDefault="007D6AD9" w:rsidP="007D6AD9">
      <w:pPr>
        <w:pStyle w:val="Style"/>
        <w:spacing w:before="100" w:beforeAutospacing="1" w:after="200" w:line="276" w:lineRule="auto"/>
        <w:ind w:left="708" w:rightChars="567" w:right="1247"/>
        <w:jc w:val="both"/>
        <w:textAlignment w:val="baseline"/>
        <w:rPr>
          <w:rFonts w:ascii="Calibri" w:hAnsi="Calibri" w:cs="Calibri"/>
          <w:sz w:val="22"/>
          <w:szCs w:val="22"/>
        </w:rPr>
      </w:pPr>
      <w:r>
        <w:rPr>
          <w:rFonts w:ascii="Calibri" w:hAnsi="Calibri"/>
          <w:sz w:val="22"/>
        </w:rPr>
        <w:t xml:space="preserve">Europan, elikagaien industria da manufaktura-industriaren jarduera nagusia, bere balioa 1.121.000 milioi eurotik gorako negozio-zifrekikoa da, eta manufaktura-industriaren % 14,3 ordezkatzen du. Guztira, 294.000 enpresa dira, lana 4,62 milioi pertsonari ematen diotenak, enpresa txiki eta ertainek elikagaien sektorearen negozio-zifren % 39,4 egiten dute, bai eta sortzen dituen lanpostuen % 57,7 ere. </w:t>
      </w:r>
    </w:p>
    <w:p w14:paraId="3AD3D5F4" w14:textId="17862EBE" w:rsidR="00BA46BF" w:rsidRPr="00B15FC8" w:rsidRDefault="007D6AD9" w:rsidP="007D6AD9">
      <w:pPr>
        <w:pStyle w:val="Style"/>
        <w:spacing w:before="100" w:beforeAutospacing="1" w:after="200" w:line="276" w:lineRule="auto"/>
        <w:ind w:left="708" w:rightChars="567" w:right="1247"/>
        <w:jc w:val="both"/>
        <w:textAlignment w:val="baseline"/>
        <w:rPr>
          <w:rFonts w:ascii="Calibri" w:hAnsi="Calibri" w:cs="Calibri"/>
          <w:sz w:val="22"/>
          <w:szCs w:val="22"/>
        </w:rPr>
      </w:pPr>
      <w:r>
        <w:rPr>
          <w:rFonts w:ascii="Calibri" w:hAnsi="Calibri"/>
          <w:sz w:val="22"/>
        </w:rPr>
        <w:t xml:space="preserve">50 langile baino gutxiagoko ETEak dira enpresa horien % 95,8 50, eta % 80,7k 10 langile baino gutxiago dituzte. Oro har, 10 enpresatik 9 familia-enpresak dira. 50 langile baino gutxiagoko ETEak dira enpresa horien % 95,8 50, eta % 80,7k 10 langile baino gutxiago dituzte. Oro har, 10 enpresatik 9 ETEak dira. </w:t>
      </w:r>
    </w:p>
    <w:p w14:paraId="6BC3C5C8" w14:textId="100B3E05" w:rsidR="00BA46BF" w:rsidRPr="00B15FC8" w:rsidRDefault="007D6AD9" w:rsidP="007D6AD9">
      <w:pPr>
        <w:pStyle w:val="Style"/>
        <w:spacing w:before="100" w:beforeAutospacing="1" w:after="200" w:line="276" w:lineRule="auto"/>
        <w:ind w:left="708" w:rightChars="567" w:right="1247"/>
        <w:jc w:val="both"/>
        <w:textAlignment w:val="baseline"/>
        <w:rPr>
          <w:rFonts w:ascii="Calibri" w:hAnsi="Calibri" w:cs="Calibri"/>
          <w:sz w:val="22"/>
          <w:szCs w:val="22"/>
        </w:rPr>
      </w:pPr>
      <w:r>
        <w:rPr>
          <w:rFonts w:ascii="Calibri" w:hAnsi="Calibri"/>
          <w:sz w:val="22"/>
        </w:rPr>
        <w:t xml:space="preserve">Nekazaritza eta abeltzaintzako ekoizpenak eta elikagaien ekoizpenak dira, orobat, landa-eremuek EBren balantzari egindako ekarpen handiena. Oro har, Europar Batasuna autosufizientea da animalia-jatorriko produktuei dagokienez, eta merkatu globaletan saltzen du (19.500 milioi euro). Txerri-haragiaren, esnekien, hegazti-haragiaren eta arrautzen esportatzaile garbia da. Nazioarteko ingurune konplexuago batean, ezinbestez mantendu behar da abeltzaintza-sektore dinamiko bat, Europako landa-eremuei ez ezik, Europa osoari ere mesede egiten baitio, nekazaritza-sektoretik harago. </w:t>
      </w:r>
    </w:p>
    <w:p w14:paraId="5087892F" w14:textId="77777777" w:rsidR="00BA46BF" w:rsidRPr="00B15FC8" w:rsidRDefault="007D6AD9" w:rsidP="007D6AD9">
      <w:pPr>
        <w:pStyle w:val="Style"/>
        <w:spacing w:before="100" w:beforeAutospacing="1" w:after="200" w:line="276" w:lineRule="auto"/>
        <w:ind w:left="708" w:rightChars="567" w:right="1247"/>
        <w:jc w:val="both"/>
        <w:textAlignment w:val="baseline"/>
        <w:rPr>
          <w:rFonts w:ascii="Calibri" w:hAnsi="Calibri" w:cs="Calibri"/>
          <w:sz w:val="22"/>
          <w:szCs w:val="22"/>
        </w:rPr>
      </w:pPr>
      <w:r>
        <w:rPr>
          <w:rFonts w:ascii="Calibri" w:hAnsi="Calibri"/>
          <w:sz w:val="22"/>
        </w:rPr>
        <w:t xml:space="preserve">Ezin dugu gauza bera esan landare-jatorriko elikagaien autosufizientziari buruz, eta gaur egun ezinbestekoa dugu hirugarren herrialdeetako elikagaiekiko mendekotasunik eza. </w:t>
      </w:r>
    </w:p>
    <w:p w14:paraId="7AA6AFE7" w14:textId="77777777" w:rsidR="00BA46BF" w:rsidRPr="00B15FC8" w:rsidRDefault="007D6AD9" w:rsidP="007D6AD9">
      <w:pPr>
        <w:pStyle w:val="Style"/>
        <w:spacing w:before="100" w:beforeAutospacing="1" w:after="200" w:line="276" w:lineRule="auto"/>
        <w:ind w:left="708" w:rightChars="567" w:right="1247"/>
        <w:jc w:val="both"/>
        <w:textAlignment w:val="baseline"/>
        <w:rPr>
          <w:rFonts w:ascii="Calibri" w:hAnsi="Calibri" w:cs="Calibri"/>
          <w:sz w:val="22"/>
          <w:szCs w:val="22"/>
        </w:rPr>
      </w:pPr>
      <w:r>
        <w:rPr>
          <w:rFonts w:ascii="Calibri" w:hAnsi="Calibri"/>
          <w:sz w:val="22"/>
        </w:rPr>
        <w:t xml:space="preserve">Erronka horiek guztiek osagai juridiko bat dute, eta Merkataritzari eta Aduanako Tarifei buruzko Akordio Nagusian erregulazio-hutsuneak daude oraindik ere; hori dela-eta, ezinezkoa da ispilu-klausulak aplikatzea, Europako nekazariek eta abeltzainek ekoitzitako produktuen berme berberak izan ditzaten inportatutako elikagaiek. </w:t>
      </w:r>
    </w:p>
    <w:p w14:paraId="6D8FEA26" w14:textId="77777777" w:rsidR="00B15FC8" w:rsidRDefault="007D6AD9" w:rsidP="007D6AD9">
      <w:pPr>
        <w:pStyle w:val="Style"/>
        <w:spacing w:before="100" w:beforeAutospacing="1" w:after="200" w:line="276" w:lineRule="auto"/>
        <w:ind w:left="708" w:rightChars="567" w:right="1247"/>
        <w:jc w:val="both"/>
        <w:textAlignment w:val="baseline"/>
        <w:rPr>
          <w:rFonts w:ascii="Calibri" w:hAnsi="Calibri" w:cs="Calibri"/>
          <w:sz w:val="22"/>
          <w:szCs w:val="22"/>
        </w:rPr>
      </w:pPr>
      <w:r>
        <w:rPr>
          <w:rFonts w:ascii="Calibri" w:hAnsi="Calibri"/>
          <w:sz w:val="22"/>
        </w:rPr>
        <w:t xml:space="preserve">Hortaz, premiazkoa da sektore estrategiko gisa kokatzea ez soilik maila intelektualean, ezpada NPBren arudian ere. </w:t>
      </w:r>
    </w:p>
    <w:p w14:paraId="0A477BEC" w14:textId="77777777" w:rsidR="00B15FC8" w:rsidRDefault="007D6AD9" w:rsidP="007D6AD9">
      <w:pPr>
        <w:pStyle w:val="Style"/>
        <w:spacing w:before="100" w:beforeAutospacing="1" w:after="200" w:line="276" w:lineRule="auto"/>
        <w:ind w:rightChars="567" w:right="1247" w:firstLine="708"/>
        <w:jc w:val="both"/>
        <w:textAlignment w:val="baseline"/>
        <w:rPr>
          <w:rFonts w:ascii="Calibri" w:eastAsia="Arial" w:hAnsi="Calibri" w:cs="Calibri"/>
          <w:sz w:val="22"/>
          <w:szCs w:val="22"/>
        </w:rPr>
      </w:pPr>
      <w:r>
        <w:rPr>
          <w:rFonts w:ascii="Calibri" w:hAnsi="Calibri"/>
          <w:sz w:val="22"/>
        </w:rPr>
        <w:t>Iruñean, 2024ko maiatzaren 30ean</w:t>
      </w:r>
    </w:p>
    <w:p w14:paraId="5C0E6360" w14:textId="2A9EF587" w:rsidR="00BA46BF" w:rsidRPr="00B15FC8" w:rsidRDefault="00B15FC8" w:rsidP="007D6AD9">
      <w:pPr>
        <w:pStyle w:val="Style"/>
        <w:spacing w:before="100" w:beforeAutospacing="1" w:after="200" w:line="276" w:lineRule="auto"/>
        <w:ind w:rightChars="567" w:right="1247" w:firstLine="708"/>
        <w:jc w:val="both"/>
        <w:textAlignment w:val="baseline"/>
        <w:rPr>
          <w:rFonts w:ascii="Calibri" w:hAnsi="Calibri" w:cs="Calibri"/>
          <w:sz w:val="22"/>
          <w:szCs w:val="22"/>
        </w:rPr>
      </w:pPr>
      <w:r>
        <w:rPr>
          <w:rFonts w:ascii="Calibri" w:hAnsi="Calibri"/>
          <w:sz w:val="22"/>
        </w:rPr>
        <w:t xml:space="preserve">Foru parlamentaria: Miguel Bujanda Cirauqui </w:t>
      </w:r>
    </w:p>
    <w:sectPr w:rsidR="00BA46BF" w:rsidRPr="00B15FC8">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A46BF"/>
    <w:rsid w:val="0020623D"/>
    <w:rsid w:val="00312E5D"/>
    <w:rsid w:val="007D6AD9"/>
    <w:rsid w:val="00B15FC8"/>
    <w:rsid w:val="00BA46BF"/>
    <w:rsid w:val="00FF79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0DB3A"/>
  <w15:docId w15:val="{321DA5FF-5C9B-4C82-A3F1-E3357D80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495</Words>
  <Characters>2724</Characters>
  <Application>Microsoft Office Word</Application>
  <DocSecurity>0</DocSecurity>
  <Lines>22</Lines>
  <Paragraphs>6</Paragraphs>
  <ScaleCrop>false</ScaleCrop>
  <Company>HP Inc.</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24ITP-16</dc:title>
  <dc:creator>informatica</dc:creator>
  <cp:keywords>CreatedByIRIS_Readiris_17.0</cp:keywords>
  <cp:lastModifiedBy>Martin Cestao, Nerea</cp:lastModifiedBy>
  <cp:revision>4</cp:revision>
  <dcterms:created xsi:type="dcterms:W3CDTF">2024-05-31T06:14:00Z</dcterms:created>
  <dcterms:modified xsi:type="dcterms:W3CDTF">2024-06-04T05:57:00Z</dcterms:modified>
</cp:coreProperties>
</file>