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BC104" w14:textId="0DC1D458" w:rsidR="006A449C" w:rsidRDefault="00821494" w:rsidP="00C47D1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</w:pP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En relación</w:t>
      </w:r>
      <w:r w:rsidR="003D202F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 con la pregunta para su contestación por escrito </w:t>
      </w: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(PE</w:t>
      </w:r>
      <w:r w:rsidR="003D202F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S</w:t>
      </w: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-00</w:t>
      </w:r>
      <w:r w:rsidR="000B0106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203</w:t>
      </w: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) </w:t>
      </w:r>
      <w:r w:rsidR="003D202F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formul</w:t>
      </w: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ada por </w:t>
      </w:r>
      <w:r w:rsidR="00B237CA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l</w:t>
      </w:r>
      <w:r w:rsidR="00023817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a</w:t>
      </w: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 Ilm</w:t>
      </w:r>
      <w:r w:rsidR="00023817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a</w:t>
      </w: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. Sr</w:t>
      </w:r>
      <w:r w:rsidR="00023817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a</w:t>
      </w: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. </w:t>
      </w:r>
      <w:proofErr w:type="gramStart"/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D</w:t>
      </w:r>
      <w:r w:rsidR="006A449C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.</w:t>
      </w:r>
      <w:r w:rsidR="00023817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ª</w:t>
      </w:r>
      <w:proofErr w:type="gramEnd"/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 </w:t>
      </w:r>
      <w:r w:rsidR="00023817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Marta Álvarez Alonso</w:t>
      </w: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, Parlamentari</w:t>
      </w:r>
      <w:r w:rsidR="00023817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a</w:t>
      </w: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 Foral adscrit</w:t>
      </w:r>
      <w:r w:rsidR="000B0106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a</w:t>
      </w: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 al Grupo Parlamentario </w:t>
      </w:r>
      <w:r w:rsidR="00023817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Unión del </w:t>
      </w:r>
      <w:r w:rsidR="006A449C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Pueblo Navarro</w:t>
      </w: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, en la que se solicita al Gobierno de Navarra la siguiente información:</w:t>
      </w:r>
    </w:p>
    <w:p w14:paraId="1D250779" w14:textId="3D85452E" w:rsidR="000B0106" w:rsidRPr="00A71B2F" w:rsidRDefault="000B0106" w:rsidP="00A71B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color w:val="000000"/>
          <w:sz w:val="22"/>
          <w:szCs w:val="24"/>
          <w:lang w:eastAsia="es-ES_tradnl"/>
        </w:rPr>
      </w:pPr>
      <w:r w:rsidRPr="00A71B2F">
        <w:rPr>
          <w:rFonts w:asciiTheme="majorHAnsi" w:hAnsiTheme="majorHAnsi" w:cstheme="majorHAnsi"/>
          <w:b/>
          <w:color w:val="000000"/>
          <w:sz w:val="22"/>
          <w:szCs w:val="24"/>
          <w:lang w:eastAsia="es-ES_tradnl"/>
        </w:rPr>
        <w:t>¿Ha detectado el Departamento de Presidencia e Igualdad una brecha de género en materia de voluntariado?</w:t>
      </w:r>
    </w:p>
    <w:p w14:paraId="375C5CCB" w14:textId="77777777" w:rsidR="006A449C" w:rsidRDefault="00A71B2F" w:rsidP="000B0106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</w:pPr>
      <w:r w:rsidRPr="00A71B2F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Sí.</w:t>
      </w:r>
    </w:p>
    <w:p w14:paraId="3067463A" w14:textId="77777777" w:rsidR="006A449C" w:rsidRDefault="000B0106" w:rsidP="00A71B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color w:val="000000"/>
          <w:sz w:val="22"/>
          <w:szCs w:val="24"/>
          <w:lang w:eastAsia="es-ES_tradnl"/>
        </w:rPr>
      </w:pPr>
      <w:r w:rsidRPr="000B0106">
        <w:rPr>
          <w:rFonts w:asciiTheme="majorHAnsi" w:hAnsiTheme="majorHAnsi" w:cstheme="majorHAnsi"/>
          <w:b/>
          <w:color w:val="000000"/>
          <w:sz w:val="22"/>
          <w:szCs w:val="24"/>
          <w:lang w:eastAsia="es-ES_tradnl"/>
        </w:rPr>
        <w:t>De ser así, ¿En qué se materializa dicha brecha?</w:t>
      </w:r>
    </w:p>
    <w:p w14:paraId="1D571EEC" w14:textId="77777777" w:rsidR="006A449C" w:rsidRDefault="00A71B2F" w:rsidP="00A71B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</w:pPr>
      <w:r w:rsidRPr="00A71B2F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Feminización de la acción voluntaria, 61% mujeres frente al 39% hombres, datos estudio 2019. </w:t>
      </w:r>
    </w:p>
    <w:p w14:paraId="5F326F86" w14:textId="77777777" w:rsidR="006A449C" w:rsidRDefault="00A71B2F" w:rsidP="00A71B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</w:pPr>
      <w:r w:rsidRPr="00A71B2F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El hecho de que haya una mayor presencia de mujeres en un ámbito no garantiza que exista una igualdad real entre mujeres y hombres. </w:t>
      </w:r>
    </w:p>
    <w:p w14:paraId="25E31263" w14:textId="77777777" w:rsidR="006A449C" w:rsidRDefault="00A71B2F" w:rsidP="00A71B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</w:pPr>
      <w:r w:rsidRPr="00A71B2F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División sexual del trabajo relacionada con los roles y estereotipos de género. </w:t>
      </w:r>
    </w:p>
    <w:p w14:paraId="5D101BD3" w14:textId="5FFBF408" w:rsidR="006A449C" w:rsidRDefault="00A71B2F" w:rsidP="00A71B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</w:pPr>
      <w:r w:rsidRPr="00A71B2F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Segregación horizontal: - Más hombres en la esfera de la protección civil, la emergencia de la COVID-19, y la deportiva. Y, en menor medida, en la cooperación al desarrollo, lo comunitario, el ocio y </w:t>
      </w:r>
      <w:r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el tiempo libre o lo ambiental.</w:t>
      </w:r>
      <w:r w:rsidRPr="00A71B2F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 Más mujeres en el ámbito educativo; el soci</w:t>
      </w:r>
      <w:r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osanitario</w:t>
      </w:r>
      <w:r w:rsidRPr="00A71B2F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, y, en cuanto al social, se apunta una ligera mayor presencia.</w:t>
      </w:r>
    </w:p>
    <w:p w14:paraId="2F46B777" w14:textId="77777777" w:rsidR="006A449C" w:rsidRDefault="00A71B2F" w:rsidP="00A71B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</w:pPr>
      <w:r w:rsidRPr="00A71B2F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Segregación vertical, escasa presencia de mujeres en puestos o espacios de tomas de decisiones.</w:t>
      </w:r>
    </w:p>
    <w:p w14:paraId="5B23FC02" w14:textId="77777777" w:rsidR="006A449C" w:rsidRDefault="00A71B2F" w:rsidP="00A71B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</w:pPr>
      <w:r w:rsidRPr="00A71B2F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Escasa formación en igualdad y violencia contra las mujeres. </w:t>
      </w:r>
    </w:p>
    <w:p w14:paraId="0ABCC99B" w14:textId="77777777" w:rsidR="006A449C" w:rsidRDefault="00A71B2F" w:rsidP="00A71B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</w:pPr>
      <w:r w:rsidRPr="00A71B2F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Escasa perspectiva de género e incluso cuestionada, en algunos casos, en la gestión y organización de las entidades.</w:t>
      </w:r>
    </w:p>
    <w:p w14:paraId="10FC6698" w14:textId="77777777" w:rsidR="006A449C" w:rsidRDefault="00A71B2F" w:rsidP="00A71B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</w:pPr>
      <w:r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T</w:t>
      </w:r>
      <w:r w:rsidRPr="00A71B2F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iempo de dedicación al voluntariado, con una participación más puntual en el caso de las mujeres y trayectorias más largas en los hombres, con una mayor intensidad masculina en su implicación. </w:t>
      </w:r>
    </w:p>
    <w:p w14:paraId="01E32EE0" w14:textId="77777777" w:rsidR="006A449C" w:rsidRDefault="00A71B2F" w:rsidP="00A71B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</w:pPr>
      <w:r w:rsidRPr="00A71B2F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Puede relacionarse con la triple jornada de las mujeres quienes deben atender el trabajo remunerado y las responsabilidades de cuidado, lo que les resta tiempo o disponibilidad al voluntariado.</w:t>
      </w:r>
    </w:p>
    <w:p w14:paraId="5FDC49B2" w14:textId="77777777" w:rsidR="006A449C" w:rsidRDefault="00A71B2F" w:rsidP="00A71B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</w:pPr>
      <w:r w:rsidRPr="00A71B2F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Perfil persona voluntaria: mujer, mediana edad, urbana, sin responsabilidades de cuidados y estudios superiores.</w:t>
      </w:r>
      <w:r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 </w:t>
      </w:r>
    </w:p>
    <w:p w14:paraId="34E61641" w14:textId="77777777" w:rsidR="006A449C" w:rsidRDefault="00A71B2F" w:rsidP="00A71B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</w:pPr>
      <w:r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E</w:t>
      </w:r>
      <w:r w:rsidRPr="00A71B2F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dad: más mujeres en edades jóvenes y más hombres en edades mayores-jubilados.</w:t>
      </w:r>
    </w:p>
    <w:p w14:paraId="470D72A5" w14:textId="77777777" w:rsidR="006A449C" w:rsidRDefault="00A71B2F" w:rsidP="00A71B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</w:pPr>
      <w:r w:rsidRPr="00A71B2F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Menor reconocimiento y valor de las personas voluntarias y del ámbito del voluntariado, lo cual puede deberse a que es un ámbito feminizado, altruista, no hay una remuneración.</w:t>
      </w:r>
    </w:p>
    <w:p w14:paraId="513A0F3C" w14:textId="2AE24F6B" w:rsidR="006A449C" w:rsidRDefault="000B0106" w:rsidP="000B0106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color w:val="000000"/>
          <w:sz w:val="22"/>
          <w:szCs w:val="24"/>
          <w:lang w:eastAsia="es-ES_tradnl"/>
        </w:rPr>
      </w:pPr>
      <w:r w:rsidRPr="000B0106">
        <w:rPr>
          <w:rFonts w:asciiTheme="majorHAnsi" w:hAnsiTheme="majorHAnsi" w:cstheme="majorHAnsi"/>
          <w:b/>
          <w:color w:val="000000"/>
          <w:sz w:val="22"/>
          <w:szCs w:val="24"/>
          <w:lang w:eastAsia="es-ES_tradnl"/>
        </w:rPr>
        <w:t>3. ¿Cuáles han sido los criterios utilizados para seleccionar las acciones</w:t>
      </w:r>
      <w:r>
        <w:rPr>
          <w:rFonts w:asciiTheme="majorHAnsi" w:hAnsiTheme="majorHAnsi" w:cstheme="majorHAnsi"/>
          <w:b/>
          <w:color w:val="000000"/>
          <w:sz w:val="22"/>
          <w:szCs w:val="24"/>
          <w:lang w:eastAsia="es-ES_tradnl"/>
        </w:rPr>
        <w:t xml:space="preserve"> </w:t>
      </w:r>
      <w:r w:rsidRPr="000B0106">
        <w:rPr>
          <w:rFonts w:asciiTheme="majorHAnsi" w:hAnsiTheme="majorHAnsi" w:cstheme="majorHAnsi"/>
          <w:b/>
          <w:color w:val="000000"/>
          <w:sz w:val="22"/>
          <w:szCs w:val="24"/>
          <w:lang w:eastAsia="es-ES_tradnl"/>
        </w:rPr>
        <w:t>incluidas en el III Plan de Voluntariado en el eje transversal de</w:t>
      </w:r>
      <w:r>
        <w:rPr>
          <w:rFonts w:asciiTheme="majorHAnsi" w:hAnsiTheme="majorHAnsi" w:cstheme="majorHAnsi"/>
          <w:b/>
          <w:color w:val="000000"/>
          <w:sz w:val="22"/>
          <w:szCs w:val="24"/>
          <w:lang w:eastAsia="es-ES_tradnl"/>
        </w:rPr>
        <w:t xml:space="preserve"> </w:t>
      </w:r>
      <w:r w:rsidRPr="000B0106">
        <w:rPr>
          <w:rFonts w:asciiTheme="majorHAnsi" w:hAnsiTheme="majorHAnsi" w:cstheme="majorHAnsi"/>
          <w:b/>
          <w:color w:val="000000"/>
          <w:sz w:val="22"/>
          <w:szCs w:val="24"/>
          <w:lang w:eastAsia="es-ES_tradnl"/>
        </w:rPr>
        <w:t>perspectiva de género y cuáles son los objetivos que se persiguen con</w:t>
      </w:r>
      <w:r>
        <w:rPr>
          <w:rFonts w:asciiTheme="majorHAnsi" w:hAnsiTheme="majorHAnsi" w:cstheme="majorHAnsi"/>
          <w:b/>
          <w:color w:val="000000"/>
          <w:sz w:val="22"/>
          <w:szCs w:val="24"/>
          <w:lang w:eastAsia="es-ES_tradnl"/>
        </w:rPr>
        <w:t xml:space="preserve"> </w:t>
      </w:r>
      <w:r w:rsidRPr="000B0106">
        <w:rPr>
          <w:rFonts w:asciiTheme="majorHAnsi" w:hAnsiTheme="majorHAnsi" w:cstheme="majorHAnsi"/>
          <w:b/>
          <w:color w:val="000000"/>
          <w:sz w:val="22"/>
          <w:szCs w:val="24"/>
          <w:lang w:eastAsia="es-ES_tradnl"/>
        </w:rPr>
        <w:t>cada una de esas acciones?</w:t>
      </w:r>
    </w:p>
    <w:p w14:paraId="04342610" w14:textId="77777777" w:rsidR="006A449C" w:rsidRDefault="00A71B2F" w:rsidP="00997BA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</w:pPr>
      <w:r w:rsidRPr="00997BA4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lastRenderedPageBreak/>
        <w:t>C</w:t>
      </w:r>
      <w:r w:rsidR="004F6EE2" w:rsidRPr="00997BA4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onclusiones de los estudios elaborados que recoge el III Plan de Voluntariado</w:t>
      </w:r>
      <w:r w:rsidR="004F6EE2" w:rsidRPr="003C2B78">
        <w:rPr>
          <w:rFonts w:asciiTheme="majorHAnsi" w:hAnsiTheme="majorHAnsi" w:cstheme="majorHAnsi"/>
          <w:b/>
          <w:color w:val="000000"/>
          <w:sz w:val="22"/>
          <w:szCs w:val="24"/>
          <w:lang w:eastAsia="es-ES_tradnl"/>
        </w:rPr>
        <w:t xml:space="preserve">, </w:t>
      </w:r>
      <w:r w:rsidR="004F6EE2" w:rsidRPr="00AF37E4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principalmente el estudio aludido de La Acción Voluntaria en Navarra desde la perspectiva de género”</w:t>
      </w:r>
      <w:r w:rsidR="00997BA4" w:rsidRPr="00AF37E4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.</w:t>
      </w:r>
    </w:p>
    <w:p w14:paraId="55ED80AC" w14:textId="77777777" w:rsidR="006A449C" w:rsidRDefault="004F6EE2" w:rsidP="00997BA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</w:pPr>
      <w:r w:rsidRPr="00997BA4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Árbol de Problemas que recoge el III Plan de Voluntariado.</w:t>
      </w:r>
    </w:p>
    <w:p w14:paraId="049B4DA7" w14:textId="77777777" w:rsidR="006A449C" w:rsidRDefault="00997BA4" w:rsidP="00997BA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</w:pPr>
      <w:r w:rsidRPr="00997BA4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I</w:t>
      </w:r>
      <w:r w:rsidR="008F6909" w:rsidRPr="00997BA4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ncorporación de la perspectiva de género como eje transversal, que garantiza el desarrollo de los principios de igualdad que</w:t>
      </w:r>
      <w:r w:rsidRPr="00997BA4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 (incluido </w:t>
      </w:r>
      <w:r w:rsidR="004F6EE2" w:rsidRPr="00997BA4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III Plan</w:t>
      </w:r>
      <w:r w:rsidR="008F6909" w:rsidRPr="00997BA4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 de Voluntariado de Navarra (2024-2027)</w:t>
      </w:r>
      <w:r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).</w:t>
      </w:r>
      <w:r w:rsidRPr="004F6EE2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 </w:t>
      </w:r>
    </w:p>
    <w:p w14:paraId="49AF8264" w14:textId="54FEBBFC" w:rsidR="00821494" w:rsidRPr="00FA18C8" w:rsidRDefault="00821494" w:rsidP="00C47D1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FA18C8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Es cuanto tengo el honor de informar en cumplimiento de </w:t>
      </w:r>
      <w:r w:rsidR="00FA18C8" w:rsidRPr="00FA18C8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lo dispuesto en el artículo </w:t>
      </w:r>
      <w:r w:rsidR="003D202F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2</w:t>
      </w:r>
      <w:r w:rsidR="00FA18C8" w:rsidRPr="00FA18C8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15</w:t>
      </w:r>
      <w:r w:rsidRPr="00FA18C8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del</w:t>
      </w:r>
    </w:p>
    <w:p w14:paraId="4F16E1F1" w14:textId="77777777" w:rsidR="006A449C" w:rsidRDefault="00821494" w:rsidP="00C47D1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FA18C8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Reglamento del Parlamento de Navarra.</w:t>
      </w:r>
    </w:p>
    <w:p w14:paraId="60A0749D" w14:textId="69F3F550" w:rsidR="00821494" w:rsidRPr="00FA18C8" w:rsidRDefault="00821494" w:rsidP="00C47D15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FA18C8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Pamplona-</w:t>
      </w:r>
      <w:proofErr w:type="spellStart"/>
      <w:r w:rsidRPr="00FA18C8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Iruñea</w:t>
      </w:r>
      <w:proofErr w:type="spellEnd"/>
      <w:r w:rsidRPr="00FA18C8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, </w:t>
      </w:r>
      <w:r w:rsidR="008F6909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1</w:t>
      </w:r>
      <w:r w:rsidR="00AF37E4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7</w:t>
      </w:r>
      <w:r w:rsidR="002F3D0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de </w:t>
      </w:r>
      <w:r w:rsidR="008F6909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mayo</w:t>
      </w:r>
      <w:r w:rsidR="00023817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</w:t>
      </w:r>
      <w:r w:rsidR="002F3D0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de 2024</w:t>
      </w:r>
    </w:p>
    <w:p w14:paraId="2024B00E" w14:textId="48A90612" w:rsidR="006A449C" w:rsidRDefault="006A449C" w:rsidP="006A449C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FA18C8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El Consejero de Presidencia e Igualdad</w:t>
      </w:r>
      <w:r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: </w:t>
      </w:r>
      <w:r w:rsidR="00FA18C8" w:rsidRPr="00FA18C8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Félix Taberna Monzón</w:t>
      </w:r>
    </w:p>
    <w:sectPr w:rsidR="006A449C" w:rsidSect="00843157">
      <w:footerReference w:type="default" r:id="rId7"/>
      <w:headerReference w:type="first" r:id="rId8"/>
      <w:footerReference w:type="first" r:id="rId9"/>
      <w:pgSz w:w="11901" w:h="16817" w:code="9"/>
      <w:pgMar w:top="2835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3174C" w14:textId="77777777" w:rsidR="00C43DD9" w:rsidRDefault="00C43DD9">
      <w:r>
        <w:separator/>
      </w:r>
    </w:p>
  </w:endnote>
  <w:endnote w:type="continuationSeparator" w:id="0">
    <w:p w14:paraId="6D41CF38" w14:textId="77777777" w:rsidR="00C43DD9" w:rsidRDefault="00C4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AF49E" w14:textId="77777777" w:rsidR="007F2C1A" w:rsidRDefault="007F2C1A">
    <w:pPr>
      <w:pStyle w:val="Piedepgina"/>
    </w:pPr>
  </w:p>
  <w:p w14:paraId="572749CF" w14:textId="77777777" w:rsidR="009E22FA" w:rsidRDefault="009E22FA">
    <w:pPr>
      <w:pStyle w:val="Piedepgina"/>
    </w:pPr>
  </w:p>
  <w:p w14:paraId="19476012" w14:textId="77777777" w:rsidR="009E22FA" w:rsidRDefault="009E22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06A4F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1E967" w14:textId="77777777" w:rsidR="00C43DD9" w:rsidRDefault="00C43DD9">
      <w:r>
        <w:separator/>
      </w:r>
    </w:p>
  </w:footnote>
  <w:footnote w:type="continuationSeparator" w:id="0">
    <w:p w14:paraId="12BE2775" w14:textId="77777777" w:rsidR="00C43DD9" w:rsidRDefault="00C4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F8E85" w14:textId="77777777" w:rsidR="00696F6F" w:rsidRDefault="007F433A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ACCC85E" wp14:editId="6D2F639D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17BC"/>
    <w:multiLevelType w:val="hybridMultilevel"/>
    <w:tmpl w:val="5F1AD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F795C"/>
    <w:multiLevelType w:val="hybridMultilevel"/>
    <w:tmpl w:val="54DCE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731283">
    <w:abstractNumId w:val="1"/>
  </w:num>
  <w:num w:numId="2" w16cid:durableId="140348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121EF"/>
    <w:rsid w:val="00023817"/>
    <w:rsid w:val="00026023"/>
    <w:rsid w:val="000334B4"/>
    <w:rsid w:val="00066A4D"/>
    <w:rsid w:val="000711A0"/>
    <w:rsid w:val="000729E0"/>
    <w:rsid w:val="0009463A"/>
    <w:rsid w:val="000A1480"/>
    <w:rsid w:val="000B0106"/>
    <w:rsid w:val="000B64A1"/>
    <w:rsid w:val="00116AF7"/>
    <w:rsid w:val="001423DE"/>
    <w:rsid w:val="00170AFF"/>
    <w:rsid w:val="001A696B"/>
    <w:rsid w:val="0026117C"/>
    <w:rsid w:val="00277C9A"/>
    <w:rsid w:val="002F09C8"/>
    <w:rsid w:val="002F3D00"/>
    <w:rsid w:val="00300D8F"/>
    <w:rsid w:val="00304004"/>
    <w:rsid w:val="003C2B78"/>
    <w:rsid w:val="003D202F"/>
    <w:rsid w:val="003F1206"/>
    <w:rsid w:val="00486D33"/>
    <w:rsid w:val="004F6EE2"/>
    <w:rsid w:val="0050466C"/>
    <w:rsid w:val="00523E7D"/>
    <w:rsid w:val="00524CFD"/>
    <w:rsid w:val="005367EB"/>
    <w:rsid w:val="00543CB9"/>
    <w:rsid w:val="00546FCC"/>
    <w:rsid w:val="005B095B"/>
    <w:rsid w:val="005C6849"/>
    <w:rsid w:val="005F3576"/>
    <w:rsid w:val="00645A55"/>
    <w:rsid w:val="00694C60"/>
    <w:rsid w:val="00696F6F"/>
    <w:rsid w:val="006A449C"/>
    <w:rsid w:val="006A5952"/>
    <w:rsid w:val="007018B0"/>
    <w:rsid w:val="0071169E"/>
    <w:rsid w:val="00793F61"/>
    <w:rsid w:val="007B16C7"/>
    <w:rsid w:val="007E5180"/>
    <w:rsid w:val="007F2C1A"/>
    <w:rsid w:val="007F433A"/>
    <w:rsid w:val="00817362"/>
    <w:rsid w:val="00821494"/>
    <w:rsid w:val="008354B9"/>
    <w:rsid w:val="00843157"/>
    <w:rsid w:val="008765E8"/>
    <w:rsid w:val="008E573E"/>
    <w:rsid w:val="008F6909"/>
    <w:rsid w:val="009022B4"/>
    <w:rsid w:val="009339B6"/>
    <w:rsid w:val="00936F7B"/>
    <w:rsid w:val="00994342"/>
    <w:rsid w:val="0099458A"/>
    <w:rsid w:val="00997BA4"/>
    <w:rsid w:val="009E202F"/>
    <w:rsid w:val="009E22FA"/>
    <w:rsid w:val="009E381E"/>
    <w:rsid w:val="009F3967"/>
    <w:rsid w:val="00A040CE"/>
    <w:rsid w:val="00A077F0"/>
    <w:rsid w:val="00A117E7"/>
    <w:rsid w:val="00A2145B"/>
    <w:rsid w:val="00A430CC"/>
    <w:rsid w:val="00A461DD"/>
    <w:rsid w:val="00A52259"/>
    <w:rsid w:val="00A71B2F"/>
    <w:rsid w:val="00A8044F"/>
    <w:rsid w:val="00A84BCA"/>
    <w:rsid w:val="00AF37E4"/>
    <w:rsid w:val="00B237CA"/>
    <w:rsid w:val="00B32EE5"/>
    <w:rsid w:val="00B46857"/>
    <w:rsid w:val="00B662C6"/>
    <w:rsid w:val="00B96F7E"/>
    <w:rsid w:val="00BD6A02"/>
    <w:rsid w:val="00BE14EC"/>
    <w:rsid w:val="00BE2BD3"/>
    <w:rsid w:val="00BF494F"/>
    <w:rsid w:val="00C171AC"/>
    <w:rsid w:val="00C43DD9"/>
    <w:rsid w:val="00C47D15"/>
    <w:rsid w:val="00CA2943"/>
    <w:rsid w:val="00CB748C"/>
    <w:rsid w:val="00CC1284"/>
    <w:rsid w:val="00CE65F5"/>
    <w:rsid w:val="00D04182"/>
    <w:rsid w:val="00D04CEA"/>
    <w:rsid w:val="00D304C8"/>
    <w:rsid w:val="00D504F1"/>
    <w:rsid w:val="00D75B3D"/>
    <w:rsid w:val="00D8128C"/>
    <w:rsid w:val="00DF6784"/>
    <w:rsid w:val="00E8181E"/>
    <w:rsid w:val="00EB05BE"/>
    <w:rsid w:val="00F037C2"/>
    <w:rsid w:val="00F23E92"/>
    <w:rsid w:val="00F25B9A"/>
    <w:rsid w:val="00F344C7"/>
    <w:rsid w:val="00FA18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5AA660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customStyle="1" w:styleId="Default">
    <w:name w:val="Default"/>
    <w:rsid w:val="00546F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rsid w:val="00D504F1"/>
    <w:rPr>
      <w:color w:val="0563C1"/>
      <w:u w:val="single"/>
    </w:rPr>
  </w:style>
  <w:style w:type="character" w:styleId="Hipervnculovisitado">
    <w:name w:val="FollowedHyperlink"/>
    <w:basedOn w:val="Fuentedeprrafopredeter"/>
    <w:semiHidden/>
    <w:unhideWhenUsed/>
    <w:rsid w:val="00A71B2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71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3</cp:revision>
  <cp:lastPrinted>2023-09-22T09:19:00Z</cp:lastPrinted>
  <dcterms:created xsi:type="dcterms:W3CDTF">2024-05-20T05:57:00Z</dcterms:created>
  <dcterms:modified xsi:type="dcterms:W3CDTF">2024-05-21T07:34:00Z</dcterms:modified>
</cp:coreProperties>
</file>