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BC104" w14:textId="0DC1D458" w:rsidR="006A449C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Unión del Pueblo Navarro talde parlamentarioari atxikitako foru parlamentari Marta Álvarez Alonso andreak idatziz erantzuteko galdera egin du (PES-00203); horren bidez, honako informazio hau eskatzen dio Nafarroako Gobernuari:</w:t>
      </w:r>
    </w:p>
    <w:p w14:paraId="1D250779" w14:textId="3D85452E" w:rsidR="000B0106" w:rsidRPr="00A71B2F" w:rsidRDefault="000B0106" w:rsidP="00A71B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4"/>
          <w:rFonts w:asciiTheme="majorHAnsi" w:hAnsiTheme="majorHAnsi" w:cstheme="majorHAnsi"/>
        </w:rPr>
      </w:pPr>
      <w:r>
        <w:rPr>
          <w:b/>
          <w:color w:val="000000"/>
          <w:sz w:val="22"/>
          <w:rFonts w:asciiTheme="majorHAnsi" w:hAnsiTheme="majorHAnsi"/>
        </w:rPr>
        <w:t xml:space="preserve">Boluntariotzaren arloan genero-arrakalarik detektatu al du Lehendakaritza eta Berdintasun Departamentuak?</w:t>
      </w:r>
    </w:p>
    <w:p w14:paraId="375C5CCB" w14:textId="77777777" w:rsidR="006A449C" w:rsidRDefault="00A71B2F" w:rsidP="000B01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Bai.</w:t>
      </w:r>
    </w:p>
    <w:p w14:paraId="3067463A" w14:textId="77777777" w:rsidR="006A449C" w:rsidRDefault="000B0106" w:rsidP="00A71B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4"/>
          <w:rFonts w:asciiTheme="majorHAnsi" w:hAnsiTheme="majorHAnsi" w:cstheme="majorHAnsi"/>
        </w:rPr>
      </w:pPr>
      <w:r>
        <w:rPr>
          <w:b/>
          <w:color w:val="000000"/>
          <w:sz w:val="22"/>
          <w:rFonts w:asciiTheme="majorHAnsi" w:hAnsiTheme="majorHAnsi"/>
        </w:rPr>
        <w:t xml:space="preserve">Hala baldin bada, zertan datza arrakala hori?</w:t>
      </w:r>
    </w:p>
    <w:p w14:paraId="1D571EEC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Boluntariotzako ekintzaren feminizazioa, % 61 emakumeak eta % 39 gizonak, 2019ko ikerketako datuak.</w:t>
      </w:r>
      <w:r>
        <w:rPr>
          <w:color w:val="000000"/>
          <w:sz w:val="22"/>
          <w:rFonts w:asciiTheme="majorHAnsi" w:hAnsiTheme="majorHAnsi"/>
        </w:rPr>
        <w:t xml:space="preserve"> </w:t>
      </w:r>
    </w:p>
    <w:p w14:paraId="5F326F86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Alor batean emakume gehiago egoteak ez du bermatzen berdintasun erreala dagoenik emakumeen eta gizonen artean.</w:t>
      </w:r>
      <w:r>
        <w:rPr>
          <w:color w:val="000000"/>
          <w:sz w:val="22"/>
          <w:rFonts w:asciiTheme="majorHAnsi" w:hAnsiTheme="majorHAnsi"/>
        </w:rPr>
        <w:t xml:space="preserve"> </w:t>
      </w:r>
    </w:p>
    <w:p w14:paraId="25E31263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Lanaren sexuaren araberako banaketa genero-estereotipoei eta rolei lotuta.</w:t>
      </w:r>
      <w:r>
        <w:rPr>
          <w:color w:val="000000"/>
          <w:sz w:val="22"/>
          <w:rFonts w:asciiTheme="majorHAnsi" w:hAnsiTheme="majorHAnsi"/>
        </w:rPr>
        <w:t xml:space="preserve"> </w:t>
      </w:r>
    </w:p>
    <w:p w14:paraId="5D101BD3" w14:textId="5FFBF408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Segregazio horizontala:</w:t>
      </w:r>
      <w:r>
        <w:rPr>
          <w:color w:val="000000"/>
          <w:sz w:val="22"/>
          <w:rFonts w:asciiTheme="majorHAnsi" w:hAnsiTheme="majorHAnsi"/>
        </w:rPr>
        <w:t xml:space="preserve"> </w:t>
      </w:r>
      <w:r>
        <w:rPr>
          <w:color w:val="000000"/>
          <w:sz w:val="22"/>
          <w:rFonts w:asciiTheme="majorHAnsi" w:hAnsiTheme="majorHAnsi"/>
        </w:rPr>
        <w:t xml:space="preserve">- Gizon gehiago babes zibilaren esparruan, COVID-19aren emergentzian eta kirolarenean.</w:t>
      </w:r>
      <w:r>
        <w:rPr>
          <w:color w:val="000000"/>
          <w:sz w:val="22"/>
          <w:rFonts w:asciiTheme="majorHAnsi" w:hAnsiTheme="majorHAnsi"/>
        </w:rPr>
        <w:t xml:space="preserve"> </w:t>
      </w:r>
      <w:r>
        <w:rPr>
          <w:color w:val="000000"/>
          <w:sz w:val="22"/>
          <w:rFonts w:asciiTheme="majorHAnsi" w:hAnsiTheme="majorHAnsi"/>
        </w:rPr>
        <w:t xml:space="preserve">Eta, hein txikiago batean, garapenerako lankidetzan, alor komunitarioan, aisialdian edota ingurumenaren alorrean.</w:t>
      </w:r>
      <w:r>
        <w:rPr>
          <w:color w:val="000000"/>
          <w:sz w:val="22"/>
          <w:rFonts w:asciiTheme="majorHAnsi" w:hAnsiTheme="majorHAnsi"/>
        </w:rPr>
        <w:t xml:space="preserve"> </w:t>
      </w:r>
      <w:r>
        <w:rPr>
          <w:color w:val="000000"/>
          <w:sz w:val="22"/>
          <w:rFonts w:asciiTheme="majorHAnsi" w:hAnsiTheme="majorHAnsi"/>
        </w:rPr>
        <w:t xml:space="preserve">Emakume gehiago hezkuntzaren esparruan, soziosanitarioan eta, sozialari dagokionez, presentzia zertxobait handiagoa ere bai.</w:t>
      </w:r>
    </w:p>
    <w:p w14:paraId="2F46B777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Segregazio bertikala, emakumeen presentzia eskasa erabakiak hartzeko postu eta espazioetan.</w:t>
      </w:r>
    </w:p>
    <w:p w14:paraId="5B23FC02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Berdintasunaren eta emakumeen kontrako indarkeriaren arloko prestakuntza eskasa.</w:t>
      </w:r>
      <w:r>
        <w:rPr>
          <w:color w:val="000000"/>
          <w:sz w:val="22"/>
          <w:rFonts w:asciiTheme="majorHAnsi" w:hAnsiTheme="majorHAnsi"/>
        </w:rPr>
        <w:t xml:space="preserve"> </w:t>
      </w:r>
    </w:p>
    <w:p w14:paraId="0ABCC99B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Genero ikuspegi eskasa nahiz eztabaidatua, kasu batzuetan, erakundeak kudeatu eta antolatzean.</w:t>
      </w:r>
    </w:p>
    <w:p w14:paraId="10FC6698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Boluntariotzan emandako denbora, emakumeen parte hartzea noizean behingoa izanik eta gizonen ibilbidea, berriz, luzeagoa. Gizonen intentsitate handiagoa dago inplikazioan.</w:t>
      </w:r>
      <w:r>
        <w:rPr>
          <w:color w:val="000000"/>
          <w:sz w:val="22"/>
          <w:rFonts w:asciiTheme="majorHAnsi" w:hAnsiTheme="majorHAnsi"/>
        </w:rPr>
        <w:t xml:space="preserve"> </w:t>
      </w:r>
    </w:p>
    <w:p w14:paraId="01E32EE0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Emakumeen lanaldi hirukoitzarekin lotzen ahal da, lan ordainduaz gain zaintzako erantzukizunak baitituzte, eta horrek boluntariotza egiteko denbora nahiz aukera murrizten die.</w:t>
      </w:r>
    </w:p>
    <w:p w14:paraId="5FDC49B2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Boluntarioaren profila: emakumea, adin ertainekoa, hirikoa, zaintza erantzukizunik eta goi-mailako ikasketa gabekoa.</w:t>
      </w:r>
      <w:r>
        <w:rPr>
          <w:color w:val="000000"/>
          <w:sz w:val="22"/>
          <w:rFonts w:asciiTheme="majorHAnsi" w:hAnsiTheme="majorHAnsi"/>
        </w:rPr>
        <w:t xml:space="preserve"> </w:t>
      </w:r>
    </w:p>
    <w:p w14:paraId="34E61641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Adina: emakume gazte gehiago eta gizon nagusi nahiz erretiratu gehiago.</w:t>
      </w:r>
    </w:p>
    <w:p w14:paraId="470D72A5" w14:textId="77777777" w:rsidR="006A449C" w:rsidRDefault="00A71B2F" w:rsidP="00A71B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Boluntarioen eta boluntariotzaren balio eta aintzatespen gutxiago, esparru feminizatua eta altruista delako eta ordainsaririk ez dagoelako, agian.</w:t>
      </w:r>
    </w:p>
    <w:p w14:paraId="513A0F3C" w14:textId="2AE24F6B" w:rsidR="006A449C" w:rsidRDefault="000B0106" w:rsidP="000B010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4"/>
          <w:rFonts w:asciiTheme="majorHAnsi" w:hAnsiTheme="majorHAnsi" w:cstheme="majorHAnsi"/>
        </w:rPr>
      </w:pPr>
      <w:r>
        <w:rPr>
          <w:b/>
          <w:color w:val="000000"/>
          <w:sz w:val="22"/>
          <w:rFonts w:asciiTheme="majorHAnsi" w:hAnsiTheme="majorHAnsi"/>
        </w:rPr>
        <w:t xml:space="preserve">3.</w:t>
      </w:r>
      <w:r>
        <w:rPr>
          <w:b/>
          <w:color w:val="000000"/>
          <w:sz w:val="22"/>
          <w:rFonts w:asciiTheme="majorHAnsi" w:hAnsiTheme="majorHAnsi"/>
        </w:rPr>
        <w:t xml:space="preserve"> </w:t>
      </w:r>
      <w:r>
        <w:rPr>
          <w:b/>
          <w:color w:val="000000"/>
          <w:sz w:val="22"/>
          <w:rFonts w:asciiTheme="majorHAnsi" w:hAnsiTheme="majorHAnsi"/>
        </w:rPr>
        <w:t xml:space="preserve">Zer irizpide baliatu da aukeratzeko ea III. Boluntariotza Planeko zer ekintza sartu genero-ikuspegiaren zeharkako ardatzean? Zer helburu lortu nahi da ekintza horietako bakoitzaren bidez?</w:t>
      </w:r>
    </w:p>
    <w:p w14:paraId="04342610" w14:textId="77777777" w:rsidR="006A449C" w:rsidRDefault="00A71B2F" w:rsidP="00997BA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Egin diren eta III. Boluntariotza Planak jasotzen dituen ikerketan ondorioak, nagusiki Nafarroako boluntariotza-ekintzari buruzkoa, aipatutakoa.</w:t>
      </w:r>
    </w:p>
    <w:p w14:paraId="55ED80AC" w14:textId="77777777" w:rsidR="006A449C" w:rsidRDefault="004F6EE2" w:rsidP="00997BA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III. Boluntariotza Planak jasotzen duen Arazoen Zuhaitza.</w:t>
      </w:r>
    </w:p>
    <w:p w14:paraId="049B4DA7" w14:textId="77777777" w:rsidR="006A449C" w:rsidRDefault="00997BA4" w:rsidP="00997BA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4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Genero ikuspegia zeharkako ardatz gisa sartzea, berdintasun printzipioak garatzen direla bermatzeko (Nafarroako III. Boluntariotza Plana (2024-2027) barne).</w:t>
      </w:r>
      <w:r>
        <w:rPr>
          <w:color w:val="000000"/>
          <w:sz w:val="22"/>
          <w:rFonts w:asciiTheme="majorHAnsi" w:hAnsiTheme="majorHAnsi"/>
        </w:rPr>
        <w:t xml:space="preserve"> </w:t>
      </w:r>
    </w:p>
    <w:p w14:paraId="49AF8264" w14:textId="54FEBBFC" w:rsidR="00821494" w:rsidRPr="00FA18C8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rFonts w:asciiTheme="majorHAnsi" w:hAnsiTheme="majorHAnsi" w:cstheme="majorHAnsi"/>
        </w:rPr>
      </w:pPr>
      <w:r>
        <w:rPr>
          <w:color w:val="000000"/>
          <w:sz w:val="24"/>
          <w:rFonts w:asciiTheme="majorHAnsi" w:hAnsiTheme="majorHAnsi"/>
        </w:rPr>
        <w:t xml:space="preserve">Hori guztia jakinarazten dizut, Nafarroako Parlamentuko Erregelamenduaren 215. artikuluan xedatutakoa betez.</w:t>
      </w:r>
    </w:p>
    <w:p w14:paraId="4F16E1F1" w14:textId="77777777" w:rsidR="006A449C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rFonts w:asciiTheme="majorHAnsi" w:hAnsiTheme="majorHAnsi" w:cstheme="majorHAnsi"/>
        </w:rPr>
      </w:pPr>
    </w:p>
    <w:p w14:paraId="60A0749D" w14:textId="69F3F550" w:rsidR="00821494" w:rsidRPr="00FA18C8" w:rsidRDefault="00821494" w:rsidP="00C47D15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  <w:rFonts w:asciiTheme="majorHAnsi" w:hAnsiTheme="majorHAnsi" w:cstheme="majorHAnsi"/>
        </w:rPr>
      </w:pPr>
      <w:r>
        <w:rPr>
          <w:color w:val="000000"/>
          <w:sz w:val="24"/>
          <w:rFonts w:asciiTheme="majorHAnsi" w:hAnsiTheme="majorHAnsi"/>
        </w:rPr>
        <w:t xml:space="preserve">Iruñean, 2024ko maiatzaren 17an.</w:t>
      </w:r>
    </w:p>
    <w:p w14:paraId="2024B00E" w14:textId="48A90612" w:rsidR="006A449C" w:rsidRDefault="006A449C" w:rsidP="006A449C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  <w:rFonts w:asciiTheme="majorHAnsi" w:hAnsiTheme="majorHAnsi" w:cstheme="majorHAnsi"/>
        </w:rPr>
      </w:pPr>
      <w:r>
        <w:rPr>
          <w:color w:val="000000"/>
          <w:sz w:val="24"/>
          <w:rFonts w:asciiTheme="majorHAnsi" w:hAnsiTheme="majorHAnsi"/>
        </w:rPr>
        <w:t xml:space="preserve">Lehendakaritzako eta Berdintasuneko kontseilaria:</w:t>
      </w:r>
      <w:r>
        <w:rPr>
          <w:color w:val="000000"/>
          <w:sz w:val="24"/>
          <w:rFonts w:asciiTheme="majorHAnsi" w:hAnsiTheme="majorHAnsi"/>
        </w:rPr>
        <w:t xml:space="preserve"> </w:t>
      </w:r>
      <w:r>
        <w:rPr>
          <w:color w:val="000000"/>
          <w:sz w:val="24"/>
          <w:rFonts w:asciiTheme="majorHAnsi" w:hAnsiTheme="majorHAnsi"/>
        </w:rPr>
        <w:t xml:space="preserve">Félix Taberna Monzón</w:t>
      </w:r>
    </w:p>
    <w:sectPr w:rsidR="006A449C" w:rsidSect="00843157">
      <w:footerReference w:type="default" r:id="rId7"/>
      <w:headerReference w:type="first" r:id="rId8"/>
      <w:footerReference w:type="first" r:id="rId9"/>
      <w:pgSz w:w="11901" w:h="16817" w:code="9"/>
      <w:pgMar w:top="283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3174C" w14:textId="77777777" w:rsidR="00C43DD9" w:rsidRDefault="00C43DD9">
      <w:r>
        <w:separator/>
      </w:r>
    </w:p>
  </w:endnote>
  <w:endnote w:type="continuationSeparator" w:id="0">
    <w:p w14:paraId="6D41CF38" w14:textId="77777777" w:rsidR="00C43DD9" w:rsidRDefault="00C4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AF49E" w14:textId="77777777" w:rsidR="007F2C1A" w:rsidRDefault="007F2C1A">
    <w:pPr>
      <w:pStyle w:val="Piedepgina"/>
    </w:pPr>
  </w:p>
  <w:p w14:paraId="572749CF" w14:textId="77777777" w:rsidR="009E22FA" w:rsidRDefault="009E22FA">
    <w:pPr>
      <w:pStyle w:val="Piedepgina"/>
    </w:pPr>
  </w:p>
  <w:p w14:paraId="19476012" w14:textId="77777777" w:rsidR="009E22FA" w:rsidRDefault="009E22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06A4F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1E967" w14:textId="77777777" w:rsidR="00C43DD9" w:rsidRDefault="00C43DD9">
      <w:r>
        <w:separator/>
      </w:r>
    </w:p>
  </w:footnote>
  <w:footnote w:type="continuationSeparator" w:id="0">
    <w:p w14:paraId="12BE2775" w14:textId="77777777" w:rsidR="00C43DD9" w:rsidRDefault="00C4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F8E85" w14:textId="77777777" w:rsidR="00696F6F" w:rsidRDefault="007F433A" w:rsidP="00696F6F">
    <w:pPr>
      <w:pStyle w:val="Encabezado"/>
      <w:ind w:left="-765"/>
    </w:pPr>
    <w:r>
      <w:drawing>
        <wp:anchor distT="0" distB="0" distL="114300" distR="114300" simplePos="0" relativeHeight="251661312" behindDoc="1" locked="0" layoutInCell="1" allowOverlap="1" wp14:anchorId="0ACCC85E" wp14:editId="6D2F639D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7BC"/>
    <w:multiLevelType w:val="hybridMultilevel"/>
    <w:tmpl w:val="5F1AD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795C"/>
    <w:multiLevelType w:val="hybridMultilevel"/>
    <w:tmpl w:val="54DCE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731283">
    <w:abstractNumId w:val="1"/>
  </w:num>
  <w:num w:numId="2" w16cid:durableId="140348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dirty" w:grammar="dirty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121EF"/>
    <w:rsid w:val="00023817"/>
    <w:rsid w:val="00026023"/>
    <w:rsid w:val="000334B4"/>
    <w:rsid w:val="00066A4D"/>
    <w:rsid w:val="000711A0"/>
    <w:rsid w:val="000729E0"/>
    <w:rsid w:val="0009463A"/>
    <w:rsid w:val="000A1480"/>
    <w:rsid w:val="000B0106"/>
    <w:rsid w:val="000B64A1"/>
    <w:rsid w:val="00116AF7"/>
    <w:rsid w:val="001423DE"/>
    <w:rsid w:val="00170AFF"/>
    <w:rsid w:val="001A696B"/>
    <w:rsid w:val="0026117C"/>
    <w:rsid w:val="00277C9A"/>
    <w:rsid w:val="002F09C8"/>
    <w:rsid w:val="002F3D00"/>
    <w:rsid w:val="00300D8F"/>
    <w:rsid w:val="00304004"/>
    <w:rsid w:val="003C2B78"/>
    <w:rsid w:val="003D202F"/>
    <w:rsid w:val="003F1206"/>
    <w:rsid w:val="00486D33"/>
    <w:rsid w:val="004F6EE2"/>
    <w:rsid w:val="0050466C"/>
    <w:rsid w:val="00523E7D"/>
    <w:rsid w:val="00524CFD"/>
    <w:rsid w:val="005367EB"/>
    <w:rsid w:val="00543CB9"/>
    <w:rsid w:val="00546FCC"/>
    <w:rsid w:val="005B095B"/>
    <w:rsid w:val="005C6849"/>
    <w:rsid w:val="005F3576"/>
    <w:rsid w:val="00645A55"/>
    <w:rsid w:val="00694C60"/>
    <w:rsid w:val="00696F6F"/>
    <w:rsid w:val="006A449C"/>
    <w:rsid w:val="006A5952"/>
    <w:rsid w:val="007018B0"/>
    <w:rsid w:val="0071169E"/>
    <w:rsid w:val="00793F61"/>
    <w:rsid w:val="007B16C7"/>
    <w:rsid w:val="007E5180"/>
    <w:rsid w:val="007F2C1A"/>
    <w:rsid w:val="007F433A"/>
    <w:rsid w:val="00817362"/>
    <w:rsid w:val="00821494"/>
    <w:rsid w:val="008354B9"/>
    <w:rsid w:val="00843157"/>
    <w:rsid w:val="008765E8"/>
    <w:rsid w:val="008E573E"/>
    <w:rsid w:val="008F6909"/>
    <w:rsid w:val="009022B4"/>
    <w:rsid w:val="009339B6"/>
    <w:rsid w:val="00936F7B"/>
    <w:rsid w:val="00994342"/>
    <w:rsid w:val="0099458A"/>
    <w:rsid w:val="00997BA4"/>
    <w:rsid w:val="009E202F"/>
    <w:rsid w:val="009E22FA"/>
    <w:rsid w:val="009E381E"/>
    <w:rsid w:val="009F3967"/>
    <w:rsid w:val="00A040CE"/>
    <w:rsid w:val="00A077F0"/>
    <w:rsid w:val="00A117E7"/>
    <w:rsid w:val="00A2145B"/>
    <w:rsid w:val="00A430CC"/>
    <w:rsid w:val="00A461DD"/>
    <w:rsid w:val="00A52259"/>
    <w:rsid w:val="00A71B2F"/>
    <w:rsid w:val="00A8044F"/>
    <w:rsid w:val="00A84BCA"/>
    <w:rsid w:val="00AF37E4"/>
    <w:rsid w:val="00B237CA"/>
    <w:rsid w:val="00B32EE5"/>
    <w:rsid w:val="00B46857"/>
    <w:rsid w:val="00B662C6"/>
    <w:rsid w:val="00B96F7E"/>
    <w:rsid w:val="00BD6A02"/>
    <w:rsid w:val="00BE14EC"/>
    <w:rsid w:val="00BE2BD3"/>
    <w:rsid w:val="00BF494F"/>
    <w:rsid w:val="00C171AC"/>
    <w:rsid w:val="00C43DD9"/>
    <w:rsid w:val="00C47D15"/>
    <w:rsid w:val="00CA2943"/>
    <w:rsid w:val="00CB748C"/>
    <w:rsid w:val="00CC1284"/>
    <w:rsid w:val="00CE65F5"/>
    <w:rsid w:val="00D04182"/>
    <w:rsid w:val="00D04CEA"/>
    <w:rsid w:val="00D304C8"/>
    <w:rsid w:val="00D504F1"/>
    <w:rsid w:val="00D75B3D"/>
    <w:rsid w:val="00D8128C"/>
    <w:rsid w:val="00DF6784"/>
    <w:rsid w:val="00E8181E"/>
    <w:rsid w:val="00EB05BE"/>
    <w:rsid w:val="00F037C2"/>
    <w:rsid w:val="00F23E92"/>
    <w:rsid w:val="00F25B9A"/>
    <w:rsid w:val="00F344C7"/>
    <w:rsid w:val="00FA18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5AA660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546F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u-ES"/>
    </w:rPr>
  </w:style>
  <w:style w:type="character" w:styleId="Hipervnculo">
    <w:name w:val="Hyperlink"/>
    <w:rsid w:val="00D504F1"/>
    <w:rPr>
      <w:color w:val="0563C1"/>
      <w:u w:val="single"/>
    </w:rPr>
  </w:style>
  <w:style w:type="character" w:styleId="Hipervnculovisitado">
    <w:name w:val="FollowedHyperlink"/>
    <w:basedOn w:val="Fuentedeprrafopredeter"/>
    <w:semiHidden/>
    <w:unhideWhenUsed/>
    <w:rsid w:val="00A71B2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7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3</cp:revision>
  <cp:lastPrinted>2023-09-22T09:19:00Z</cp:lastPrinted>
  <dcterms:created xsi:type="dcterms:W3CDTF">2024-05-20T05:57:00Z</dcterms:created>
  <dcterms:modified xsi:type="dcterms:W3CDTF">2024-05-21T07:34:00Z</dcterms:modified>
</cp:coreProperties>
</file>