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BC104" w14:textId="0DC1D458" w:rsidR="006A449C" w:rsidRDefault="00821494" w:rsidP="00C47D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4"/>
          <w:rFonts w:asciiTheme="majorHAnsi" w:hAnsiTheme="majorHAnsi" w:cstheme="majorHAnsi"/>
        </w:rPr>
      </w:pPr>
      <w:r>
        <w:rPr>
          <w:color w:val="000000"/>
          <w:sz w:val="22"/>
          <w:rFonts w:asciiTheme="majorHAnsi" w:hAnsiTheme="majorHAnsi"/>
        </w:rPr>
        <w:t xml:space="preserve">Unión del Pueblo Navarro talde parlamentarioari atxikitako foru parlamentari Marta Álvarez Alonso andreak idatziz erantzuteko galdera egin du (PES-00203); horren bidez, honako informazio hau eskatzen dio Nafarroako Gobernuari:</w:t>
      </w:r>
    </w:p>
    <w:p w14:paraId="1D250779" w14:textId="3D85452E" w:rsidR="000B0106" w:rsidRPr="00A71B2F" w:rsidRDefault="000B0106" w:rsidP="00A71B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4"/>
          <w:rFonts w:asciiTheme="majorHAnsi" w:hAnsiTheme="majorHAnsi" w:cstheme="majorHAnsi"/>
        </w:rPr>
      </w:pPr>
      <w:r>
        <w:rPr>
          <w:b/>
          <w:color w:val="000000"/>
          <w:sz w:val="22"/>
          <w:rFonts w:asciiTheme="majorHAnsi" w:hAnsiTheme="majorHAnsi"/>
        </w:rPr>
        <w:t xml:space="preserve">Boluntariotzaren arloan genero-arrakalarik detektatu al du Lehendakaritza eta Berdintasun Departamentuak?</w:t>
      </w:r>
    </w:p>
    <w:p w14:paraId="375C5CCB" w14:textId="77777777" w:rsidR="006A449C" w:rsidRDefault="00A71B2F" w:rsidP="000B01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4"/>
          <w:rFonts w:asciiTheme="majorHAnsi" w:hAnsiTheme="majorHAnsi" w:cstheme="majorHAnsi"/>
        </w:rPr>
      </w:pPr>
      <w:r>
        <w:rPr>
          <w:color w:val="000000"/>
          <w:sz w:val="22"/>
          <w:rFonts w:asciiTheme="majorHAnsi" w:hAnsiTheme="majorHAnsi"/>
        </w:rPr>
        <w:t xml:space="preserve">Bai.</w:t>
      </w:r>
    </w:p>
    <w:p w14:paraId="3067463A" w14:textId="77777777" w:rsidR="006A449C" w:rsidRDefault="000B0106" w:rsidP="00A71B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4"/>
          <w:rFonts w:asciiTheme="majorHAnsi" w:hAnsiTheme="majorHAnsi" w:cstheme="majorHAnsi"/>
        </w:rPr>
      </w:pPr>
      <w:r>
        <w:rPr>
          <w:b/>
          <w:color w:val="000000"/>
          <w:sz w:val="22"/>
          <w:rFonts w:asciiTheme="majorHAnsi" w:hAnsiTheme="majorHAnsi"/>
        </w:rPr>
        <w:t xml:space="preserve">Hala baldin bada, zertan datza arrakala hori?</w:t>
      </w:r>
    </w:p>
    <w:p w14:paraId="1D571EEC" w14:textId="77777777" w:rsidR="006A449C" w:rsidRDefault="00A71B2F" w:rsidP="00A71B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4"/>
          <w:rFonts w:asciiTheme="majorHAnsi" w:hAnsiTheme="majorHAnsi" w:cstheme="majorHAnsi"/>
        </w:rPr>
      </w:pPr>
      <w:r>
        <w:rPr>
          <w:color w:val="000000"/>
          <w:sz w:val="22"/>
          <w:rFonts w:asciiTheme="majorHAnsi" w:hAnsiTheme="majorHAnsi"/>
        </w:rPr>
        <w:t xml:space="preserve">Boluntariotzako ekintzaren feminizazioa, % 61 emakumeak eta % 39 gizonak, 2019ko ikerketako datuak.</w:t>
      </w:r>
      <w:r>
        <w:rPr>
          <w:color w:val="000000"/>
          <w:sz w:val="22"/>
          <w:rFonts w:asciiTheme="majorHAnsi" w:hAnsiTheme="majorHAnsi"/>
        </w:rPr>
        <w:t xml:space="preserve"> </w:t>
      </w:r>
    </w:p>
    <w:p w14:paraId="5F326F86" w14:textId="77777777" w:rsidR="006A449C" w:rsidRDefault="00A71B2F" w:rsidP="00A71B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4"/>
          <w:rFonts w:asciiTheme="majorHAnsi" w:hAnsiTheme="majorHAnsi" w:cstheme="majorHAnsi"/>
        </w:rPr>
      </w:pPr>
      <w:r>
        <w:rPr>
          <w:color w:val="000000"/>
          <w:sz w:val="22"/>
          <w:rFonts w:asciiTheme="majorHAnsi" w:hAnsiTheme="majorHAnsi"/>
        </w:rPr>
        <w:t xml:space="preserve">Alor batean emakume gehiago egoteak ez du bermatzen berdintasun erreala dagoenik emakumeen eta gizonen artean.</w:t>
      </w:r>
      <w:r>
        <w:rPr>
          <w:color w:val="000000"/>
          <w:sz w:val="22"/>
          <w:rFonts w:asciiTheme="majorHAnsi" w:hAnsiTheme="majorHAnsi"/>
        </w:rPr>
        <w:t xml:space="preserve"> </w:t>
      </w:r>
    </w:p>
    <w:p w14:paraId="25E31263" w14:textId="77777777" w:rsidR="006A449C" w:rsidRDefault="00A71B2F" w:rsidP="00A71B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4"/>
          <w:rFonts w:asciiTheme="majorHAnsi" w:hAnsiTheme="majorHAnsi" w:cstheme="majorHAnsi"/>
        </w:rPr>
      </w:pPr>
      <w:r>
        <w:rPr>
          <w:color w:val="000000"/>
          <w:sz w:val="22"/>
          <w:rFonts w:asciiTheme="majorHAnsi" w:hAnsiTheme="majorHAnsi"/>
        </w:rPr>
        <w:t xml:space="preserve">Lanaren sexuaren araberako banaketa genero-estereotipoei eta rolei lotuta.</w:t>
      </w:r>
      <w:r>
        <w:rPr>
          <w:color w:val="000000"/>
          <w:sz w:val="22"/>
          <w:rFonts w:asciiTheme="majorHAnsi" w:hAnsiTheme="majorHAnsi"/>
        </w:rPr>
        <w:t xml:space="preserve"> </w:t>
      </w:r>
    </w:p>
    <w:p w14:paraId="5D101BD3" w14:textId="5FFBF408" w:rsidR="006A449C" w:rsidRDefault="00A71B2F" w:rsidP="00A71B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4"/>
          <w:rFonts w:asciiTheme="majorHAnsi" w:hAnsiTheme="majorHAnsi" w:cstheme="majorHAnsi"/>
        </w:rPr>
      </w:pPr>
      <w:r>
        <w:rPr>
          <w:color w:val="000000"/>
          <w:sz w:val="22"/>
          <w:rFonts w:asciiTheme="majorHAnsi" w:hAnsiTheme="majorHAnsi"/>
        </w:rPr>
        <w:t xml:space="preserve">Segregazio horizontala:</w:t>
      </w:r>
      <w:r>
        <w:rPr>
          <w:color w:val="000000"/>
          <w:sz w:val="22"/>
          <w:rFonts w:asciiTheme="majorHAnsi" w:hAnsiTheme="majorHAnsi"/>
        </w:rPr>
        <w:t xml:space="preserve"> </w:t>
      </w:r>
      <w:r>
        <w:rPr>
          <w:color w:val="000000"/>
          <w:sz w:val="22"/>
          <w:rFonts w:asciiTheme="majorHAnsi" w:hAnsiTheme="majorHAnsi"/>
        </w:rPr>
        <w:t xml:space="preserve">- Gizon gehiago babes zibilaren esparruan, COVID-19aren emergentzian eta kirolarenean.</w:t>
      </w:r>
      <w:r>
        <w:rPr>
          <w:color w:val="000000"/>
          <w:sz w:val="22"/>
          <w:rFonts w:asciiTheme="majorHAnsi" w:hAnsiTheme="majorHAnsi"/>
        </w:rPr>
        <w:t xml:space="preserve"> </w:t>
      </w:r>
      <w:r>
        <w:rPr>
          <w:color w:val="000000"/>
          <w:sz w:val="22"/>
          <w:rFonts w:asciiTheme="majorHAnsi" w:hAnsiTheme="majorHAnsi"/>
        </w:rPr>
        <w:t xml:space="preserve">Eta, hein txikiago batean, garapenerako lankidetzan, alor komunitarioan, aisialdian edota ingurumenaren alorrean.</w:t>
      </w:r>
      <w:r>
        <w:rPr>
          <w:color w:val="000000"/>
          <w:sz w:val="22"/>
          <w:rFonts w:asciiTheme="majorHAnsi" w:hAnsiTheme="majorHAnsi"/>
        </w:rPr>
        <w:t xml:space="preserve"> </w:t>
      </w:r>
      <w:r>
        <w:rPr>
          <w:color w:val="000000"/>
          <w:sz w:val="22"/>
          <w:rFonts w:asciiTheme="majorHAnsi" w:hAnsiTheme="majorHAnsi"/>
        </w:rPr>
        <w:t xml:space="preserve">Emakume gehiago hezkuntzaren esparruan, soziosanitarioan eta, sozialari dagokionez, presentzia zertxobait handiagoa ere bai.</w:t>
      </w:r>
    </w:p>
    <w:p w14:paraId="2F46B777" w14:textId="77777777" w:rsidR="006A449C" w:rsidRDefault="00A71B2F" w:rsidP="00A71B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4"/>
          <w:rFonts w:asciiTheme="majorHAnsi" w:hAnsiTheme="majorHAnsi" w:cstheme="majorHAnsi"/>
        </w:rPr>
      </w:pPr>
      <w:r>
        <w:rPr>
          <w:color w:val="000000"/>
          <w:sz w:val="22"/>
          <w:rFonts w:asciiTheme="majorHAnsi" w:hAnsiTheme="majorHAnsi"/>
        </w:rPr>
        <w:t xml:space="preserve">Segregazio bertikala, emakumeen presentzia eskasa erabakiak hartzeko postu eta espazioetan.</w:t>
      </w:r>
    </w:p>
    <w:p w14:paraId="5B23FC02" w14:textId="77777777" w:rsidR="006A449C" w:rsidRDefault="00A71B2F" w:rsidP="00A71B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4"/>
          <w:rFonts w:asciiTheme="majorHAnsi" w:hAnsiTheme="majorHAnsi" w:cstheme="majorHAnsi"/>
        </w:rPr>
      </w:pPr>
      <w:r>
        <w:rPr>
          <w:color w:val="000000"/>
          <w:sz w:val="22"/>
          <w:rFonts w:asciiTheme="majorHAnsi" w:hAnsiTheme="majorHAnsi"/>
        </w:rPr>
        <w:t xml:space="preserve">Berdintasunaren eta emakumeen kontrako indarkeriaren arloko prestakuntza eskasa.</w:t>
      </w:r>
      <w:r>
        <w:rPr>
          <w:color w:val="000000"/>
          <w:sz w:val="22"/>
          <w:rFonts w:asciiTheme="majorHAnsi" w:hAnsiTheme="majorHAnsi"/>
        </w:rPr>
        <w:t xml:space="preserve"> </w:t>
      </w:r>
    </w:p>
    <w:p w14:paraId="0ABCC99B" w14:textId="77777777" w:rsidR="006A449C" w:rsidRDefault="00A71B2F" w:rsidP="00A71B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4"/>
          <w:rFonts w:asciiTheme="majorHAnsi" w:hAnsiTheme="majorHAnsi" w:cstheme="majorHAnsi"/>
        </w:rPr>
      </w:pPr>
      <w:r>
        <w:rPr>
          <w:color w:val="000000"/>
          <w:sz w:val="22"/>
          <w:rFonts w:asciiTheme="majorHAnsi" w:hAnsiTheme="majorHAnsi"/>
        </w:rPr>
        <w:t xml:space="preserve">Genero ikuspegi eskasa nahiz eztabaidatua, kasu batzuetan, erakundeak kudeatu eta antolatzean.</w:t>
      </w:r>
    </w:p>
    <w:p w14:paraId="10FC6698" w14:textId="77777777" w:rsidR="006A449C" w:rsidRDefault="00A71B2F" w:rsidP="00A71B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4"/>
          <w:rFonts w:asciiTheme="majorHAnsi" w:hAnsiTheme="majorHAnsi" w:cstheme="majorHAnsi"/>
        </w:rPr>
      </w:pPr>
      <w:r>
        <w:rPr>
          <w:color w:val="000000"/>
          <w:sz w:val="22"/>
          <w:rFonts w:asciiTheme="majorHAnsi" w:hAnsiTheme="majorHAnsi"/>
        </w:rPr>
        <w:t xml:space="preserve">Boluntariotzan emandako denbora, emakumeen parte hartzea noizean behingoa izanik eta gizonen ibilbidea, berriz, luzeagoa. Gizonen intentsitate handiagoa dago inplikazioan.</w:t>
      </w:r>
      <w:r>
        <w:rPr>
          <w:color w:val="000000"/>
          <w:sz w:val="22"/>
          <w:rFonts w:asciiTheme="majorHAnsi" w:hAnsiTheme="majorHAnsi"/>
        </w:rPr>
        <w:t xml:space="preserve"> </w:t>
      </w:r>
    </w:p>
    <w:p w14:paraId="01E32EE0" w14:textId="77777777" w:rsidR="006A449C" w:rsidRDefault="00A71B2F" w:rsidP="00A71B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4"/>
          <w:rFonts w:asciiTheme="majorHAnsi" w:hAnsiTheme="majorHAnsi" w:cstheme="majorHAnsi"/>
        </w:rPr>
      </w:pPr>
      <w:r>
        <w:rPr>
          <w:color w:val="000000"/>
          <w:sz w:val="22"/>
          <w:rFonts w:asciiTheme="majorHAnsi" w:hAnsiTheme="majorHAnsi"/>
        </w:rPr>
        <w:t xml:space="preserve">Emakumeen lanaldi hirukoitzarekin lotzen ahal da, lan ordainduaz gain zaintzako erantzukizunak baitituzte, eta horrek boluntariotza egiteko denbora nahiz aukera murrizten die.</w:t>
      </w:r>
    </w:p>
    <w:p w14:paraId="5FDC49B2" w14:textId="77777777" w:rsidR="006A449C" w:rsidRDefault="00A71B2F" w:rsidP="00A71B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4"/>
          <w:rFonts w:asciiTheme="majorHAnsi" w:hAnsiTheme="majorHAnsi" w:cstheme="majorHAnsi"/>
        </w:rPr>
      </w:pPr>
      <w:r>
        <w:rPr>
          <w:color w:val="000000"/>
          <w:sz w:val="22"/>
          <w:rFonts w:asciiTheme="majorHAnsi" w:hAnsiTheme="majorHAnsi"/>
        </w:rPr>
        <w:t xml:space="preserve">Boluntarioaren profila: emakumea, adin ertainekoa, hirikoa, zaintza erantzukizunik eta goi-mailako ikasketa gabekoa.</w:t>
      </w:r>
      <w:r>
        <w:rPr>
          <w:color w:val="000000"/>
          <w:sz w:val="22"/>
          <w:rFonts w:asciiTheme="majorHAnsi" w:hAnsiTheme="majorHAnsi"/>
        </w:rPr>
        <w:t xml:space="preserve"> </w:t>
      </w:r>
    </w:p>
    <w:p w14:paraId="34E61641" w14:textId="77777777" w:rsidR="006A449C" w:rsidRDefault="00A71B2F" w:rsidP="00A71B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4"/>
          <w:rFonts w:asciiTheme="majorHAnsi" w:hAnsiTheme="majorHAnsi" w:cstheme="majorHAnsi"/>
        </w:rPr>
      </w:pPr>
      <w:r>
        <w:rPr>
          <w:color w:val="000000"/>
          <w:sz w:val="22"/>
          <w:rFonts w:asciiTheme="majorHAnsi" w:hAnsiTheme="majorHAnsi"/>
        </w:rPr>
        <w:t xml:space="preserve">Adina: emakume gazte gehiago eta gizon nagusi nahiz erretiratu gehiago.</w:t>
      </w:r>
    </w:p>
    <w:p w14:paraId="470D72A5" w14:textId="77777777" w:rsidR="006A449C" w:rsidRDefault="00A71B2F" w:rsidP="00A71B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4"/>
          <w:rFonts w:asciiTheme="majorHAnsi" w:hAnsiTheme="majorHAnsi" w:cstheme="majorHAnsi"/>
        </w:rPr>
      </w:pPr>
      <w:r>
        <w:rPr>
          <w:color w:val="000000"/>
          <w:sz w:val="22"/>
          <w:rFonts w:asciiTheme="majorHAnsi" w:hAnsiTheme="majorHAnsi"/>
        </w:rPr>
        <w:t xml:space="preserve">Boluntarioen eta boluntariotzaren balio eta aintzatespen gutxiago, esparru feminizatua eta altruista delako eta ordainsaririk ez dagoelako, agian.</w:t>
      </w:r>
    </w:p>
    <w:p w14:paraId="513A0F3C" w14:textId="2AE24F6B" w:rsidR="006A449C" w:rsidRDefault="000B0106" w:rsidP="000B010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4"/>
          <w:rFonts w:asciiTheme="majorHAnsi" w:hAnsiTheme="majorHAnsi" w:cstheme="majorHAnsi"/>
        </w:rPr>
      </w:pPr>
      <w:r>
        <w:rPr>
          <w:b/>
          <w:color w:val="000000"/>
          <w:sz w:val="22"/>
          <w:rFonts w:asciiTheme="majorHAnsi" w:hAnsiTheme="majorHAnsi"/>
        </w:rPr>
        <w:t xml:space="preserve">3.</w:t>
      </w:r>
      <w:r>
        <w:rPr>
          <w:b/>
          <w:color w:val="000000"/>
          <w:sz w:val="22"/>
          <w:rFonts w:asciiTheme="majorHAnsi" w:hAnsiTheme="majorHAnsi"/>
        </w:rPr>
        <w:t xml:space="preserve"> </w:t>
      </w:r>
      <w:r>
        <w:rPr>
          <w:b/>
          <w:color w:val="000000"/>
          <w:sz w:val="22"/>
          <w:rFonts w:asciiTheme="majorHAnsi" w:hAnsiTheme="majorHAnsi"/>
        </w:rPr>
        <w:t xml:space="preserve">Zer irizpide baliatu da aukeratzeko ea III. Boluntariotza Planeko zer ekintza sartu genero-ikuspegiaren zeharkako ardatzean? Zer helburu lortu nahi da ekintza horietako bakoitzaren bidez?</w:t>
      </w:r>
    </w:p>
    <w:p w14:paraId="04342610" w14:textId="77777777" w:rsidR="006A449C" w:rsidRDefault="00A71B2F" w:rsidP="00997BA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4"/>
          <w:rFonts w:asciiTheme="majorHAnsi" w:hAnsiTheme="majorHAnsi" w:cstheme="majorHAnsi"/>
        </w:rPr>
      </w:pPr>
      <w:r>
        <w:rPr>
          <w:color w:val="000000"/>
          <w:sz w:val="22"/>
          <w:rFonts w:asciiTheme="majorHAnsi" w:hAnsiTheme="majorHAnsi"/>
        </w:rPr>
        <w:t xml:space="preserve">Egin diren eta III. Boluntariotza Planak jasotzen dituen ikerketan ondorioak, nagusiki Nafarroako boluntariotza-ekintzari buruzkoa, aipatutakoa.</w:t>
      </w:r>
    </w:p>
    <w:p w14:paraId="55ED80AC" w14:textId="77777777" w:rsidR="006A449C" w:rsidRDefault="004F6EE2" w:rsidP="00997BA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4"/>
          <w:rFonts w:asciiTheme="majorHAnsi" w:hAnsiTheme="majorHAnsi" w:cstheme="majorHAnsi"/>
        </w:rPr>
      </w:pPr>
      <w:r>
        <w:rPr>
          <w:color w:val="000000"/>
          <w:sz w:val="22"/>
          <w:rFonts w:asciiTheme="majorHAnsi" w:hAnsiTheme="majorHAnsi"/>
        </w:rPr>
        <w:t xml:space="preserve">III. Boluntariotza Planak jasotzen duen Arazoen Zuhaitza.</w:t>
      </w:r>
    </w:p>
    <w:p w14:paraId="049B4DA7" w14:textId="77777777" w:rsidR="006A449C" w:rsidRDefault="00997BA4" w:rsidP="00997BA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4"/>
          <w:rFonts w:asciiTheme="majorHAnsi" w:hAnsiTheme="majorHAnsi" w:cstheme="majorHAnsi"/>
        </w:rPr>
      </w:pPr>
      <w:r>
        <w:rPr>
          <w:color w:val="000000"/>
          <w:sz w:val="22"/>
          <w:rFonts w:asciiTheme="majorHAnsi" w:hAnsiTheme="majorHAnsi"/>
        </w:rPr>
        <w:t xml:space="preserve">Genero ikuspegia zeharkako ardatz gisa sartzea, berdintasun printzipioak garatzen direla bermatzeko (Nafarroako III. Boluntariotza Plana (2024-2027) barne).</w:t>
      </w:r>
      <w:r>
        <w:rPr>
          <w:color w:val="000000"/>
          <w:sz w:val="22"/>
          <w:rFonts w:asciiTheme="majorHAnsi" w:hAnsiTheme="majorHAnsi"/>
        </w:rPr>
        <w:t xml:space="preserve"> </w:t>
      </w:r>
    </w:p>
    <w:p w14:paraId="49AF8264" w14:textId="54FEBBFC" w:rsidR="00821494" w:rsidRPr="00FA18C8" w:rsidRDefault="00821494" w:rsidP="00C47D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rFonts w:asciiTheme="majorHAnsi" w:hAnsiTheme="majorHAnsi" w:cstheme="majorHAnsi"/>
        </w:rPr>
      </w:pPr>
      <w:r>
        <w:rPr>
          <w:color w:val="000000"/>
          <w:sz w:val="24"/>
          <w:rFonts w:asciiTheme="majorHAnsi" w:hAnsiTheme="majorHAnsi"/>
        </w:rPr>
        <w:t xml:space="preserve">Hori guztia jakinarazten dizut, Nafarroako Parlamentuko Erregelamenduaren 215. artikuluan xedatutakoa betez.</w:t>
      </w:r>
    </w:p>
    <w:p w14:paraId="4F16E1F1" w14:textId="77777777" w:rsidR="006A449C" w:rsidRDefault="00821494" w:rsidP="00C47D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rFonts w:asciiTheme="majorHAnsi" w:hAnsiTheme="majorHAnsi" w:cstheme="majorHAnsi"/>
        </w:rPr>
      </w:pPr>
    </w:p>
    <w:p w14:paraId="60A0749D" w14:textId="69F3F550" w:rsidR="00821494" w:rsidRPr="00FA18C8" w:rsidRDefault="00821494" w:rsidP="00C47D15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  <w:rFonts w:asciiTheme="majorHAnsi" w:hAnsiTheme="majorHAnsi" w:cstheme="majorHAnsi"/>
        </w:rPr>
      </w:pPr>
      <w:r>
        <w:rPr>
          <w:color w:val="000000"/>
          <w:sz w:val="24"/>
          <w:rFonts w:asciiTheme="majorHAnsi" w:hAnsiTheme="majorHAnsi"/>
        </w:rPr>
        <w:t xml:space="preserve">Iruñean, 2024ko maiatzaren 17an.</w:t>
      </w:r>
    </w:p>
    <w:p w14:paraId="2024B00E" w14:textId="48A90612" w:rsidR="006A449C" w:rsidRDefault="006A449C" w:rsidP="006A449C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  <w:rFonts w:asciiTheme="majorHAnsi" w:hAnsiTheme="majorHAnsi" w:cstheme="majorHAnsi"/>
        </w:rPr>
      </w:pPr>
      <w:r>
        <w:rPr>
          <w:color w:val="000000"/>
          <w:sz w:val="24"/>
          <w:rFonts w:asciiTheme="majorHAnsi" w:hAnsiTheme="majorHAnsi"/>
        </w:rPr>
        <w:t xml:space="preserve">Lehendakaritzako eta Berdintasuneko kontseilaria:</w:t>
      </w:r>
      <w:r>
        <w:rPr>
          <w:color w:val="000000"/>
          <w:sz w:val="24"/>
          <w:rFonts w:asciiTheme="majorHAnsi" w:hAnsiTheme="majorHAnsi"/>
        </w:rPr>
        <w:t xml:space="preserve"> </w:t>
      </w:r>
      <w:r>
        <w:rPr>
          <w:color w:val="000000"/>
          <w:sz w:val="24"/>
          <w:rFonts w:asciiTheme="majorHAnsi" w:hAnsiTheme="majorHAnsi"/>
        </w:rPr>
        <w:t xml:space="preserve">Félix Taberna Monzón</w:t>
      </w:r>
    </w:p>
    <w:sectPr w:rsidR="006A449C" w:rsidSect="00843157">
      <w:footerReference w:type="default" r:id="rId7"/>
      <w:headerReference w:type="first" r:id="rId8"/>
      <w:footerReference w:type="first" r:id="rId9"/>
      <w:pgSz w:w="11901" w:h="16817" w:code="9"/>
      <w:pgMar w:top="2835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83174C" w14:textId="77777777" w:rsidR="00C43DD9" w:rsidRDefault="00C43DD9">
      <w:r>
        <w:separator/>
      </w:r>
    </w:p>
  </w:endnote>
  <w:endnote w:type="continuationSeparator" w:id="0">
    <w:p w14:paraId="6D41CF38" w14:textId="77777777" w:rsidR="00C43DD9" w:rsidRDefault="00C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AF49E" w14:textId="77777777" w:rsidR="007F2C1A" w:rsidRDefault="007F2C1A">
    <w:pPr>
      <w:pStyle w:val="Piedepgina"/>
    </w:pPr>
  </w:p>
  <w:p w14:paraId="572749CF" w14:textId="77777777" w:rsidR="009E22FA" w:rsidRDefault="009E22FA">
    <w:pPr>
      <w:pStyle w:val="Piedepgina"/>
    </w:pPr>
  </w:p>
  <w:p w14:paraId="19476012" w14:textId="77777777" w:rsidR="009E22FA" w:rsidRDefault="009E22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06A4F" w14:textId="77777777" w:rsidR="00A2145B" w:rsidRPr="00A2145B" w:rsidRDefault="00A2145B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1E967" w14:textId="77777777" w:rsidR="00C43DD9" w:rsidRDefault="00C43DD9">
      <w:r>
        <w:separator/>
      </w:r>
    </w:p>
  </w:footnote>
  <w:footnote w:type="continuationSeparator" w:id="0">
    <w:p w14:paraId="12BE2775" w14:textId="77777777" w:rsidR="00C43DD9" w:rsidRDefault="00C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F8E85" w14:textId="77777777" w:rsidR="00696F6F" w:rsidRDefault="007F433A" w:rsidP="00696F6F">
    <w:pPr>
      <w:pStyle w:val="Encabezado"/>
      <w:ind w:left="-765"/>
    </w:pPr>
    <w:r>
      <w:drawing>
        <wp:anchor distT="0" distB="0" distL="114300" distR="114300" simplePos="0" relativeHeight="251661312" behindDoc="1" locked="0" layoutInCell="1" allowOverlap="1" wp14:anchorId="0ACCC85E" wp14:editId="6D2F639D">
          <wp:simplePos x="419100" y="542925"/>
          <wp:positionH relativeFrom="page">
            <wp:align>left</wp:align>
          </wp:positionH>
          <wp:positionV relativeFrom="page">
            <wp:align>top</wp:align>
          </wp:positionV>
          <wp:extent cx="7560000" cy="1796400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07-Edu-3-Sec Ord Academ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C17BC"/>
    <w:multiLevelType w:val="hybridMultilevel"/>
    <w:tmpl w:val="5F1AD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795C"/>
    <w:multiLevelType w:val="hybridMultilevel"/>
    <w:tmpl w:val="54DCEE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731283">
    <w:abstractNumId w:val="1"/>
  </w:num>
  <w:num w:numId="2" w16cid:durableId="140348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dirty" w:grammar="dirty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121EF"/>
    <w:rsid w:val="00023817"/>
    <w:rsid w:val="00026023"/>
    <w:rsid w:val="000334B4"/>
    <w:rsid w:val="00066A4D"/>
    <w:rsid w:val="000711A0"/>
    <w:rsid w:val="000729E0"/>
    <w:rsid w:val="0009463A"/>
    <w:rsid w:val="000A1480"/>
    <w:rsid w:val="000B0106"/>
    <w:rsid w:val="000B64A1"/>
    <w:rsid w:val="00116AF7"/>
    <w:rsid w:val="001423DE"/>
    <w:rsid w:val="00170AFF"/>
    <w:rsid w:val="001A696B"/>
    <w:rsid w:val="0026117C"/>
    <w:rsid w:val="00277C9A"/>
    <w:rsid w:val="002F09C8"/>
    <w:rsid w:val="002F3D00"/>
    <w:rsid w:val="00300D8F"/>
    <w:rsid w:val="00304004"/>
    <w:rsid w:val="003C2B78"/>
    <w:rsid w:val="003D202F"/>
    <w:rsid w:val="003F1206"/>
    <w:rsid w:val="00486D33"/>
    <w:rsid w:val="004F6EE2"/>
    <w:rsid w:val="0050466C"/>
    <w:rsid w:val="00523E7D"/>
    <w:rsid w:val="00524CFD"/>
    <w:rsid w:val="005367EB"/>
    <w:rsid w:val="00543CB9"/>
    <w:rsid w:val="00546FCC"/>
    <w:rsid w:val="005B095B"/>
    <w:rsid w:val="005C6849"/>
    <w:rsid w:val="005F3576"/>
    <w:rsid w:val="00645A55"/>
    <w:rsid w:val="00694C60"/>
    <w:rsid w:val="00696F6F"/>
    <w:rsid w:val="006A449C"/>
    <w:rsid w:val="006A5952"/>
    <w:rsid w:val="007018B0"/>
    <w:rsid w:val="0071169E"/>
    <w:rsid w:val="00793F61"/>
    <w:rsid w:val="007B16C7"/>
    <w:rsid w:val="007E5180"/>
    <w:rsid w:val="007F2C1A"/>
    <w:rsid w:val="007F433A"/>
    <w:rsid w:val="00817362"/>
    <w:rsid w:val="00821494"/>
    <w:rsid w:val="008354B9"/>
    <w:rsid w:val="00843157"/>
    <w:rsid w:val="008765E8"/>
    <w:rsid w:val="008E573E"/>
    <w:rsid w:val="008F6909"/>
    <w:rsid w:val="009022B4"/>
    <w:rsid w:val="009339B6"/>
    <w:rsid w:val="00936F7B"/>
    <w:rsid w:val="00994342"/>
    <w:rsid w:val="0099458A"/>
    <w:rsid w:val="00997BA4"/>
    <w:rsid w:val="009E202F"/>
    <w:rsid w:val="009E22FA"/>
    <w:rsid w:val="009E381E"/>
    <w:rsid w:val="009F3967"/>
    <w:rsid w:val="00A040CE"/>
    <w:rsid w:val="00A077F0"/>
    <w:rsid w:val="00A117E7"/>
    <w:rsid w:val="00A2145B"/>
    <w:rsid w:val="00A430CC"/>
    <w:rsid w:val="00A461DD"/>
    <w:rsid w:val="00A52259"/>
    <w:rsid w:val="00A71B2F"/>
    <w:rsid w:val="00A8044F"/>
    <w:rsid w:val="00A84BCA"/>
    <w:rsid w:val="00AF37E4"/>
    <w:rsid w:val="00B237CA"/>
    <w:rsid w:val="00B32EE5"/>
    <w:rsid w:val="00B46857"/>
    <w:rsid w:val="00B662C6"/>
    <w:rsid w:val="00B96F7E"/>
    <w:rsid w:val="00BD6A02"/>
    <w:rsid w:val="00BE14EC"/>
    <w:rsid w:val="00BE2BD3"/>
    <w:rsid w:val="00BF494F"/>
    <w:rsid w:val="00C171AC"/>
    <w:rsid w:val="00C43DD9"/>
    <w:rsid w:val="00C47D15"/>
    <w:rsid w:val="00CA2943"/>
    <w:rsid w:val="00CB748C"/>
    <w:rsid w:val="00CC1284"/>
    <w:rsid w:val="00CE65F5"/>
    <w:rsid w:val="00D04182"/>
    <w:rsid w:val="00D04CEA"/>
    <w:rsid w:val="00D304C8"/>
    <w:rsid w:val="00D504F1"/>
    <w:rsid w:val="00D75B3D"/>
    <w:rsid w:val="00D8128C"/>
    <w:rsid w:val="00DF6784"/>
    <w:rsid w:val="00E8181E"/>
    <w:rsid w:val="00EB05BE"/>
    <w:rsid w:val="00F037C2"/>
    <w:rsid w:val="00F23E92"/>
    <w:rsid w:val="00F25B9A"/>
    <w:rsid w:val="00F344C7"/>
    <w:rsid w:val="00FA18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5AA660"/>
  <w15:docId w15:val="{21E6A68A-51FE-46DB-9ABF-43BF7BE2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u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857"/>
    <w:rPr>
      <w:lang w:val="eu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u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customStyle="1" w:styleId="Default">
    <w:name w:val="Default"/>
    <w:rsid w:val="00546F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u-ES"/>
    </w:rPr>
  </w:style>
  <w:style w:type="character" w:styleId="Hipervnculo">
    <w:name w:val="Hyperlink"/>
    <w:rsid w:val="00D504F1"/>
    <w:rPr>
      <w:color w:val="0563C1"/>
      <w:u w:val="single"/>
    </w:rPr>
  </w:style>
  <w:style w:type="character" w:styleId="Hipervnculovisitado">
    <w:name w:val="FollowedHyperlink"/>
    <w:basedOn w:val="Fuentedeprrafopredeter"/>
    <w:semiHidden/>
    <w:unhideWhenUsed/>
    <w:rsid w:val="00A71B2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7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Aranaz, Carlota</cp:lastModifiedBy>
  <cp:revision>3</cp:revision>
  <cp:lastPrinted>2023-09-22T09:19:00Z</cp:lastPrinted>
  <dcterms:created xsi:type="dcterms:W3CDTF">2024-05-20T05:57:00Z</dcterms:created>
  <dcterms:modified xsi:type="dcterms:W3CDTF">2024-05-21T07:34:00Z</dcterms:modified>
</cp:coreProperties>
</file>